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right"/>
        <w:rPr>
          <w:rFonts w:ascii="宋体" w:hAnsi="宋体" w:eastAsia="宋体"/>
          <w:b/>
          <w:color w:val="auto"/>
        </w:rPr>
      </w:pPr>
      <w:bookmarkStart w:id="246" w:name="_GoBack"/>
      <w:bookmarkEnd w:id="246"/>
      <w:r>
        <w:rPr>
          <w:rFonts w:ascii="宋体" w:hAnsi="宋体" w:eastAsia="宋体"/>
          <w:b/>
          <w:color w:val="auto"/>
        </w:rPr>
        <w:t>编号：AYDS-AX2020-013</w:t>
      </w:r>
    </w:p>
    <w:p>
      <w:pPr>
        <w:spacing w:line="600" w:lineRule="exact"/>
        <w:jc w:val="center"/>
        <w:rPr>
          <w:rFonts w:ascii="宋体" w:hAnsi="宋体" w:eastAsia="PMingLiU"/>
          <w:color w:val="auto"/>
          <w:sz w:val="44"/>
          <w:szCs w:val="44"/>
        </w:rPr>
      </w:pPr>
      <w:bookmarkStart w:id="0" w:name="bookmark0"/>
    </w:p>
    <w:p>
      <w:pPr>
        <w:spacing w:line="600" w:lineRule="exact"/>
        <w:jc w:val="center"/>
        <w:rPr>
          <w:rFonts w:ascii="宋体" w:hAnsi="宋体" w:eastAsia="PMingLiU"/>
          <w:color w:val="auto"/>
          <w:sz w:val="44"/>
          <w:szCs w:val="44"/>
        </w:rPr>
      </w:pPr>
    </w:p>
    <w:p>
      <w:pPr>
        <w:spacing w:line="600" w:lineRule="exact"/>
        <w:jc w:val="center"/>
        <w:rPr>
          <w:rFonts w:ascii="宋体" w:hAnsi="宋体" w:eastAsia="PMingLiU"/>
          <w:color w:val="auto"/>
          <w:sz w:val="44"/>
          <w:szCs w:val="44"/>
        </w:rPr>
      </w:pPr>
    </w:p>
    <w:p>
      <w:pPr>
        <w:spacing w:line="600" w:lineRule="exact"/>
        <w:jc w:val="center"/>
        <w:rPr>
          <w:rFonts w:ascii="宋体" w:hAnsi="宋体" w:eastAsia="PMingLiU"/>
          <w:color w:val="auto"/>
          <w:sz w:val="44"/>
          <w:szCs w:val="44"/>
        </w:rPr>
      </w:pPr>
    </w:p>
    <w:p>
      <w:pPr>
        <w:spacing w:line="600" w:lineRule="exact"/>
        <w:jc w:val="center"/>
        <w:rPr>
          <w:rFonts w:ascii="宋体" w:hAnsi="宋体" w:eastAsia="PMingLiU"/>
          <w:b/>
          <w:color w:val="auto"/>
          <w:sz w:val="44"/>
          <w:szCs w:val="44"/>
        </w:rPr>
      </w:pPr>
      <w:r>
        <w:rPr>
          <w:rFonts w:ascii="宋体" w:hAnsi="宋体" w:eastAsia="宋体"/>
          <w:b/>
          <w:color w:val="auto"/>
          <w:sz w:val="44"/>
          <w:szCs w:val="44"/>
        </w:rPr>
        <w:t>东莞市华龙实业有限公司</w:t>
      </w:r>
      <w:bookmarkEnd w:id="0"/>
    </w:p>
    <w:p>
      <w:pPr>
        <w:spacing w:line="600" w:lineRule="exact"/>
        <w:jc w:val="center"/>
        <w:rPr>
          <w:rFonts w:ascii="宋体" w:hAnsi="宋体" w:eastAsia="PMingLiU"/>
          <w:b/>
          <w:color w:val="auto"/>
          <w:sz w:val="44"/>
          <w:szCs w:val="44"/>
        </w:rPr>
      </w:pPr>
    </w:p>
    <w:p>
      <w:pPr>
        <w:spacing w:line="600" w:lineRule="exact"/>
        <w:jc w:val="center"/>
        <w:rPr>
          <w:rFonts w:ascii="黑体" w:hAnsi="黑体" w:eastAsia="PMingLiU"/>
          <w:b/>
          <w:color w:val="auto"/>
          <w:sz w:val="52"/>
          <w:szCs w:val="52"/>
        </w:rPr>
      </w:pPr>
      <w:r>
        <w:rPr>
          <w:rFonts w:ascii="黑体" w:hAnsi="黑体" w:eastAsia="黑体"/>
          <w:b/>
          <w:color w:val="auto"/>
          <w:sz w:val="52"/>
          <w:szCs w:val="52"/>
        </w:rPr>
        <w:t>安全评价报告</w:t>
      </w:r>
    </w:p>
    <w:p>
      <w:pPr>
        <w:spacing w:line="600" w:lineRule="exact"/>
        <w:jc w:val="center"/>
        <w:rPr>
          <w:rFonts w:ascii="黑体" w:hAnsi="黑体" w:eastAsia="PMingLiU"/>
          <w:color w:val="auto"/>
          <w:sz w:val="52"/>
          <w:szCs w:val="52"/>
        </w:rPr>
      </w:pPr>
    </w:p>
    <w:p>
      <w:pPr>
        <w:spacing w:line="600" w:lineRule="exact"/>
        <w:jc w:val="center"/>
        <w:rPr>
          <w:rFonts w:ascii="黑体" w:hAnsi="黑体" w:eastAsia="PMingLiU"/>
          <w:color w:val="auto"/>
          <w:sz w:val="52"/>
          <w:szCs w:val="52"/>
        </w:rPr>
      </w:pPr>
    </w:p>
    <w:p>
      <w:pPr>
        <w:spacing w:line="600" w:lineRule="exact"/>
        <w:jc w:val="center"/>
        <w:rPr>
          <w:rFonts w:ascii="黑体" w:hAnsi="黑体" w:eastAsia="PMingLiU"/>
          <w:color w:val="auto"/>
          <w:sz w:val="52"/>
          <w:szCs w:val="52"/>
        </w:rPr>
      </w:pPr>
    </w:p>
    <w:p>
      <w:pPr>
        <w:spacing w:line="600" w:lineRule="exact"/>
        <w:jc w:val="center"/>
        <w:rPr>
          <w:rFonts w:ascii="黑体" w:hAnsi="黑体" w:eastAsia="PMingLiU"/>
          <w:color w:val="auto"/>
          <w:sz w:val="52"/>
          <w:szCs w:val="52"/>
        </w:rPr>
      </w:pPr>
    </w:p>
    <w:p>
      <w:pPr>
        <w:spacing w:line="600" w:lineRule="exact"/>
        <w:jc w:val="center"/>
        <w:rPr>
          <w:rFonts w:ascii="黑体" w:hAnsi="黑体" w:eastAsia="PMingLiU"/>
          <w:color w:val="auto"/>
          <w:sz w:val="52"/>
          <w:szCs w:val="52"/>
        </w:rPr>
      </w:pPr>
    </w:p>
    <w:p>
      <w:pPr>
        <w:spacing w:line="600" w:lineRule="exact"/>
        <w:jc w:val="center"/>
        <w:rPr>
          <w:rFonts w:ascii="黑体" w:hAnsi="黑体" w:eastAsia="PMingLiU"/>
          <w:color w:val="auto"/>
          <w:sz w:val="52"/>
          <w:szCs w:val="52"/>
        </w:rPr>
      </w:pPr>
    </w:p>
    <w:p>
      <w:pPr>
        <w:spacing w:line="600" w:lineRule="exact"/>
        <w:jc w:val="center"/>
        <w:rPr>
          <w:rFonts w:ascii="黑体" w:hAnsi="黑体" w:eastAsia="PMingLiU"/>
          <w:color w:val="auto"/>
          <w:sz w:val="52"/>
          <w:szCs w:val="52"/>
        </w:rPr>
      </w:pPr>
    </w:p>
    <w:p>
      <w:pPr>
        <w:spacing w:line="600" w:lineRule="exact"/>
        <w:jc w:val="center"/>
        <w:rPr>
          <w:rFonts w:ascii="黑体" w:hAnsi="黑体" w:eastAsia="PMingLiU"/>
          <w:color w:val="auto"/>
          <w:sz w:val="52"/>
          <w:szCs w:val="52"/>
        </w:rPr>
      </w:pPr>
    </w:p>
    <w:p>
      <w:pPr>
        <w:widowControl/>
        <w:spacing w:line="600" w:lineRule="exact"/>
        <w:ind w:firstLine="1760" w:firstLineChars="550"/>
        <w:jc w:val="both"/>
        <w:rPr>
          <w:rFonts w:ascii="仿宋_GB2312" w:hAnsi="Times New Roman" w:eastAsia="仿宋_GB2312" w:cs="Times New Roman"/>
          <w:color w:val="auto"/>
          <w:sz w:val="32"/>
          <w:lang w:val="en-US" w:eastAsia="zh-CN" w:bidi="ar-SA"/>
        </w:rPr>
      </w:pPr>
      <w:r>
        <w:rPr>
          <w:rFonts w:ascii="仿宋_GB2312" w:hAnsi="Times New Roman" w:eastAsia="仿宋_GB2312" w:cs="Times New Roman"/>
          <w:color w:val="auto"/>
          <w:sz w:val="32"/>
          <w:lang w:val="en-US" w:eastAsia="zh-CN" w:bidi="ar-SA"/>
        </w:rPr>
        <w:t>被评价单位主要负责人：覃国振</w:t>
      </w:r>
    </w:p>
    <w:p>
      <w:pPr>
        <w:widowControl/>
        <w:spacing w:line="600" w:lineRule="exact"/>
        <w:ind w:firstLine="1760" w:firstLineChars="550"/>
        <w:jc w:val="both"/>
        <w:rPr>
          <w:rFonts w:ascii="仿宋_GB2312" w:hAnsi="Times New Roman" w:eastAsia="仿宋_GB2312" w:cs="Times New Roman"/>
          <w:color w:val="auto"/>
          <w:sz w:val="32"/>
          <w:lang w:val="en-US" w:eastAsia="zh-CN" w:bidi="ar-SA"/>
        </w:rPr>
      </w:pPr>
      <w:r>
        <w:rPr>
          <w:rFonts w:ascii="仿宋_GB2312" w:hAnsi="Times New Roman" w:eastAsia="仿宋_GB2312" w:cs="Times New Roman"/>
          <w:color w:val="auto"/>
          <w:sz w:val="32"/>
          <w:lang w:val="en-US" w:eastAsia="zh-CN" w:bidi="ar-SA"/>
        </w:rPr>
        <w:t>被评价单位经办人：</w:t>
      </w:r>
      <w:r>
        <w:rPr>
          <w:rFonts w:hint="eastAsia" w:ascii="仿宋_GB2312" w:hAnsi="Times New Roman" w:eastAsia="仿宋_GB2312" w:cs="Times New Roman"/>
          <w:color w:val="auto"/>
          <w:sz w:val="32"/>
          <w:lang w:val="en-US" w:eastAsia="zh-CN" w:bidi="ar-SA"/>
        </w:rPr>
        <w:t>黄锦斌</w:t>
      </w:r>
    </w:p>
    <w:p>
      <w:pPr>
        <w:widowControl/>
        <w:spacing w:line="600" w:lineRule="exact"/>
        <w:ind w:firstLine="1760" w:firstLineChars="550"/>
        <w:jc w:val="both"/>
        <w:rPr>
          <w:rFonts w:ascii="仿宋_GB2312" w:hAnsi="Times New Roman" w:eastAsia="仿宋_GB2312" w:cs="Times New Roman"/>
          <w:color w:val="auto"/>
          <w:sz w:val="32"/>
          <w:lang w:val="en-US" w:eastAsia="zh-CN" w:bidi="ar-SA"/>
        </w:rPr>
      </w:pPr>
      <w:r>
        <w:rPr>
          <w:rFonts w:ascii="仿宋_GB2312" w:hAnsi="Times New Roman" w:eastAsia="仿宋_GB2312" w:cs="Times New Roman"/>
          <w:color w:val="auto"/>
          <w:sz w:val="32"/>
          <w:lang w:val="en-US" w:eastAsia="zh-CN" w:bidi="ar-SA"/>
        </w:rPr>
        <w:t>被评价单位联系电话：</w:t>
      </w:r>
      <w:r>
        <w:rPr>
          <w:rFonts w:hint="eastAsia" w:ascii="仿宋_GB2312" w:hAnsi="Times New Roman" w:eastAsia="仿宋_GB2312" w:cs="Times New Roman"/>
          <w:color w:val="auto"/>
          <w:sz w:val="32"/>
          <w:lang w:val="en-US" w:eastAsia="zh-CN" w:bidi="ar-SA"/>
        </w:rPr>
        <w:t>13532884615</w:t>
      </w:r>
    </w:p>
    <w:p>
      <w:pPr>
        <w:widowControl/>
        <w:spacing w:line="600" w:lineRule="exact"/>
        <w:ind w:firstLine="1760" w:firstLineChars="550"/>
        <w:jc w:val="both"/>
        <w:rPr>
          <w:rFonts w:ascii="仿宋_GB2312" w:hAnsi="Times New Roman" w:eastAsia="仿宋_GB2312" w:cs="Times New Roman"/>
          <w:color w:val="auto"/>
          <w:sz w:val="32"/>
          <w:lang w:val="en-US" w:eastAsia="zh-CN" w:bidi="ar-SA"/>
        </w:rPr>
      </w:pPr>
    </w:p>
    <w:p>
      <w:pPr>
        <w:widowControl/>
        <w:spacing w:line="600" w:lineRule="exact"/>
        <w:ind w:firstLine="1760" w:firstLineChars="550"/>
        <w:jc w:val="both"/>
        <w:rPr>
          <w:rFonts w:ascii="仿宋_GB2312" w:hAnsi="Times New Roman" w:eastAsia="仿宋_GB2312" w:cs="Times New Roman"/>
          <w:color w:val="auto"/>
          <w:sz w:val="32"/>
          <w:lang w:val="en-US" w:eastAsia="zh-CN" w:bidi="ar-SA"/>
        </w:rPr>
      </w:pPr>
    </w:p>
    <w:p>
      <w:pPr>
        <w:widowControl/>
        <w:spacing w:line="600" w:lineRule="exact"/>
        <w:ind w:left="-2" w:leftChars="-1" w:firstLine="1"/>
        <w:jc w:val="center"/>
        <w:rPr>
          <w:rFonts w:ascii="仿宋_GB2312" w:hAnsi="Times New Roman" w:eastAsia="仿宋_GB2312" w:cs="Times New Roman"/>
          <w:color w:val="auto"/>
          <w:sz w:val="32"/>
          <w:lang w:val="en-US" w:eastAsia="zh-CN" w:bidi="ar-SA"/>
        </w:rPr>
      </w:pPr>
      <w:r>
        <w:rPr>
          <w:rFonts w:ascii="仿宋_GB2312" w:hAnsi="Times New Roman" w:eastAsia="仿宋_GB2312" w:cs="Times New Roman"/>
          <w:color w:val="auto"/>
          <w:sz w:val="32"/>
          <w:lang w:val="en-US" w:eastAsia="zh-CN" w:bidi="ar-SA"/>
        </w:rPr>
        <w:t>(被评价单位公章)</w:t>
      </w:r>
    </w:p>
    <w:p>
      <w:pPr>
        <w:widowControl/>
        <w:spacing w:line="600" w:lineRule="exact"/>
        <w:ind w:left="-2" w:leftChars="-1" w:firstLine="1"/>
        <w:jc w:val="center"/>
        <w:rPr>
          <w:rFonts w:ascii="仿宋_GB2312" w:hAnsi="Times New Roman" w:eastAsia="仿宋_GB2312" w:cs="Times New Roman"/>
          <w:color w:val="auto"/>
          <w:sz w:val="32"/>
          <w:lang w:val="en-US" w:eastAsia="zh-CN" w:bidi="ar-SA"/>
        </w:rPr>
      </w:pPr>
      <w:r>
        <w:rPr>
          <w:rFonts w:ascii="仿宋_GB2312" w:hAnsi="Times New Roman" w:eastAsia="仿宋_GB2312" w:cs="Times New Roman"/>
          <w:color w:val="auto"/>
          <w:sz w:val="32"/>
          <w:lang w:val="en-US" w:eastAsia="zh-CN" w:bidi="ar-SA"/>
        </w:rPr>
        <w:t>20</w:t>
      </w:r>
      <w:r>
        <w:rPr>
          <w:rFonts w:hint="eastAsia" w:ascii="仿宋_GB2312" w:hAnsi="Times New Roman" w:eastAsia="仿宋_GB2312" w:cs="Times New Roman"/>
          <w:color w:val="auto"/>
          <w:sz w:val="32"/>
          <w:lang w:val="en-US" w:eastAsia="zh-CN" w:bidi="ar-SA"/>
        </w:rPr>
        <w:t>20</w:t>
      </w:r>
      <w:r>
        <w:rPr>
          <w:rFonts w:ascii="仿宋_GB2312" w:hAnsi="Times New Roman" w:eastAsia="仿宋_GB2312" w:cs="Times New Roman"/>
          <w:color w:val="auto"/>
          <w:sz w:val="32"/>
          <w:lang w:val="en-US" w:eastAsia="zh-CN" w:bidi="ar-SA"/>
        </w:rPr>
        <w:t>年</w:t>
      </w:r>
      <w:r>
        <w:rPr>
          <w:rFonts w:hint="eastAsia" w:ascii="仿宋_GB2312" w:hAnsi="Times New Roman" w:eastAsia="仿宋_GB2312" w:cs="Times New Roman"/>
          <w:color w:val="auto"/>
          <w:sz w:val="32"/>
          <w:lang w:val="en-US" w:eastAsia="zh-CN" w:bidi="ar-SA"/>
        </w:rPr>
        <w:t>05</w:t>
      </w:r>
      <w:r>
        <w:rPr>
          <w:rFonts w:ascii="仿宋_GB2312" w:hAnsi="Times New Roman" w:eastAsia="仿宋_GB2312" w:cs="Times New Roman"/>
          <w:color w:val="auto"/>
          <w:sz w:val="32"/>
          <w:lang w:val="en-US" w:eastAsia="zh-CN" w:bidi="ar-SA"/>
        </w:rPr>
        <w:t>月</w:t>
      </w:r>
      <w:r>
        <w:rPr>
          <w:rFonts w:hint="eastAsia" w:ascii="仿宋_GB2312" w:hAnsi="Times New Roman" w:eastAsia="仿宋_GB2312" w:cs="Times New Roman"/>
          <w:color w:val="auto"/>
          <w:sz w:val="32"/>
          <w:lang w:val="en-US" w:eastAsia="zh-CN" w:bidi="ar-SA"/>
        </w:rPr>
        <w:t>07</w:t>
      </w:r>
      <w:r>
        <w:rPr>
          <w:rFonts w:ascii="仿宋_GB2312" w:hAnsi="Times New Roman" w:eastAsia="仿宋_GB2312" w:cs="Times New Roman"/>
          <w:color w:val="auto"/>
          <w:sz w:val="32"/>
          <w:lang w:val="en-US" w:eastAsia="zh-CN" w:bidi="ar-SA"/>
        </w:rPr>
        <w:t>日</w:t>
      </w:r>
    </w:p>
    <w:p>
      <w:pPr>
        <w:rPr>
          <w:rFonts w:ascii="仿宋_GB2312" w:hAnsi="Times New Roman" w:eastAsia="仿宋_GB2312" w:cs="Times New Roman"/>
          <w:color w:val="auto"/>
          <w:sz w:val="32"/>
          <w:lang w:val="en-US" w:eastAsia="zh-CN" w:bidi="ar-SA"/>
        </w:rPr>
      </w:pPr>
      <w:r>
        <w:rPr>
          <w:rFonts w:ascii="仿宋_GB2312" w:hAnsi="Times New Roman" w:eastAsia="仿宋_GB2312" w:cs="Times New Roman"/>
          <w:color w:val="auto"/>
          <w:sz w:val="32"/>
          <w:lang w:val="en-US" w:eastAsia="zh-CN" w:bidi="ar-SA"/>
        </w:rPr>
        <w:br w:type="page"/>
      </w:r>
    </w:p>
    <w:p>
      <w:pPr>
        <w:pStyle w:val="2"/>
        <w:rPr>
          <w:lang w:val="en-US" w:eastAsia="zh-CN"/>
        </w:rPr>
      </w:pPr>
    </w:p>
    <w:p>
      <w:pPr>
        <w:spacing w:line="560" w:lineRule="exact"/>
        <w:jc w:val="center"/>
        <w:rPr>
          <w:rFonts w:hint="eastAsia" w:ascii="仿宋_GB2312" w:hAnsi="宋体" w:eastAsia="仿宋_GB2312"/>
          <w:b/>
          <w:bCs/>
          <w:color w:val="auto"/>
          <w:sz w:val="36"/>
          <w:szCs w:val="36"/>
          <w:lang w:val="en-GB"/>
        </w:rPr>
      </w:pPr>
    </w:p>
    <w:p>
      <w:pPr>
        <w:spacing w:line="560" w:lineRule="exact"/>
        <w:jc w:val="center"/>
        <w:rPr>
          <w:rFonts w:ascii="仿宋_GB2312" w:hAnsi="宋体" w:eastAsia="仿宋_GB2312"/>
          <w:b/>
          <w:bCs/>
          <w:color w:val="auto"/>
          <w:sz w:val="36"/>
          <w:szCs w:val="36"/>
          <w:lang w:val="en-GB"/>
        </w:rPr>
      </w:pPr>
      <w:r>
        <w:rPr>
          <w:rFonts w:hint="eastAsia" w:ascii="仿宋_GB2312" w:hAnsi="宋体" w:eastAsia="仿宋_GB2312"/>
          <w:b/>
          <w:bCs/>
          <w:color w:val="auto"/>
          <w:sz w:val="36"/>
          <w:szCs w:val="36"/>
          <w:lang w:val="en-GB"/>
        </w:rPr>
        <w:t>东莞市华龙实业有限公司</w:t>
      </w:r>
    </w:p>
    <w:p>
      <w:pPr>
        <w:widowControl/>
        <w:spacing w:line="500" w:lineRule="exact"/>
        <w:jc w:val="center"/>
        <w:rPr>
          <w:rFonts w:ascii="宋体"/>
          <w:b/>
          <w:color w:val="auto"/>
          <w:sz w:val="52"/>
          <w:lang w:val="en-GB"/>
        </w:rPr>
      </w:pPr>
    </w:p>
    <w:p>
      <w:pPr>
        <w:widowControl/>
        <w:jc w:val="center"/>
        <w:rPr>
          <w:rFonts w:ascii="宋体" w:hAnsi="宋体" w:eastAsia="宋体"/>
          <w:b/>
          <w:bCs/>
          <w:color w:val="auto"/>
          <w:sz w:val="52"/>
          <w:szCs w:val="52"/>
        </w:rPr>
      </w:pPr>
      <w:r>
        <w:rPr>
          <w:rFonts w:hint="eastAsia" w:ascii="宋体" w:hAnsi="宋体" w:eastAsia="宋体"/>
          <w:b/>
          <w:bCs/>
          <w:color w:val="auto"/>
          <w:sz w:val="52"/>
          <w:szCs w:val="52"/>
        </w:rPr>
        <w:t>安全评价报告</w:t>
      </w:r>
    </w:p>
    <w:p>
      <w:pPr>
        <w:widowControl/>
        <w:rPr>
          <w:rFonts w:ascii="仿宋_GB2312" w:eastAsia="仿宋_GB2312"/>
          <w:color w:val="auto"/>
          <w:sz w:val="32"/>
        </w:rPr>
      </w:pPr>
    </w:p>
    <w:p>
      <w:pPr>
        <w:widowControl/>
        <w:rPr>
          <w:rFonts w:ascii="仿宋_GB2312" w:eastAsia="仿宋_GB2312"/>
          <w:color w:val="auto"/>
          <w:sz w:val="32"/>
        </w:rPr>
      </w:pPr>
    </w:p>
    <w:p>
      <w:pPr>
        <w:widowControl/>
        <w:rPr>
          <w:rFonts w:ascii="仿宋_GB2312" w:eastAsia="仿宋_GB2312"/>
          <w:color w:val="auto"/>
          <w:sz w:val="32"/>
        </w:rPr>
      </w:pPr>
    </w:p>
    <w:p>
      <w:pPr>
        <w:widowControl/>
        <w:rPr>
          <w:rFonts w:ascii="仿宋_GB2312" w:eastAsia="仿宋_GB2312"/>
          <w:color w:val="auto"/>
          <w:sz w:val="32"/>
        </w:rPr>
      </w:pPr>
    </w:p>
    <w:p>
      <w:pPr>
        <w:widowControl/>
        <w:rPr>
          <w:rFonts w:ascii="仿宋_GB2312" w:eastAsia="仿宋_GB2312"/>
          <w:color w:val="auto"/>
          <w:sz w:val="32"/>
        </w:rPr>
      </w:pPr>
    </w:p>
    <w:p>
      <w:pPr>
        <w:widowControl/>
        <w:rPr>
          <w:rFonts w:ascii="仿宋_GB2312" w:eastAsia="仿宋_GB2312"/>
          <w:color w:val="auto"/>
          <w:sz w:val="32"/>
        </w:rPr>
      </w:pPr>
    </w:p>
    <w:p>
      <w:pPr>
        <w:widowControl/>
        <w:rPr>
          <w:rFonts w:ascii="仿宋_GB2312" w:eastAsia="仿宋_GB2312"/>
          <w:color w:val="auto"/>
          <w:sz w:val="32"/>
        </w:rPr>
      </w:pPr>
    </w:p>
    <w:p>
      <w:pPr>
        <w:widowControl/>
        <w:rPr>
          <w:rFonts w:ascii="仿宋_GB2312" w:eastAsia="仿宋_GB2312"/>
          <w:color w:val="auto"/>
          <w:sz w:val="32"/>
        </w:rPr>
      </w:pPr>
    </w:p>
    <w:p>
      <w:pPr>
        <w:widowControl/>
        <w:rPr>
          <w:rFonts w:ascii="仿宋_GB2312" w:eastAsia="仿宋_GB2312"/>
          <w:color w:val="auto"/>
          <w:sz w:val="32"/>
        </w:rPr>
      </w:pPr>
    </w:p>
    <w:p>
      <w:pPr>
        <w:spacing w:line="360" w:lineRule="auto"/>
        <w:ind w:firstLine="1680" w:firstLineChars="600"/>
        <w:jc w:val="both"/>
        <w:rPr>
          <w:rFonts w:ascii="宋体" w:hAnsi="宋体" w:eastAsia="宋体"/>
          <w:bCs/>
          <w:color w:val="auto"/>
          <w:sz w:val="28"/>
          <w:szCs w:val="28"/>
          <w:highlight w:val="yellow"/>
        </w:rPr>
      </w:pPr>
      <w:r>
        <w:rPr>
          <w:rFonts w:hint="eastAsia" w:ascii="宋体" w:hAnsi="宋体" w:eastAsia="宋体"/>
          <w:bCs/>
          <w:color w:val="auto"/>
          <w:sz w:val="28"/>
          <w:szCs w:val="28"/>
        </w:rPr>
        <w:t>评价机构名称：广东安源鼎盛检测评价技术服务有限公司</w:t>
      </w:r>
    </w:p>
    <w:p>
      <w:pPr>
        <w:spacing w:line="360" w:lineRule="auto"/>
        <w:ind w:firstLine="1680" w:firstLineChars="600"/>
        <w:jc w:val="both"/>
        <w:rPr>
          <w:rFonts w:ascii="宋体" w:hAnsi="宋体" w:eastAsia="宋体"/>
          <w:bCs/>
          <w:color w:val="auto"/>
          <w:sz w:val="28"/>
          <w:szCs w:val="28"/>
        </w:rPr>
      </w:pPr>
      <w:r>
        <w:rPr>
          <w:rFonts w:hint="eastAsia" w:ascii="宋体" w:hAnsi="宋体" w:eastAsia="宋体"/>
          <w:bCs/>
          <w:color w:val="auto"/>
          <w:sz w:val="28"/>
          <w:szCs w:val="28"/>
        </w:rPr>
        <w:t>资质证书编号：APJ-（粤）-333</w:t>
      </w:r>
    </w:p>
    <w:p>
      <w:pPr>
        <w:spacing w:line="360" w:lineRule="auto"/>
        <w:ind w:firstLine="1680" w:firstLineChars="600"/>
        <w:jc w:val="both"/>
        <w:rPr>
          <w:rFonts w:ascii="宋体" w:hAnsi="宋体" w:eastAsia="宋体"/>
          <w:bCs/>
          <w:color w:val="auto"/>
          <w:sz w:val="28"/>
          <w:szCs w:val="28"/>
        </w:rPr>
      </w:pPr>
      <w:r>
        <w:rPr>
          <w:rFonts w:hint="eastAsia" w:ascii="宋体" w:hAnsi="宋体" w:eastAsia="宋体"/>
          <w:bCs/>
          <w:color w:val="auto"/>
          <w:sz w:val="28"/>
          <w:szCs w:val="28"/>
        </w:rPr>
        <w:t>法定代表人：鲍玉朴</w:t>
      </w:r>
    </w:p>
    <w:p>
      <w:pPr>
        <w:spacing w:line="360" w:lineRule="auto"/>
        <w:ind w:firstLine="1680" w:firstLineChars="600"/>
        <w:jc w:val="both"/>
        <w:rPr>
          <w:rFonts w:ascii="宋体" w:hAnsi="宋体" w:eastAsia="宋体"/>
          <w:bCs/>
          <w:color w:val="auto"/>
          <w:sz w:val="28"/>
          <w:szCs w:val="28"/>
        </w:rPr>
      </w:pPr>
      <w:r>
        <w:rPr>
          <w:rFonts w:hint="eastAsia" w:ascii="宋体" w:hAnsi="宋体" w:eastAsia="宋体"/>
          <w:bCs/>
          <w:color w:val="auto"/>
          <w:sz w:val="28"/>
          <w:szCs w:val="28"/>
          <w:lang w:eastAsia="zh-CN"/>
        </w:rPr>
        <w:t>技术负责人</w:t>
      </w:r>
      <w:r>
        <w:rPr>
          <w:rFonts w:hint="eastAsia" w:ascii="宋体" w:hAnsi="宋体" w:eastAsia="宋体"/>
          <w:bCs/>
          <w:color w:val="auto"/>
          <w:sz w:val="28"/>
          <w:szCs w:val="28"/>
        </w:rPr>
        <w:t>：孙红军</w:t>
      </w:r>
    </w:p>
    <w:p>
      <w:pPr>
        <w:spacing w:line="360" w:lineRule="auto"/>
        <w:ind w:firstLine="1680" w:firstLineChars="600"/>
        <w:jc w:val="both"/>
        <w:rPr>
          <w:rFonts w:ascii="宋体" w:hAnsi="宋体" w:eastAsia="宋体"/>
          <w:bCs/>
          <w:color w:val="auto"/>
          <w:sz w:val="28"/>
          <w:szCs w:val="28"/>
        </w:rPr>
      </w:pPr>
      <w:r>
        <w:rPr>
          <w:rFonts w:hint="eastAsia" w:ascii="宋体" w:hAnsi="宋体" w:eastAsia="宋体"/>
          <w:bCs/>
          <w:color w:val="auto"/>
          <w:sz w:val="28"/>
          <w:szCs w:val="28"/>
        </w:rPr>
        <w:t>评价负责人：彭书萍</w:t>
      </w:r>
    </w:p>
    <w:p>
      <w:pPr>
        <w:spacing w:line="360" w:lineRule="auto"/>
        <w:ind w:firstLine="1680" w:firstLineChars="600"/>
        <w:jc w:val="both"/>
        <w:rPr>
          <w:rFonts w:ascii="宋体" w:hAnsi="宋体" w:eastAsia="宋体"/>
          <w:b/>
          <w:color w:val="auto"/>
          <w:sz w:val="32"/>
          <w:lang w:val="en-US"/>
        </w:rPr>
      </w:pPr>
      <w:r>
        <w:rPr>
          <w:rFonts w:hint="eastAsia" w:ascii="宋体" w:hAnsi="宋体" w:eastAsia="宋体"/>
          <w:bCs/>
          <w:color w:val="auto"/>
          <w:sz w:val="28"/>
          <w:szCs w:val="28"/>
        </w:rPr>
        <w:t>评价机构联系电话：</w:t>
      </w:r>
      <w:r>
        <w:rPr>
          <w:rFonts w:hint="eastAsia" w:ascii="宋体" w:hAnsi="宋体" w:eastAsia="宋体"/>
          <w:bCs/>
          <w:color w:val="auto"/>
          <w:sz w:val="28"/>
          <w:szCs w:val="28"/>
          <w:lang w:val="en-US"/>
        </w:rPr>
        <w:t>0769-22869222</w:t>
      </w:r>
    </w:p>
    <w:p>
      <w:pPr>
        <w:widowControl/>
        <w:spacing w:line="560" w:lineRule="exact"/>
        <w:rPr>
          <w:rFonts w:ascii="仿宋_GB2312" w:eastAsia="仿宋_GB2312"/>
          <w:b/>
          <w:color w:val="auto"/>
          <w:sz w:val="32"/>
          <w:lang w:val="en-US"/>
        </w:rPr>
      </w:pPr>
    </w:p>
    <w:p>
      <w:pPr>
        <w:widowControl/>
        <w:spacing w:line="560" w:lineRule="exact"/>
        <w:rPr>
          <w:rFonts w:ascii="仿宋_GB2312" w:eastAsia="仿宋_GB2312"/>
          <w:b/>
          <w:color w:val="auto"/>
          <w:sz w:val="32"/>
        </w:rPr>
      </w:pPr>
    </w:p>
    <w:p>
      <w:pPr>
        <w:ind w:right="272"/>
        <w:jc w:val="center"/>
        <w:rPr>
          <w:b/>
          <w:color w:val="auto"/>
        </w:rPr>
      </w:pPr>
      <w:r>
        <w:rPr>
          <w:rFonts w:hint="eastAsia"/>
          <w:b/>
          <w:color w:val="auto"/>
        </w:rPr>
        <w:t>2020年</w:t>
      </w:r>
      <w:r>
        <w:rPr>
          <w:rFonts w:hint="eastAsia" w:eastAsiaTheme="minorEastAsia"/>
          <w:b/>
          <w:color w:val="auto"/>
          <w:lang w:val="en-US" w:eastAsia="zh-CN"/>
        </w:rPr>
        <w:t>05</w:t>
      </w:r>
      <w:r>
        <w:rPr>
          <w:rFonts w:hint="eastAsia"/>
          <w:b/>
          <w:color w:val="auto"/>
        </w:rPr>
        <w:t>月</w:t>
      </w:r>
      <w:r>
        <w:rPr>
          <w:rFonts w:hint="eastAsia"/>
          <w:b/>
          <w:color w:val="auto"/>
          <w:lang w:val="en-US"/>
        </w:rPr>
        <w:t>07</w:t>
      </w:r>
      <w:r>
        <w:rPr>
          <w:rFonts w:hint="eastAsia"/>
          <w:b/>
          <w:color w:val="auto"/>
        </w:rPr>
        <w:t>日</w:t>
      </w:r>
    </w:p>
    <w:p>
      <w:pPr>
        <w:ind w:right="272"/>
        <w:jc w:val="center"/>
        <w:rPr>
          <w:b/>
          <w:color w:val="auto"/>
        </w:rPr>
      </w:pPr>
      <w:r>
        <w:rPr>
          <w:rFonts w:hint="eastAsia"/>
          <w:b/>
          <w:color w:val="auto"/>
        </w:rPr>
        <w:t>（安全评价机构公章）</w:t>
      </w:r>
    </w:p>
    <w:p>
      <w:pPr>
        <w:rPr>
          <w:rFonts w:ascii="仿宋_GB2312" w:eastAsia="仿宋_GB2312"/>
          <w:b/>
          <w:color w:val="auto"/>
          <w:sz w:val="32"/>
        </w:rPr>
      </w:pPr>
      <w:r>
        <w:rPr>
          <w:rFonts w:ascii="仿宋_GB2312" w:eastAsia="仿宋_GB2312"/>
          <w:b/>
          <w:color w:val="auto"/>
          <w:sz w:val="32"/>
        </w:rPr>
        <w:br w:type="page"/>
      </w:r>
    </w:p>
    <w:p>
      <w:pPr>
        <w:jc w:val="center"/>
        <w:rPr>
          <w:rFonts w:eastAsiaTheme="minorEastAsia"/>
          <w:b/>
          <w:color w:val="auto"/>
          <w:sz w:val="32"/>
          <w:szCs w:val="32"/>
          <w:lang w:eastAsia="zh-CN"/>
        </w:rPr>
      </w:pPr>
      <w:r>
        <w:rPr>
          <w:rFonts w:hint="eastAsia" w:eastAsiaTheme="minorEastAsia"/>
          <w:b/>
          <w:color w:val="auto"/>
          <w:sz w:val="32"/>
          <w:szCs w:val="32"/>
          <w:lang w:eastAsia="zh-CN"/>
        </w:rPr>
        <w:t>东莞市华龙实业有限公司安全评价报告</w:t>
      </w:r>
    </w:p>
    <w:p>
      <w:pPr>
        <w:spacing w:beforeLines="50" w:afterLines="50" w:line="560" w:lineRule="exact"/>
        <w:jc w:val="center"/>
        <w:rPr>
          <w:rFonts w:ascii="仿宋_GB2312"/>
          <w:b/>
          <w:bCs/>
          <w:color w:val="auto"/>
          <w:sz w:val="32"/>
          <w:szCs w:val="32"/>
        </w:rPr>
      </w:pPr>
      <w:r>
        <w:rPr>
          <w:rFonts w:hint="eastAsia" w:ascii="仿宋_GB2312"/>
          <w:b/>
          <w:bCs/>
          <w:color w:val="auto"/>
          <w:sz w:val="32"/>
          <w:szCs w:val="32"/>
        </w:rPr>
        <w:t>评价人员</w:t>
      </w:r>
    </w:p>
    <w:tbl>
      <w:tblPr>
        <w:tblStyle w:val="45"/>
        <w:tblW w:w="93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04"/>
        <w:gridCol w:w="1200"/>
        <w:gridCol w:w="2923"/>
        <w:gridCol w:w="1277"/>
        <w:gridCol w:w="1185"/>
        <w:gridCol w:w="12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504"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sz w:val="24"/>
                <w:szCs w:val="24"/>
              </w:rPr>
            </w:pPr>
          </w:p>
        </w:tc>
        <w:tc>
          <w:tcPr>
            <w:tcW w:w="1200"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b/>
                <w:bCs/>
                <w:color w:val="auto"/>
                <w:sz w:val="24"/>
                <w:szCs w:val="24"/>
              </w:rPr>
            </w:pPr>
            <w:r>
              <w:rPr>
                <w:rFonts w:hint="eastAsia" w:ascii="宋体" w:hAnsi="宋体" w:eastAsia="宋体" w:cs="宋体"/>
                <w:b/>
                <w:bCs/>
                <w:color w:val="auto"/>
                <w:sz w:val="24"/>
                <w:szCs w:val="24"/>
              </w:rPr>
              <w:t>姓  名</w:t>
            </w:r>
          </w:p>
        </w:tc>
        <w:tc>
          <w:tcPr>
            <w:tcW w:w="2923"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b/>
                <w:bCs/>
                <w:color w:val="auto"/>
                <w:sz w:val="24"/>
                <w:szCs w:val="24"/>
              </w:rPr>
            </w:pPr>
            <w:r>
              <w:rPr>
                <w:rFonts w:hint="eastAsia" w:ascii="宋体" w:hAnsi="宋体" w:eastAsia="宋体" w:cs="宋体"/>
                <w:b/>
                <w:bCs/>
                <w:color w:val="auto"/>
                <w:sz w:val="24"/>
                <w:szCs w:val="24"/>
              </w:rPr>
              <w:t>资格证书号</w:t>
            </w:r>
          </w:p>
        </w:tc>
        <w:tc>
          <w:tcPr>
            <w:tcW w:w="1277"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b/>
                <w:bCs/>
                <w:color w:val="auto"/>
                <w:sz w:val="24"/>
                <w:szCs w:val="24"/>
              </w:rPr>
            </w:pPr>
            <w:r>
              <w:rPr>
                <w:rFonts w:hint="eastAsia" w:ascii="宋体" w:hAnsi="宋体" w:eastAsia="宋体" w:cs="宋体"/>
                <w:b/>
                <w:bCs/>
                <w:color w:val="auto"/>
                <w:sz w:val="24"/>
                <w:szCs w:val="24"/>
              </w:rPr>
              <w:t>从业编号</w:t>
            </w:r>
          </w:p>
        </w:tc>
        <w:tc>
          <w:tcPr>
            <w:tcW w:w="1185"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b/>
                <w:bCs/>
                <w:color w:val="auto"/>
                <w:sz w:val="24"/>
                <w:szCs w:val="24"/>
                <w:lang w:eastAsia="zh-CN"/>
              </w:rPr>
            </w:pPr>
            <w:r>
              <w:rPr>
                <w:rFonts w:hint="eastAsia" w:ascii="宋体" w:hAnsi="宋体" w:eastAsia="宋体" w:cs="宋体"/>
                <w:b/>
                <w:bCs/>
                <w:color w:val="auto"/>
                <w:sz w:val="24"/>
                <w:szCs w:val="24"/>
                <w:lang w:eastAsia="zh-CN"/>
              </w:rPr>
              <w:t>专业能力</w:t>
            </w:r>
          </w:p>
        </w:tc>
        <w:tc>
          <w:tcPr>
            <w:tcW w:w="1265"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b/>
                <w:bCs/>
                <w:color w:val="auto"/>
                <w:sz w:val="24"/>
                <w:szCs w:val="24"/>
              </w:rPr>
            </w:pPr>
            <w:r>
              <w:rPr>
                <w:rFonts w:hint="eastAsia" w:ascii="宋体" w:hAnsi="宋体" w:eastAsia="宋体" w:cs="宋体"/>
                <w:b/>
                <w:bCs/>
                <w:color w:val="auto"/>
                <w:sz w:val="24"/>
                <w:szCs w:val="24"/>
              </w:rPr>
              <w:t>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504" w:type="dxa"/>
            <w:noWrap w:val="0"/>
            <w:vAlign w:val="center"/>
          </w:tcPr>
          <w:p>
            <w:pPr>
              <w:keepNext w:val="0"/>
              <w:keepLines w:val="0"/>
              <w:suppressLineNumbers w:val="0"/>
              <w:adjustRightInd w:val="0"/>
              <w:snapToGrid w:val="0"/>
              <w:spacing w:before="0" w:beforeAutospacing="0" w:after="0" w:afterAutospacing="0" w:line="320" w:lineRule="exact"/>
              <w:ind w:left="0" w:right="0"/>
              <w:jc w:val="center"/>
              <w:rPr>
                <w:rFonts w:hint="eastAsia" w:ascii="宋体" w:hAnsi="宋体" w:eastAsia="宋体" w:cs="宋体"/>
                <w:b/>
                <w:bCs/>
                <w:color w:val="auto"/>
                <w:sz w:val="24"/>
                <w:szCs w:val="24"/>
              </w:rPr>
            </w:pPr>
            <w:r>
              <w:rPr>
                <w:rFonts w:hint="eastAsia" w:ascii="宋体" w:hAnsi="宋体" w:eastAsia="宋体" w:cs="宋体"/>
                <w:b/>
                <w:bCs/>
                <w:color w:val="auto"/>
                <w:sz w:val="24"/>
                <w:szCs w:val="24"/>
              </w:rPr>
              <w:t>项目负责人</w:t>
            </w:r>
          </w:p>
        </w:tc>
        <w:tc>
          <w:tcPr>
            <w:tcW w:w="1200" w:type="dxa"/>
            <w:noWrap w:val="0"/>
            <w:vAlign w:val="center"/>
          </w:tcPr>
          <w:p>
            <w:pPr>
              <w:keepNext w:val="0"/>
              <w:keepLines w:val="0"/>
              <w:suppressLineNumbers w:val="0"/>
              <w:adjustRightInd w:val="0"/>
              <w:snapToGrid w:val="0"/>
              <w:spacing w:before="0" w:beforeAutospacing="0" w:after="0" w:afterAutospacing="0" w:line="320" w:lineRule="exact"/>
              <w:ind w:left="0" w:right="0"/>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彭书萍</w:t>
            </w:r>
          </w:p>
        </w:tc>
        <w:tc>
          <w:tcPr>
            <w:tcW w:w="2923" w:type="dxa"/>
            <w:noWrap w:val="0"/>
            <w:vAlign w:val="center"/>
          </w:tcPr>
          <w:p>
            <w:pPr>
              <w:keepNext w:val="0"/>
              <w:keepLines w:val="0"/>
              <w:suppressLineNumbers w:val="0"/>
              <w:adjustRightInd w:val="0"/>
              <w:snapToGrid w:val="0"/>
              <w:spacing w:before="0" w:beforeAutospacing="0" w:after="0" w:afterAutospacing="0" w:line="320" w:lineRule="exact"/>
              <w:ind w:left="0" w:right="0"/>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1800000000201047</w:t>
            </w:r>
          </w:p>
        </w:tc>
        <w:tc>
          <w:tcPr>
            <w:tcW w:w="1277" w:type="dxa"/>
            <w:noWrap w:val="0"/>
            <w:vAlign w:val="center"/>
          </w:tcPr>
          <w:p>
            <w:pPr>
              <w:keepNext w:val="0"/>
              <w:keepLines w:val="0"/>
              <w:suppressLineNumbers w:val="0"/>
              <w:adjustRightInd w:val="0"/>
              <w:snapToGrid w:val="0"/>
              <w:spacing w:before="0" w:beforeAutospacing="0" w:after="0" w:afterAutospacing="0" w:line="320" w:lineRule="exact"/>
              <w:ind w:left="0" w:right="0"/>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033515</w:t>
            </w:r>
          </w:p>
        </w:tc>
        <w:tc>
          <w:tcPr>
            <w:tcW w:w="1185"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化工工艺</w:t>
            </w:r>
          </w:p>
        </w:tc>
        <w:tc>
          <w:tcPr>
            <w:tcW w:w="1265"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504" w:type="dxa"/>
            <w:vMerge w:val="restart"/>
            <w:noWrap w:val="0"/>
            <w:vAlign w:val="center"/>
          </w:tcPr>
          <w:p>
            <w:pPr>
              <w:keepNext w:val="0"/>
              <w:keepLines w:val="0"/>
              <w:suppressLineNumbers w:val="0"/>
              <w:adjustRightInd w:val="0"/>
              <w:snapToGrid w:val="0"/>
              <w:spacing w:before="0" w:beforeAutospacing="0" w:after="0" w:afterAutospacing="0" w:line="320" w:lineRule="exact"/>
              <w:ind w:left="0" w:right="0"/>
              <w:jc w:val="center"/>
              <w:rPr>
                <w:rFonts w:hint="eastAsia" w:ascii="宋体" w:hAnsi="宋体" w:eastAsia="宋体" w:cs="宋体"/>
                <w:b/>
                <w:bCs/>
                <w:color w:val="auto"/>
                <w:sz w:val="24"/>
                <w:szCs w:val="24"/>
              </w:rPr>
            </w:pPr>
            <w:r>
              <w:rPr>
                <w:rFonts w:hint="eastAsia" w:ascii="宋体" w:hAnsi="宋体" w:eastAsia="宋体" w:cs="宋体"/>
                <w:b/>
                <w:bCs/>
                <w:color w:val="auto"/>
                <w:sz w:val="24"/>
                <w:szCs w:val="24"/>
              </w:rPr>
              <w:t>项目组成员</w:t>
            </w:r>
          </w:p>
        </w:tc>
        <w:tc>
          <w:tcPr>
            <w:tcW w:w="1200" w:type="dxa"/>
            <w:noWrap w:val="0"/>
            <w:vAlign w:val="center"/>
          </w:tcPr>
          <w:p>
            <w:pPr>
              <w:keepNext w:val="0"/>
              <w:keepLines w:val="0"/>
              <w:suppressLineNumbers w:val="0"/>
              <w:spacing w:before="0" w:beforeAutospacing="0" w:after="0" w:afterAutospacing="0" w:line="440" w:lineRule="exact"/>
              <w:ind w:left="0" w:leftChars="0" w:right="0" w:rightChars="0"/>
              <w:jc w:val="center"/>
              <w:rPr>
                <w:rFonts w:hint="eastAsia" w:ascii="宋体" w:hAnsi="宋体" w:eastAsia="宋体" w:cs="宋体"/>
                <w:color w:val="auto"/>
                <w:sz w:val="24"/>
                <w:szCs w:val="24"/>
                <w:lang w:val="en-US" w:eastAsia="zh-CN"/>
              </w:rPr>
            </w:pPr>
            <w:r>
              <w:rPr>
                <w:rFonts w:hint="eastAsia" w:ascii="宋体" w:hAnsi="宋体" w:eastAsia="宋体" w:cs="宋体"/>
                <w:bCs/>
                <w:color w:val="auto"/>
                <w:sz w:val="24"/>
                <w:szCs w:val="24"/>
                <w:lang w:val="en-US" w:eastAsia="zh-CN"/>
              </w:rPr>
              <w:t>江俊霖</w:t>
            </w:r>
          </w:p>
        </w:tc>
        <w:tc>
          <w:tcPr>
            <w:tcW w:w="2923" w:type="dxa"/>
            <w:noWrap w:val="0"/>
            <w:vAlign w:val="center"/>
          </w:tcPr>
          <w:p>
            <w:pPr>
              <w:keepNext w:val="0"/>
              <w:keepLines w:val="0"/>
              <w:suppressLineNumbers w:val="0"/>
              <w:spacing w:before="0" w:beforeAutospacing="0" w:after="0" w:afterAutospacing="0" w:line="440" w:lineRule="exact"/>
              <w:ind w:left="0" w:leftChars="0" w:right="0" w:rightChars="0"/>
              <w:jc w:val="center"/>
              <w:rPr>
                <w:rFonts w:hint="eastAsia" w:ascii="宋体" w:hAnsi="宋体" w:eastAsia="宋体" w:cs="宋体"/>
                <w:color w:val="auto"/>
                <w:sz w:val="24"/>
                <w:szCs w:val="24"/>
                <w:lang w:val="en-US" w:eastAsia="zh-CN"/>
              </w:rPr>
            </w:pPr>
            <w:r>
              <w:rPr>
                <w:rFonts w:hint="eastAsia" w:ascii="宋体" w:hAnsi="宋体" w:eastAsia="宋体" w:cs="宋体"/>
                <w:bCs/>
                <w:color w:val="auto"/>
                <w:sz w:val="24"/>
                <w:szCs w:val="24"/>
                <w:lang w:val="en-US" w:eastAsia="zh-CN"/>
              </w:rPr>
              <w:t>1800000000201143</w:t>
            </w:r>
          </w:p>
        </w:tc>
        <w:tc>
          <w:tcPr>
            <w:tcW w:w="1277" w:type="dxa"/>
            <w:noWrap w:val="0"/>
            <w:vAlign w:val="center"/>
          </w:tcPr>
          <w:p>
            <w:pPr>
              <w:keepNext w:val="0"/>
              <w:keepLines w:val="0"/>
              <w:suppressLineNumbers w:val="0"/>
              <w:spacing w:before="0" w:beforeAutospacing="0" w:after="0" w:afterAutospacing="0" w:line="440" w:lineRule="exact"/>
              <w:ind w:left="0" w:leftChars="0" w:right="0" w:rightChars="0"/>
              <w:jc w:val="center"/>
              <w:rPr>
                <w:rFonts w:hint="eastAsia" w:ascii="宋体" w:hAnsi="宋体" w:eastAsia="宋体" w:cs="宋体"/>
                <w:color w:val="auto"/>
                <w:sz w:val="24"/>
                <w:szCs w:val="24"/>
                <w:lang w:val="en-US" w:eastAsia="zh-CN"/>
              </w:rPr>
            </w:pPr>
            <w:r>
              <w:rPr>
                <w:rFonts w:hint="eastAsia" w:ascii="宋体" w:hAnsi="宋体" w:eastAsia="宋体" w:cs="宋体"/>
                <w:bCs/>
                <w:color w:val="auto"/>
                <w:sz w:val="24"/>
                <w:szCs w:val="24"/>
                <w:lang w:val="en-US" w:eastAsia="zh-CN"/>
              </w:rPr>
              <w:t>034488</w:t>
            </w:r>
          </w:p>
        </w:tc>
        <w:tc>
          <w:tcPr>
            <w:tcW w:w="1185" w:type="dxa"/>
            <w:noWrap w:val="0"/>
            <w:vAlign w:val="center"/>
          </w:tcPr>
          <w:p>
            <w:pPr>
              <w:keepNext w:val="0"/>
              <w:keepLines w:val="0"/>
              <w:suppressLineNumbers w:val="0"/>
              <w:spacing w:before="0" w:beforeAutospacing="0" w:after="0" w:afterAutospacing="0" w:line="440" w:lineRule="exact"/>
              <w:ind w:left="0" w:leftChars="0" w:right="0" w:rightChars="0"/>
              <w:jc w:val="center"/>
              <w:rPr>
                <w:rFonts w:hint="eastAsia" w:ascii="宋体" w:hAnsi="宋体" w:eastAsia="宋体" w:cs="宋体"/>
                <w:color w:val="auto"/>
                <w:sz w:val="24"/>
                <w:szCs w:val="24"/>
                <w:lang w:eastAsia="zh-CN"/>
              </w:rPr>
            </w:pPr>
            <w:r>
              <w:rPr>
                <w:rFonts w:hint="eastAsia" w:ascii="宋体" w:hAnsi="宋体" w:eastAsia="宋体" w:cs="宋体"/>
                <w:bCs/>
                <w:color w:val="auto"/>
                <w:sz w:val="24"/>
                <w:szCs w:val="24"/>
                <w:lang w:val="en-US" w:eastAsia="zh-CN"/>
              </w:rPr>
              <w:t>安全</w:t>
            </w:r>
          </w:p>
        </w:tc>
        <w:tc>
          <w:tcPr>
            <w:tcW w:w="1265"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504" w:type="dxa"/>
            <w:vMerge w:val="continue"/>
            <w:noWrap w:val="0"/>
            <w:vAlign w:val="center"/>
          </w:tcPr>
          <w:p>
            <w:pPr>
              <w:keepNext w:val="0"/>
              <w:keepLines w:val="0"/>
              <w:suppressLineNumbers w:val="0"/>
              <w:adjustRightInd w:val="0"/>
              <w:snapToGrid w:val="0"/>
              <w:spacing w:before="0" w:beforeAutospacing="0" w:after="0" w:afterAutospacing="0" w:line="320" w:lineRule="exact"/>
              <w:ind w:left="0" w:right="0"/>
              <w:jc w:val="center"/>
              <w:rPr>
                <w:rFonts w:hint="eastAsia" w:ascii="宋体" w:hAnsi="宋体" w:eastAsia="宋体" w:cs="宋体"/>
                <w:b/>
                <w:bCs/>
                <w:color w:val="auto"/>
                <w:sz w:val="24"/>
                <w:szCs w:val="24"/>
              </w:rPr>
            </w:pPr>
          </w:p>
        </w:tc>
        <w:tc>
          <w:tcPr>
            <w:tcW w:w="1200" w:type="dxa"/>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4"/>
                <w:szCs w:val="24"/>
                <w:lang w:val="en-US" w:eastAsia="zh-CN"/>
              </w:rPr>
            </w:pPr>
            <w:r>
              <w:rPr>
                <w:rFonts w:hint="eastAsia" w:ascii="宋体" w:hAnsi="宋体" w:eastAsia="宋体" w:cs="宋体"/>
                <w:i w:val="0"/>
                <w:color w:val="auto"/>
                <w:kern w:val="0"/>
                <w:sz w:val="24"/>
                <w:szCs w:val="24"/>
                <w:u w:val="none"/>
                <w:lang w:val="en-US" w:eastAsia="zh-CN" w:bidi="ar"/>
              </w:rPr>
              <w:t>高领超</w:t>
            </w:r>
          </w:p>
        </w:tc>
        <w:tc>
          <w:tcPr>
            <w:tcW w:w="2923" w:type="dxa"/>
            <w:noWrap w:val="0"/>
            <w:vAlign w:val="center"/>
          </w:tcPr>
          <w:p>
            <w:pPr>
              <w:keepNext w:val="0"/>
              <w:keepLines w:val="0"/>
              <w:suppressLineNumbers w:val="0"/>
              <w:adjustRightInd w:val="0"/>
              <w:snapToGrid w:val="0"/>
              <w:spacing w:before="0" w:beforeAutospacing="0" w:after="0" w:afterAutospacing="0" w:line="320" w:lineRule="exact"/>
              <w:ind w:left="0" w:right="0"/>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1600000000300318</w:t>
            </w:r>
          </w:p>
        </w:tc>
        <w:tc>
          <w:tcPr>
            <w:tcW w:w="1277" w:type="dxa"/>
            <w:noWrap w:val="0"/>
            <w:vAlign w:val="center"/>
          </w:tcPr>
          <w:p>
            <w:pPr>
              <w:keepNext w:val="0"/>
              <w:keepLines w:val="0"/>
              <w:suppressLineNumbers w:val="0"/>
              <w:adjustRightInd w:val="0"/>
              <w:snapToGrid w:val="0"/>
              <w:spacing w:before="0" w:beforeAutospacing="0" w:after="0" w:afterAutospacing="0" w:line="320" w:lineRule="exact"/>
              <w:ind w:left="0" w:right="0"/>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031667</w:t>
            </w:r>
          </w:p>
        </w:tc>
        <w:tc>
          <w:tcPr>
            <w:tcW w:w="1185"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电气</w:t>
            </w:r>
          </w:p>
        </w:tc>
        <w:tc>
          <w:tcPr>
            <w:tcW w:w="1265"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504" w:type="dxa"/>
            <w:vMerge w:val="continue"/>
            <w:noWrap w:val="0"/>
            <w:vAlign w:val="center"/>
          </w:tcPr>
          <w:p>
            <w:pPr>
              <w:keepNext w:val="0"/>
              <w:keepLines w:val="0"/>
              <w:suppressLineNumbers w:val="0"/>
              <w:adjustRightInd w:val="0"/>
              <w:snapToGrid w:val="0"/>
              <w:spacing w:before="0" w:beforeAutospacing="0" w:after="0" w:afterAutospacing="0" w:line="320" w:lineRule="exact"/>
              <w:ind w:left="0" w:right="0"/>
              <w:jc w:val="center"/>
              <w:rPr>
                <w:rFonts w:hint="eastAsia" w:ascii="宋体" w:hAnsi="宋体" w:eastAsia="宋体" w:cs="宋体"/>
                <w:b/>
                <w:bCs/>
                <w:color w:val="auto"/>
                <w:sz w:val="24"/>
                <w:szCs w:val="24"/>
              </w:rPr>
            </w:pPr>
          </w:p>
        </w:tc>
        <w:tc>
          <w:tcPr>
            <w:tcW w:w="1200" w:type="dxa"/>
            <w:noWrap w:val="0"/>
            <w:vAlign w:val="center"/>
          </w:tcPr>
          <w:p>
            <w:pPr>
              <w:jc w:val="center"/>
              <w:rPr>
                <w:rFonts w:hint="eastAsia" w:ascii="宋体" w:hAnsi="宋体" w:eastAsia="宋体" w:cs="宋体"/>
                <w:color w:val="auto"/>
                <w:sz w:val="24"/>
                <w:szCs w:val="24"/>
                <w:lang w:val="en-US" w:eastAsia="zh-CN" w:bidi="zh-CN"/>
              </w:rPr>
            </w:pPr>
            <w:r>
              <w:rPr>
                <w:rFonts w:hint="eastAsia" w:ascii="宋体" w:hAnsi="宋体" w:eastAsia="宋体" w:cs="宋体"/>
                <w:color w:val="auto"/>
                <w:sz w:val="24"/>
                <w:szCs w:val="24"/>
                <w:lang w:val="en-US" w:eastAsia="zh-CN"/>
              </w:rPr>
              <w:t>梁淑君</w:t>
            </w:r>
          </w:p>
        </w:tc>
        <w:tc>
          <w:tcPr>
            <w:tcW w:w="2923" w:type="dxa"/>
            <w:noWrap w:val="0"/>
            <w:vAlign w:val="center"/>
          </w:tcPr>
          <w:p>
            <w:pPr>
              <w:jc w:val="center"/>
              <w:rPr>
                <w:rFonts w:hint="eastAsia" w:ascii="宋体" w:hAnsi="宋体" w:eastAsia="宋体" w:cs="宋体"/>
                <w:color w:val="auto"/>
                <w:sz w:val="24"/>
                <w:szCs w:val="24"/>
                <w:lang w:val="en-US" w:eastAsia="zh-CN" w:bidi="zh-CN"/>
              </w:rPr>
            </w:pPr>
            <w:r>
              <w:rPr>
                <w:rFonts w:hint="eastAsia" w:ascii="宋体" w:hAnsi="宋体" w:eastAsia="宋体" w:cs="宋体"/>
                <w:color w:val="auto"/>
                <w:sz w:val="24"/>
                <w:szCs w:val="24"/>
                <w:lang w:val="en-US" w:eastAsia="zh-CN"/>
              </w:rPr>
              <w:t>S011044000110192002611</w:t>
            </w:r>
          </w:p>
        </w:tc>
        <w:tc>
          <w:tcPr>
            <w:tcW w:w="1277" w:type="dxa"/>
            <w:noWrap w:val="0"/>
            <w:vAlign w:val="center"/>
          </w:tcPr>
          <w:p>
            <w:pPr>
              <w:jc w:val="center"/>
              <w:rPr>
                <w:rFonts w:hint="eastAsia" w:ascii="宋体" w:hAnsi="宋体" w:eastAsia="宋体" w:cs="宋体"/>
                <w:color w:val="auto"/>
                <w:sz w:val="24"/>
                <w:szCs w:val="24"/>
                <w:lang w:val="en-US" w:eastAsia="zh-CN" w:bidi="zh-CN"/>
              </w:rPr>
            </w:pPr>
            <w:r>
              <w:rPr>
                <w:rFonts w:hint="eastAsia" w:ascii="宋体" w:hAnsi="宋体" w:eastAsia="宋体" w:cs="宋体"/>
                <w:color w:val="auto"/>
                <w:sz w:val="24"/>
                <w:szCs w:val="24"/>
                <w:lang w:val="en-US" w:eastAsia="zh-CN"/>
              </w:rPr>
              <w:t>037285</w:t>
            </w:r>
          </w:p>
        </w:tc>
        <w:tc>
          <w:tcPr>
            <w:tcW w:w="1185" w:type="dxa"/>
            <w:noWrap w:val="0"/>
            <w:vAlign w:val="center"/>
          </w:tcPr>
          <w:p>
            <w:pPr>
              <w:spacing w:line="440" w:lineRule="exact"/>
              <w:jc w:val="center"/>
              <w:rPr>
                <w:rFonts w:hint="eastAsia" w:ascii="宋体" w:hAnsi="宋体" w:eastAsia="宋体" w:cs="宋体"/>
                <w:color w:val="auto"/>
                <w:sz w:val="24"/>
                <w:szCs w:val="24"/>
                <w:lang w:val="zh-CN" w:eastAsia="zh-CN" w:bidi="zh-CN"/>
              </w:rPr>
            </w:pPr>
            <w:r>
              <w:rPr>
                <w:rFonts w:hint="eastAsia" w:ascii="宋体" w:hAnsi="宋体" w:eastAsia="宋体" w:cs="宋体"/>
                <w:bCs/>
                <w:color w:val="auto"/>
                <w:sz w:val="24"/>
                <w:szCs w:val="24"/>
                <w:lang w:val="en-US" w:eastAsia="zh-CN"/>
              </w:rPr>
              <w:t>化工机械</w:t>
            </w:r>
          </w:p>
        </w:tc>
        <w:tc>
          <w:tcPr>
            <w:tcW w:w="1265"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504" w:type="dxa"/>
            <w:vMerge w:val="continue"/>
            <w:noWrap w:val="0"/>
            <w:vAlign w:val="center"/>
          </w:tcPr>
          <w:p>
            <w:pPr>
              <w:keepNext w:val="0"/>
              <w:keepLines w:val="0"/>
              <w:suppressLineNumbers w:val="0"/>
              <w:adjustRightInd w:val="0"/>
              <w:snapToGrid w:val="0"/>
              <w:spacing w:before="0" w:beforeAutospacing="0" w:after="0" w:afterAutospacing="0" w:line="320" w:lineRule="exact"/>
              <w:ind w:left="0" w:right="0"/>
              <w:jc w:val="center"/>
              <w:rPr>
                <w:rFonts w:hint="eastAsia" w:ascii="宋体" w:hAnsi="宋体" w:eastAsia="宋体" w:cs="宋体"/>
                <w:b/>
                <w:bCs/>
                <w:color w:val="auto"/>
                <w:sz w:val="24"/>
                <w:szCs w:val="24"/>
              </w:rPr>
            </w:pPr>
          </w:p>
        </w:tc>
        <w:tc>
          <w:tcPr>
            <w:tcW w:w="1200" w:type="dxa"/>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4"/>
                <w:szCs w:val="24"/>
                <w:lang w:val="en-US" w:eastAsia="zh-CN"/>
              </w:rPr>
            </w:pPr>
            <w:r>
              <w:rPr>
                <w:rFonts w:hint="eastAsia" w:ascii="宋体" w:hAnsi="宋体" w:eastAsia="宋体" w:cs="宋体"/>
                <w:i w:val="0"/>
                <w:color w:val="auto"/>
                <w:kern w:val="0"/>
                <w:sz w:val="24"/>
                <w:szCs w:val="24"/>
                <w:u w:val="none"/>
                <w:lang w:val="en-US" w:eastAsia="zh-CN" w:bidi="ar"/>
              </w:rPr>
              <w:t>任长江</w:t>
            </w:r>
          </w:p>
        </w:tc>
        <w:tc>
          <w:tcPr>
            <w:tcW w:w="2923" w:type="dxa"/>
            <w:noWrap w:val="0"/>
            <w:vAlign w:val="center"/>
          </w:tcPr>
          <w:p>
            <w:pPr>
              <w:keepNext w:val="0"/>
              <w:keepLines w:val="0"/>
              <w:suppressLineNumbers w:val="0"/>
              <w:adjustRightInd w:val="0"/>
              <w:snapToGrid w:val="0"/>
              <w:spacing w:before="0" w:beforeAutospacing="0" w:after="0" w:afterAutospacing="0" w:line="320" w:lineRule="exact"/>
              <w:ind w:left="0" w:right="0"/>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1600000000200301</w:t>
            </w:r>
          </w:p>
        </w:tc>
        <w:tc>
          <w:tcPr>
            <w:tcW w:w="1277" w:type="dxa"/>
            <w:noWrap w:val="0"/>
            <w:vAlign w:val="center"/>
          </w:tcPr>
          <w:p>
            <w:pPr>
              <w:keepNext w:val="0"/>
              <w:keepLines w:val="0"/>
              <w:suppressLineNumbers w:val="0"/>
              <w:adjustRightInd w:val="0"/>
              <w:snapToGrid w:val="0"/>
              <w:spacing w:before="0" w:beforeAutospacing="0" w:after="0" w:afterAutospacing="0" w:line="320" w:lineRule="exact"/>
              <w:ind w:left="0" w:right="0"/>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028500</w:t>
            </w:r>
          </w:p>
        </w:tc>
        <w:tc>
          <w:tcPr>
            <w:tcW w:w="1185"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自动化</w:t>
            </w:r>
          </w:p>
        </w:tc>
        <w:tc>
          <w:tcPr>
            <w:tcW w:w="1265"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504" w:type="dxa"/>
            <w:vMerge w:val="restart"/>
            <w:noWrap w:val="0"/>
            <w:vAlign w:val="center"/>
          </w:tcPr>
          <w:p>
            <w:pPr>
              <w:keepNext w:val="0"/>
              <w:keepLines w:val="0"/>
              <w:suppressLineNumbers w:val="0"/>
              <w:adjustRightInd w:val="0"/>
              <w:snapToGrid w:val="0"/>
              <w:spacing w:before="0" w:beforeAutospacing="0" w:after="0" w:afterAutospacing="0" w:line="320" w:lineRule="exact"/>
              <w:ind w:left="0" w:right="0"/>
              <w:jc w:val="center"/>
              <w:rPr>
                <w:rFonts w:hint="eastAsia" w:ascii="宋体" w:hAnsi="宋体" w:eastAsia="宋体" w:cs="宋体"/>
                <w:b/>
                <w:bCs/>
                <w:color w:val="auto"/>
                <w:sz w:val="24"/>
                <w:szCs w:val="24"/>
              </w:rPr>
            </w:pPr>
            <w:r>
              <w:rPr>
                <w:rFonts w:hint="eastAsia" w:ascii="宋体" w:hAnsi="宋体" w:eastAsia="宋体" w:cs="宋体"/>
                <w:b/>
                <w:bCs/>
                <w:color w:val="auto"/>
                <w:sz w:val="24"/>
                <w:szCs w:val="24"/>
              </w:rPr>
              <w:t>报告编制人</w:t>
            </w:r>
          </w:p>
        </w:tc>
        <w:tc>
          <w:tcPr>
            <w:tcW w:w="1200" w:type="dxa"/>
            <w:noWrap w:val="0"/>
            <w:vAlign w:val="center"/>
          </w:tcPr>
          <w:p>
            <w:pPr>
              <w:keepNext w:val="0"/>
              <w:keepLines w:val="0"/>
              <w:suppressLineNumbers w:val="0"/>
              <w:adjustRightInd w:val="0"/>
              <w:snapToGrid w:val="0"/>
              <w:spacing w:before="0" w:beforeAutospacing="0" w:after="0" w:afterAutospacing="0" w:line="320" w:lineRule="exact"/>
              <w:ind w:left="0" w:leftChars="0" w:right="0" w:rightChars="0"/>
              <w:jc w:val="center"/>
              <w:rPr>
                <w:rFonts w:hint="eastAsia" w:ascii="宋体" w:hAnsi="宋体" w:eastAsia="宋体" w:cs="宋体"/>
                <w:color w:val="auto"/>
                <w:sz w:val="24"/>
                <w:szCs w:val="24"/>
                <w:lang w:val="en-US" w:eastAsia="zh-CN" w:bidi="zh-CN"/>
              </w:rPr>
            </w:pPr>
            <w:r>
              <w:rPr>
                <w:rFonts w:hint="eastAsia" w:ascii="宋体" w:hAnsi="宋体" w:eastAsia="宋体" w:cs="宋体"/>
                <w:color w:val="auto"/>
                <w:sz w:val="24"/>
                <w:szCs w:val="24"/>
                <w:lang w:val="en-US" w:eastAsia="zh-CN"/>
              </w:rPr>
              <w:t>彭书萍</w:t>
            </w:r>
          </w:p>
        </w:tc>
        <w:tc>
          <w:tcPr>
            <w:tcW w:w="2923" w:type="dxa"/>
            <w:noWrap w:val="0"/>
            <w:vAlign w:val="center"/>
          </w:tcPr>
          <w:p>
            <w:pPr>
              <w:keepNext w:val="0"/>
              <w:keepLines w:val="0"/>
              <w:suppressLineNumbers w:val="0"/>
              <w:adjustRightInd w:val="0"/>
              <w:snapToGrid w:val="0"/>
              <w:spacing w:before="0" w:beforeAutospacing="0" w:after="0" w:afterAutospacing="0" w:line="320" w:lineRule="exact"/>
              <w:ind w:left="0" w:leftChars="0" w:right="0" w:rightChars="0"/>
              <w:jc w:val="center"/>
              <w:rPr>
                <w:rFonts w:hint="eastAsia" w:ascii="宋体" w:hAnsi="宋体" w:eastAsia="宋体" w:cs="宋体"/>
                <w:color w:val="auto"/>
                <w:sz w:val="24"/>
                <w:szCs w:val="24"/>
                <w:lang w:val="en-US" w:eastAsia="zh-CN" w:bidi="zh-CN"/>
              </w:rPr>
            </w:pPr>
            <w:r>
              <w:rPr>
                <w:rFonts w:hint="eastAsia" w:ascii="宋体" w:hAnsi="宋体" w:eastAsia="宋体" w:cs="宋体"/>
                <w:color w:val="auto"/>
                <w:sz w:val="24"/>
                <w:szCs w:val="24"/>
                <w:lang w:val="en-US" w:eastAsia="zh-CN"/>
              </w:rPr>
              <w:t>1800000000201047</w:t>
            </w:r>
          </w:p>
        </w:tc>
        <w:tc>
          <w:tcPr>
            <w:tcW w:w="1277" w:type="dxa"/>
            <w:noWrap w:val="0"/>
            <w:vAlign w:val="center"/>
          </w:tcPr>
          <w:p>
            <w:pPr>
              <w:keepNext w:val="0"/>
              <w:keepLines w:val="0"/>
              <w:suppressLineNumbers w:val="0"/>
              <w:adjustRightInd w:val="0"/>
              <w:snapToGrid w:val="0"/>
              <w:spacing w:before="0" w:beforeAutospacing="0" w:after="0" w:afterAutospacing="0" w:line="320" w:lineRule="exact"/>
              <w:ind w:left="0" w:leftChars="0" w:right="0" w:rightChars="0"/>
              <w:jc w:val="center"/>
              <w:rPr>
                <w:rFonts w:hint="eastAsia" w:ascii="宋体" w:hAnsi="宋体" w:eastAsia="宋体" w:cs="宋体"/>
                <w:color w:val="auto"/>
                <w:sz w:val="24"/>
                <w:szCs w:val="24"/>
                <w:lang w:val="en-US" w:eastAsia="zh-CN" w:bidi="zh-CN"/>
              </w:rPr>
            </w:pPr>
            <w:r>
              <w:rPr>
                <w:rFonts w:hint="eastAsia" w:ascii="宋体" w:hAnsi="宋体" w:eastAsia="宋体" w:cs="宋体"/>
                <w:color w:val="auto"/>
                <w:sz w:val="24"/>
                <w:szCs w:val="24"/>
                <w:lang w:val="en-US" w:eastAsia="zh-CN"/>
              </w:rPr>
              <w:t>033515</w:t>
            </w:r>
          </w:p>
        </w:tc>
        <w:tc>
          <w:tcPr>
            <w:tcW w:w="1185" w:type="dxa"/>
            <w:noWrap w:val="0"/>
            <w:vAlign w:val="center"/>
          </w:tcPr>
          <w:p>
            <w:pPr>
              <w:keepNext w:val="0"/>
              <w:keepLines w:val="0"/>
              <w:suppressLineNumbers w:val="0"/>
              <w:spacing w:before="0" w:beforeAutospacing="0" w:after="0" w:afterAutospacing="0" w:line="360" w:lineRule="exact"/>
              <w:ind w:left="0" w:leftChars="0" w:right="0" w:rightChars="0"/>
              <w:jc w:val="center"/>
              <w:rPr>
                <w:rFonts w:hint="eastAsia" w:ascii="宋体" w:hAnsi="宋体" w:eastAsia="宋体" w:cs="宋体"/>
                <w:color w:val="auto"/>
                <w:sz w:val="24"/>
                <w:szCs w:val="24"/>
                <w:lang w:val="zh-CN" w:eastAsia="zh-CN" w:bidi="zh-CN"/>
              </w:rPr>
            </w:pPr>
            <w:r>
              <w:rPr>
                <w:rFonts w:hint="eastAsia" w:ascii="宋体" w:hAnsi="宋体" w:eastAsia="宋体" w:cs="宋体"/>
                <w:color w:val="auto"/>
                <w:sz w:val="24"/>
                <w:szCs w:val="24"/>
                <w:lang w:eastAsia="zh-CN"/>
              </w:rPr>
              <w:t>化工工艺</w:t>
            </w:r>
          </w:p>
        </w:tc>
        <w:tc>
          <w:tcPr>
            <w:tcW w:w="1265"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504" w:type="dxa"/>
            <w:vMerge w:val="continue"/>
            <w:noWrap w:val="0"/>
            <w:vAlign w:val="center"/>
          </w:tcPr>
          <w:p>
            <w:pPr>
              <w:keepNext w:val="0"/>
              <w:keepLines w:val="0"/>
              <w:suppressLineNumbers w:val="0"/>
              <w:adjustRightInd w:val="0"/>
              <w:snapToGrid w:val="0"/>
              <w:spacing w:before="0" w:beforeAutospacing="0" w:after="0" w:afterAutospacing="0" w:line="320" w:lineRule="exact"/>
              <w:ind w:left="0" w:right="0"/>
              <w:jc w:val="center"/>
              <w:rPr>
                <w:rFonts w:hint="eastAsia" w:ascii="宋体" w:hAnsi="宋体" w:eastAsia="宋体" w:cs="宋体"/>
                <w:b/>
                <w:bCs/>
                <w:color w:val="auto"/>
                <w:sz w:val="24"/>
                <w:szCs w:val="24"/>
              </w:rPr>
            </w:pPr>
          </w:p>
        </w:tc>
        <w:tc>
          <w:tcPr>
            <w:tcW w:w="1200" w:type="dxa"/>
            <w:noWrap w:val="0"/>
            <w:vAlign w:val="center"/>
          </w:tcPr>
          <w:p>
            <w:pPr>
              <w:keepNext w:val="0"/>
              <w:keepLines w:val="0"/>
              <w:suppressLineNumbers w:val="0"/>
              <w:spacing w:before="0" w:beforeAutospacing="0" w:after="0" w:afterAutospacing="0" w:line="440" w:lineRule="exact"/>
              <w:ind w:left="0" w:leftChars="0" w:right="0" w:rightChars="0"/>
              <w:jc w:val="center"/>
              <w:rPr>
                <w:rFonts w:hint="eastAsia" w:ascii="宋体" w:hAnsi="宋体" w:eastAsia="宋体" w:cs="宋体"/>
                <w:color w:val="auto"/>
                <w:sz w:val="24"/>
                <w:szCs w:val="24"/>
                <w:lang w:val="en-US" w:eastAsia="zh-CN" w:bidi="zh-CN"/>
              </w:rPr>
            </w:pPr>
            <w:r>
              <w:rPr>
                <w:rFonts w:hint="eastAsia" w:ascii="宋体" w:hAnsi="宋体" w:eastAsia="宋体" w:cs="宋体"/>
                <w:bCs/>
                <w:color w:val="auto"/>
                <w:sz w:val="24"/>
                <w:szCs w:val="24"/>
                <w:lang w:val="en-US" w:eastAsia="zh-CN"/>
              </w:rPr>
              <w:t>江俊霖</w:t>
            </w:r>
          </w:p>
        </w:tc>
        <w:tc>
          <w:tcPr>
            <w:tcW w:w="2923" w:type="dxa"/>
            <w:noWrap w:val="0"/>
            <w:vAlign w:val="center"/>
          </w:tcPr>
          <w:p>
            <w:pPr>
              <w:keepNext w:val="0"/>
              <w:keepLines w:val="0"/>
              <w:suppressLineNumbers w:val="0"/>
              <w:spacing w:before="0" w:beforeAutospacing="0" w:after="0" w:afterAutospacing="0" w:line="440" w:lineRule="exact"/>
              <w:ind w:left="0" w:leftChars="0" w:right="0" w:rightChars="0"/>
              <w:jc w:val="center"/>
              <w:rPr>
                <w:rFonts w:hint="eastAsia" w:ascii="宋体" w:hAnsi="宋体" w:eastAsia="宋体" w:cs="宋体"/>
                <w:color w:val="auto"/>
                <w:sz w:val="24"/>
                <w:szCs w:val="24"/>
                <w:lang w:val="en-US" w:eastAsia="zh-CN" w:bidi="zh-CN"/>
              </w:rPr>
            </w:pPr>
            <w:r>
              <w:rPr>
                <w:rFonts w:hint="eastAsia" w:ascii="宋体" w:hAnsi="宋体" w:eastAsia="宋体" w:cs="宋体"/>
                <w:bCs/>
                <w:color w:val="auto"/>
                <w:sz w:val="24"/>
                <w:szCs w:val="24"/>
                <w:lang w:val="en-US" w:eastAsia="zh-CN"/>
              </w:rPr>
              <w:t>1800000000201143</w:t>
            </w:r>
          </w:p>
        </w:tc>
        <w:tc>
          <w:tcPr>
            <w:tcW w:w="1277" w:type="dxa"/>
            <w:noWrap w:val="0"/>
            <w:vAlign w:val="center"/>
          </w:tcPr>
          <w:p>
            <w:pPr>
              <w:keepNext w:val="0"/>
              <w:keepLines w:val="0"/>
              <w:suppressLineNumbers w:val="0"/>
              <w:spacing w:before="0" w:beforeAutospacing="0" w:after="0" w:afterAutospacing="0" w:line="440" w:lineRule="exact"/>
              <w:ind w:left="0" w:leftChars="0" w:right="0" w:rightChars="0"/>
              <w:jc w:val="center"/>
              <w:rPr>
                <w:rFonts w:hint="eastAsia" w:ascii="宋体" w:hAnsi="宋体" w:eastAsia="宋体" w:cs="宋体"/>
                <w:color w:val="auto"/>
                <w:sz w:val="24"/>
                <w:szCs w:val="24"/>
                <w:lang w:val="en-US" w:eastAsia="zh-CN" w:bidi="zh-CN"/>
              </w:rPr>
            </w:pPr>
            <w:r>
              <w:rPr>
                <w:rFonts w:hint="eastAsia" w:ascii="宋体" w:hAnsi="宋体" w:eastAsia="宋体" w:cs="宋体"/>
                <w:bCs/>
                <w:color w:val="auto"/>
                <w:sz w:val="24"/>
                <w:szCs w:val="24"/>
                <w:lang w:val="en-US" w:eastAsia="zh-CN"/>
              </w:rPr>
              <w:t>034488</w:t>
            </w:r>
          </w:p>
        </w:tc>
        <w:tc>
          <w:tcPr>
            <w:tcW w:w="1185" w:type="dxa"/>
            <w:noWrap w:val="0"/>
            <w:vAlign w:val="center"/>
          </w:tcPr>
          <w:p>
            <w:pPr>
              <w:keepNext w:val="0"/>
              <w:keepLines w:val="0"/>
              <w:suppressLineNumbers w:val="0"/>
              <w:spacing w:before="0" w:beforeAutospacing="0" w:after="0" w:afterAutospacing="0" w:line="440" w:lineRule="exact"/>
              <w:ind w:left="0" w:leftChars="0" w:right="0" w:rightChars="0"/>
              <w:jc w:val="center"/>
              <w:rPr>
                <w:rFonts w:hint="eastAsia" w:ascii="宋体" w:hAnsi="宋体" w:eastAsia="宋体" w:cs="宋体"/>
                <w:color w:val="auto"/>
                <w:sz w:val="24"/>
                <w:szCs w:val="24"/>
                <w:lang w:val="zh-CN" w:eastAsia="zh-CN" w:bidi="zh-CN"/>
              </w:rPr>
            </w:pPr>
            <w:r>
              <w:rPr>
                <w:rFonts w:hint="eastAsia" w:ascii="宋体" w:hAnsi="宋体" w:eastAsia="宋体" w:cs="宋体"/>
                <w:bCs/>
                <w:color w:val="auto"/>
                <w:sz w:val="24"/>
                <w:szCs w:val="24"/>
                <w:lang w:val="en-US" w:eastAsia="zh-CN"/>
              </w:rPr>
              <w:t>安全</w:t>
            </w:r>
          </w:p>
        </w:tc>
        <w:tc>
          <w:tcPr>
            <w:tcW w:w="1265"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504" w:type="dxa"/>
            <w:vMerge w:val="continue"/>
            <w:noWrap w:val="0"/>
            <w:vAlign w:val="center"/>
          </w:tcPr>
          <w:p>
            <w:pPr>
              <w:keepNext w:val="0"/>
              <w:keepLines w:val="0"/>
              <w:suppressLineNumbers w:val="0"/>
              <w:adjustRightInd w:val="0"/>
              <w:snapToGrid w:val="0"/>
              <w:spacing w:before="0" w:beforeAutospacing="0" w:after="0" w:afterAutospacing="0" w:line="320" w:lineRule="exact"/>
              <w:ind w:left="0" w:right="0"/>
              <w:jc w:val="center"/>
              <w:rPr>
                <w:rFonts w:hint="eastAsia" w:ascii="宋体" w:hAnsi="宋体" w:eastAsia="宋体" w:cs="宋体"/>
                <w:b/>
                <w:bCs/>
                <w:color w:val="auto"/>
                <w:sz w:val="24"/>
                <w:szCs w:val="24"/>
              </w:rPr>
            </w:pPr>
          </w:p>
        </w:tc>
        <w:tc>
          <w:tcPr>
            <w:tcW w:w="1200" w:type="dxa"/>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4"/>
                <w:szCs w:val="24"/>
                <w:lang w:val="en-US" w:eastAsia="zh-CN" w:bidi="zh-CN"/>
              </w:rPr>
            </w:pPr>
            <w:r>
              <w:rPr>
                <w:rFonts w:hint="eastAsia" w:ascii="宋体" w:hAnsi="宋体" w:eastAsia="宋体" w:cs="宋体"/>
                <w:i w:val="0"/>
                <w:color w:val="auto"/>
                <w:kern w:val="0"/>
                <w:sz w:val="24"/>
                <w:szCs w:val="24"/>
                <w:u w:val="none"/>
                <w:lang w:val="en-US" w:eastAsia="zh-CN" w:bidi="ar"/>
              </w:rPr>
              <w:t>高领超</w:t>
            </w:r>
          </w:p>
        </w:tc>
        <w:tc>
          <w:tcPr>
            <w:tcW w:w="2923" w:type="dxa"/>
            <w:noWrap w:val="0"/>
            <w:vAlign w:val="center"/>
          </w:tcPr>
          <w:p>
            <w:pPr>
              <w:keepNext w:val="0"/>
              <w:keepLines w:val="0"/>
              <w:suppressLineNumbers w:val="0"/>
              <w:adjustRightInd w:val="0"/>
              <w:snapToGrid w:val="0"/>
              <w:spacing w:before="0" w:beforeAutospacing="0" w:after="0" w:afterAutospacing="0" w:line="320" w:lineRule="exact"/>
              <w:ind w:left="0" w:leftChars="0" w:right="0" w:rightChars="0"/>
              <w:jc w:val="center"/>
              <w:rPr>
                <w:rFonts w:hint="eastAsia" w:ascii="宋体" w:hAnsi="宋体" w:eastAsia="宋体" w:cs="宋体"/>
                <w:color w:val="auto"/>
                <w:sz w:val="24"/>
                <w:szCs w:val="24"/>
                <w:lang w:val="en-US" w:eastAsia="zh-CN" w:bidi="zh-CN"/>
              </w:rPr>
            </w:pPr>
            <w:r>
              <w:rPr>
                <w:rFonts w:hint="eastAsia" w:ascii="宋体" w:hAnsi="宋体" w:eastAsia="宋体" w:cs="宋体"/>
                <w:color w:val="auto"/>
                <w:sz w:val="24"/>
                <w:szCs w:val="24"/>
                <w:lang w:val="en-US" w:eastAsia="zh-CN"/>
              </w:rPr>
              <w:t>1600000000300318</w:t>
            </w:r>
          </w:p>
        </w:tc>
        <w:tc>
          <w:tcPr>
            <w:tcW w:w="1277" w:type="dxa"/>
            <w:noWrap w:val="0"/>
            <w:vAlign w:val="center"/>
          </w:tcPr>
          <w:p>
            <w:pPr>
              <w:keepNext w:val="0"/>
              <w:keepLines w:val="0"/>
              <w:suppressLineNumbers w:val="0"/>
              <w:adjustRightInd w:val="0"/>
              <w:snapToGrid w:val="0"/>
              <w:spacing w:before="0" w:beforeAutospacing="0" w:after="0" w:afterAutospacing="0" w:line="320" w:lineRule="exact"/>
              <w:ind w:left="0" w:leftChars="0" w:right="0" w:rightChars="0"/>
              <w:jc w:val="center"/>
              <w:rPr>
                <w:rFonts w:hint="eastAsia" w:ascii="宋体" w:hAnsi="宋体" w:eastAsia="宋体" w:cs="宋体"/>
                <w:color w:val="auto"/>
                <w:sz w:val="24"/>
                <w:szCs w:val="24"/>
                <w:lang w:val="en-US" w:eastAsia="zh-CN" w:bidi="zh-CN"/>
              </w:rPr>
            </w:pPr>
            <w:r>
              <w:rPr>
                <w:rFonts w:hint="eastAsia" w:ascii="宋体" w:hAnsi="宋体" w:eastAsia="宋体" w:cs="宋体"/>
                <w:color w:val="auto"/>
                <w:sz w:val="24"/>
                <w:szCs w:val="24"/>
                <w:lang w:val="en-US" w:eastAsia="zh-CN"/>
              </w:rPr>
              <w:t>031667</w:t>
            </w:r>
          </w:p>
        </w:tc>
        <w:tc>
          <w:tcPr>
            <w:tcW w:w="1185" w:type="dxa"/>
            <w:noWrap w:val="0"/>
            <w:vAlign w:val="center"/>
          </w:tcPr>
          <w:p>
            <w:pPr>
              <w:keepNext w:val="0"/>
              <w:keepLines w:val="0"/>
              <w:suppressLineNumbers w:val="0"/>
              <w:spacing w:before="0" w:beforeAutospacing="0" w:after="0" w:afterAutospacing="0" w:line="360" w:lineRule="exact"/>
              <w:ind w:left="0" w:leftChars="0" w:right="0" w:rightChars="0"/>
              <w:jc w:val="center"/>
              <w:rPr>
                <w:rFonts w:hint="eastAsia" w:ascii="宋体" w:hAnsi="宋体" w:eastAsia="宋体" w:cs="宋体"/>
                <w:color w:val="auto"/>
                <w:sz w:val="24"/>
                <w:szCs w:val="24"/>
                <w:lang w:val="zh-CN" w:eastAsia="zh-CN" w:bidi="zh-CN"/>
              </w:rPr>
            </w:pPr>
            <w:r>
              <w:rPr>
                <w:rFonts w:hint="eastAsia" w:ascii="宋体" w:hAnsi="宋体" w:eastAsia="宋体" w:cs="宋体"/>
                <w:color w:val="auto"/>
                <w:sz w:val="24"/>
                <w:szCs w:val="24"/>
                <w:lang w:eastAsia="zh-CN"/>
              </w:rPr>
              <w:t>电气</w:t>
            </w:r>
          </w:p>
        </w:tc>
        <w:tc>
          <w:tcPr>
            <w:tcW w:w="1265"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504" w:type="dxa"/>
            <w:vMerge w:val="continue"/>
            <w:noWrap w:val="0"/>
            <w:vAlign w:val="center"/>
          </w:tcPr>
          <w:p>
            <w:pPr>
              <w:keepNext w:val="0"/>
              <w:keepLines w:val="0"/>
              <w:suppressLineNumbers w:val="0"/>
              <w:adjustRightInd w:val="0"/>
              <w:snapToGrid w:val="0"/>
              <w:spacing w:before="0" w:beforeAutospacing="0" w:after="0" w:afterAutospacing="0" w:line="320" w:lineRule="exact"/>
              <w:ind w:left="0" w:right="0"/>
              <w:jc w:val="center"/>
              <w:rPr>
                <w:rFonts w:hint="eastAsia" w:ascii="宋体" w:hAnsi="宋体" w:eastAsia="宋体" w:cs="宋体"/>
                <w:b/>
                <w:bCs/>
                <w:color w:val="auto"/>
                <w:sz w:val="24"/>
                <w:szCs w:val="24"/>
              </w:rPr>
            </w:pPr>
          </w:p>
        </w:tc>
        <w:tc>
          <w:tcPr>
            <w:tcW w:w="1200" w:type="dxa"/>
            <w:noWrap w:val="0"/>
            <w:vAlign w:val="center"/>
          </w:tcPr>
          <w:p>
            <w:pPr>
              <w:jc w:val="center"/>
              <w:rPr>
                <w:rFonts w:hint="eastAsia" w:ascii="宋体" w:hAnsi="宋体" w:eastAsia="宋体" w:cs="宋体"/>
                <w:color w:val="auto"/>
                <w:sz w:val="24"/>
                <w:szCs w:val="24"/>
                <w:lang w:val="en-US" w:eastAsia="zh-CN" w:bidi="zh-CN"/>
              </w:rPr>
            </w:pPr>
            <w:r>
              <w:rPr>
                <w:rFonts w:hint="eastAsia" w:ascii="宋体" w:hAnsi="宋体" w:eastAsia="宋体" w:cs="宋体"/>
                <w:color w:val="auto"/>
                <w:sz w:val="24"/>
                <w:szCs w:val="24"/>
                <w:lang w:val="en-US" w:eastAsia="zh-CN"/>
              </w:rPr>
              <w:t>梁淑君</w:t>
            </w:r>
          </w:p>
        </w:tc>
        <w:tc>
          <w:tcPr>
            <w:tcW w:w="2923" w:type="dxa"/>
            <w:noWrap w:val="0"/>
            <w:vAlign w:val="center"/>
          </w:tcPr>
          <w:p>
            <w:pPr>
              <w:jc w:val="center"/>
              <w:rPr>
                <w:rFonts w:hint="eastAsia" w:ascii="宋体" w:hAnsi="宋体" w:eastAsia="宋体" w:cs="宋体"/>
                <w:color w:val="auto"/>
                <w:sz w:val="24"/>
                <w:szCs w:val="24"/>
                <w:lang w:val="en-US" w:eastAsia="zh-CN" w:bidi="zh-CN"/>
              </w:rPr>
            </w:pPr>
            <w:r>
              <w:rPr>
                <w:rFonts w:hint="eastAsia" w:ascii="宋体" w:hAnsi="宋体" w:eastAsia="宋体" w:cs="宋体"/>
                <w:color w:val="auto"/>
                <w:sz w:val="24"/>
                <w:szCs w:val="24"/>
                <w:lang w:val="en-US" w:eastAsia="zh-CN"/>
              </w:rPr>
              <w:t>S011044000110192002611</w:t>
            </w:r>
          </w:p>
        </w:tc>
        <w:tc>
          <w:tcPr>
            <w:tcW w:w="1277" w:type="dxa"/>
            <w:noWrap w:val="0"/>
            <w:vAlign w:val="center"/>
          </w:tcPr>
          <w:p>
            <w:pPr>
              <w:jc w:val="center"/>
              <w:rPr>
                <w:rFonts w:hint="eastAsia" w:ascii="宋体" w:hAnsi="宋体" w:eastAsia="宋体" w:cs="宋体"/>
                <w:color w:val="auto"/>
                <w:sz w:val="24"/>
                <w:szCs w:val="24"/>
                <w:lang w:val="en-US" w:eastAsia="zh-CN" w:bidi="zh-CN"/>
              </w:rPr>
            </w:pPr>
            <w:r>
              <w:rPr>
                <w:rFonts w:hint="eastAsia" w:ascii="宋体" w:hAnsi="宋体" w:eastAsia="宋体" w:cs="宋体"/>
                <w:color w:val="auto"/>
                <w:sz w:val="24"/>
                <w:szCs w:val="24"/>
                <w:lang w:val="en-US" w:eastAsia="zh-CN"/>
              </w:rPr>
              <w:t>037285</w:t>
            </w:r>
          </w:p>
        </w:tc>
        <w:tc>
          <w:tcPr>
            <w:tcW w:w="1185" w:type="dxa"/>
            <w:noWrap w:val="0"/>
            <w:vAlign w:val="center"/>
          </w:tcPr>
          <w:p>
            <w:pPr>
              <w:spacing w:line="440" w:lineRule="exact"/>
              <w:jc w:val="center"/>
              <w:rPr>
                <w:rFonts w:hint="eastAsia" w:ascii="宋体" w:hAnsi="宋体" w:eastAsia="宋体" w:cs="宋体"/>
                <w:color w:val="auto"/>
                <w:sz w:val="24"/>
                <w:szCs w:val="24"/>
                <w:lang w:val="zh-CN" w:eastAsia="zh-CN" w:bidi="zh-CN"/>
              </w:rPr>
            </w:pPr>
            <w:r>
              <w:rPr>
                <w:rFonts w:hint="eastAsia" w:ascii="宋体" w:hAnsi="宋体" w:eastAsia="宋体" w:cs="宋体"/>
                <w:bCs/>
                <w:color w:val="auto"/>
                <w:sz w:val="24"/>
                <w:szCs w:val="24"/>
                <w:lang w:val="en-US" w:eastAsia="zh-CN"/>
              </w:rPr>
              <w:t>化工机械</w:t>
            </w:r>
          </w:p>
        </w:tc>
        <w:tc>
          <w:tcPr>
            <w:tcW w:w="1265"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504" w:type="dxa"/>
            <w:vMerge w:val="continue"/>
            <w:noWrap w:val="0"/>
            <w:vAlign w:val="center"/>
          </w:tcPr>
          <w:p>
            <w:pPr>
              <w:keepNext w:val="0"/>
              <w:keepLines w:val="0"/>
              <w:suppressLineNumbers w:val="0"/>
              <w:adjustRightInd w:val="0"/>
              <w:snapToGrid w:val="0"/>
              <w:spacing w:before="0" w:beforeAutospacing="0" w:after="0" w:afterAutospacing="0" w:line="320" w:lineRule="exact"/>
              <w:ind w:left="0" w:right="0"/>
              <w:jc w:val="center"/>
              <w:rPr>
                <w:rFonts w:hint="eastAsia" w:ascii="宋体" w:hAnsi="宋体" w:eastAsia="宋体" w:cs="宋体"/>
                <w:b/>
                <w:bCs/>
                <w:color w:val="auto"/>
                <w:sz w:val="24"/>
                <w:szCs w:val="24"/>
              </w:rPr>
            </w:pPr>
          </w:p>
        </w:tc>
        <w:tc>
          <w:tcPr>
            <w:tcW w:w="1200" w:type="dxa"/>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color w:val="auto"/>
                <w:sz w:val="24"/>
                <w:szCs w:val="24"/>
                <w:lang w:val="en-US" w:eastAsia="zh-CN" w:bidi="zh-CN"/>
              </w:rPr>
            </w:pPr>
            <w:r>
              <w:rPr>
                <w:rFonts w:hint="eastAsia" w:ascii="宋体" w:hAnsi="宋体" w:eastAsia="宋体" w:cs="宋体"/>
                <w:i w:val="0"/>
                <w:color w:val="auto"/>
                <w:kern w:val="0"/>
                <w:sz w:val="24"/>
                <w:szCs w:val="24"/>
                <w:u w:val="none"/>
                <w:lang w:val="en-US" w:eastAsia="zh-CN" w:bidi="ar"/>
              </w:rPr>
              <w:t>任长江</w:t>
            </w:r>
          </w:p>
        </w:tc>
        <w:tc>
          <w:tcPr>
            <w:tcW w:w="2923" w:type="dxa"/>
            <w:noWrap w:val="0"/>
            <w:vAlign w:val="center"/>
          </w:tcPr>
          <w:p>
            <w:pPr>
              <w:keepNext w:val="0"/>
              <w:keepLines w:val="0"/>
              <w:suppressLineNumbers w:val="0"/>
              <w:adjustRightInd w:val="0"/>
              <w:snapToGrid w:val="0"/>
              <w:spacing w:before="0" w:beforeAutospacing="0" w:after="0" w:afterAutospacing="0" w:line="320" w:lineRule="exact"/>
              <w:ind w:left="0" w:leftChars="0" w:right="0" w:rightChars="0"/>
              <w:jc w:val="center"/>
              <w:rPr>
                <w:rFonts w:hint="eastAsia" w:ascii="宋体" w:hAnsi="宋体" w:eastAsia="宋体" w:cs="宋体"/>
                <w:color w:val="auto"/>
                <w:sz w:val="24"/>
                <w:szCs w:val="24"/>
                <w:lang w:val="en-US" w:eastAsia="zh-CN" w:bidi="zh-CN"/>
              </w:rPr>
            </w:pPr>
            <w:r>
              <w:rPr>
                <w:rFonts w:hint="eastAsia" w:ascii="宋体" w:hAnsi="宋体" w:eastAsia="宋体" w:cs="宋体"/>
                <w:color w:val="auto"/>
                <w:sz w:val="24"/>
                <w:szCs w:val="24"/>
                <w:lang w:val="en-US" w:eastAsia="zh-CN"/>
              </w:rPr>
              <w:t>1600000000200301</w:t>
            </w:r>
          </w:p>
        </w:tc>
        <w:tc>
          <w:tcPr>
            <w:tcW w:w="1277" w:type="dxa"/>
            <w:noWrap w:val="0"/>
            <w:vAlign w:val="center"/>
          </w:tcPr>
          <w:p>
            <w:pPr>
              <w:keepNext w:val="0"/>
              <w:keepLines w:val="0"/>
              <w:suppressLineNumbers w:val="0"/>
              <w:adjustRightInd w:val="0"/>
              <w:snapToGrid w:val="0"/>
              <w:spacing w:before="0" w:beforeAutospacing="0" w:after="0" w:afterAutospacing="0" w:line="320" w:lineRule="exact"/>
              <w:ind w:left="0" w:leftChars="0" w:right="0" w:rightChars="0"/>
              <w:jc w:val="center"/>
              <w:rPr>
                <w:rFonts w:hint="eastAsia" w:ascii="宋体" w:hAnsi="宋体" w:eastAsia="宋体" w:cs="宋体"/>
                <w:color w:val="auto"/>
                <w:sz w:val="24"/>
                <w:szCs w:val="24"/>
                <w:lang w:val="en-US" w:eastAsia="zh-CN" w:bidi="zh-CN"/>
              </w:rPr>
            </w:pPr>
            <w:r>
              <w:rPr>
                <w:rFonts w:hint="eastAsia" w:ascii="宋体" w:hAnsi="宋体" w:eastAsia="宋体" w:cs="宋体"/>
                <w:color w:val="auto"/>
                <w:sz w:val="24"/>
                <w:szCs w:val="24"/>
                <w:lang w:val="en-US" w:eastAsia="zh-CN"/>
              </w:rPr>
              <w:t>028500</w:t>
            </w:r>
          </w:p>
        </w:tc>
        <w:tc>
          <w:tcPr>
            <w:tcW w:w="1185" w:type="dxa"/>
            <w:noWrap w:val="0"/>
            <w:vAlign w:val="center"/>
          </w:tcPr>
          <w:p>
            <w:pPr>
              <w:keepNext w:val="0"/>
              <w:keepLines w:val="0"/>
              <w:suppressLineNumbers w:val="0"/>
              <w:spacing w:before="0" w:beforeAutospacing="0" w:after="0" w:afterAutospacing="0" w:line="360" w:lineRule="exact"/>
              <w:ind w:left="0" w:leftChars="0" w:right="0" w:rightChars="0"/>
              <w:jc w:val="center"/>
              <w:rPr>
                <w:rFonts w:hint="eastAsia" w:ascii="宋体" w:hAnsi="宋体" w:eastAsia="宋体" w:cs="宋体"/>
                <w:color w:val="auto"/>
                <w:sz w:val="24"/>
                <w:szCs w:val="24"/>
                <w:lang w:val="zh-CN" w:eastAsia="zh-CN" w:bidi="zh-CN"/>
              </w:rPr>
            </w:pPr>
            <w:r>
              <w:rPr>
                <w:rFonts w:hint="eastAsia" w:ascii="宋体" w:hAnsi="宋体" w:eastAsia="宋体" w:cs="宋体"/>
                <w:color w:val="auto"/>
                <w:sz w:val="24"/>
                <w:szCs w:val="24"/>
                <w:lang w:eastAsia="zh-CN"/>
              </w:rPr>
              <w:t>自动化</w:t>
            </w:r>
          </w:p>
        </w:tc>
        <w:tc>
          <w:tcPr>
            <w:tcW w:w="1265"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504" w:type="dxa"/>
            <w:noWrap w:val="0"/>
            <w:vAlign w:val="center"/>
          </w:tcPr>
          <w:p>
            <w:pPr>
              <w:keepNext w:val="0"/>
              <w:keepLines w:val="0"/>
              <w:suppressLineNumbers w:val="0"/>
              <w:adjustRightInd w:val="0"/>
              <w:snapToGrid w:val="0"/>
              <w:spacing w:before="0" w:beforeAutospacing="0" w:after="0" w:afterAutospacing="0" w:line="320" w:lineRule="exact"/>
              <w:ind w:left="0" w:right="0"/>
              <w:jc w:val="center"/>
              <w:rPr>
                <w:rFonts w:hint="eastAsia" w:ascii="宋体" w:hAnsi="宋体" w:eastAsia="宋体" w:cs="宋体"/>
                <w:b/>
                <w:bCs/>
                <w:color w:val="auto"/>
                <w:sz w:val="24"/>
                <w:szCs w:val="24"/>
              </w:rPr>
            </w:pPr>
            <w:r>
              <w:rPr>
                <w:rFonts w:hint="eastAsia" w:ascii="宋体" w:hAnsi="宋体" w:eastAsia="宋体" w:cs="宋体"/>
                <w:b/>
                <w:bCs/>
                <w:color w:val="auto"/>
                <w:sz w:val="24"/>
                <w:szCs w:val="24"/>
              </w:rPr>
              <w:t>报告审核人</w:t>
            </w:r>
          </w:p>
        </w:tc>
        <w:tc>
          <w:tcPr>
            <w:tcW w:w="1200" w:type="dxa"/>
            <w:noWrap w:val="0"/>
            <w:vAlign w:val="center"/>
          </w:tcPr>
          <w:p>
            <w:pPr>
              <w:keepNext w:val="0"/>
              <w:keepLines w:val="0"/>
              <w:suppressLineNumbers w:val="0"/>
              <w:adjustRightInd w:val="0"/>
              <w:snapToGrid w:val="0"/>
              <w:spacing w:before="0" w:beforeAutospacing="0" w:after="0" w:afterAutospacing="0" w:line="320" w:lineRule="exact"/>
              <w:ind w:left="0" w:right="0"/>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eastAsia="zh-CN"/>
              </w:rPr>
              <w:t>段长锋</w:t>
            </w:r>
          </w:p>
        </w:tc>
        <w:tc>
          <w:tcPr>
            <w:tcW w:w="2923" w:type="dxa"/>
            <w:noWrap w:val="0"/>
            <w:vAlign w:val="center"/>
          </w:tcPr>
          <w:p>
            <w:pPr>
              <w:keepNext w:val="0"/>
              <w:keepLines w:val="0"/>
              <w:suppressLineNumbers w:val="0"/>
              <w:adjustRightInd w:val="0"/>
              <w:snapToGrid w:val="0"/>
              <w:spacing w:before="0" w:beforeAutospacing="0" w:after="0" w:afterAutospacing="0" w:line="320" w:lineRule="exact"/>
              <w:ind w:left="0" w:right="0"/>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1200000000200384</w:t>
            </w:r>
          </w:p>
        </w:tc>
        <w:tc>
          <w:tcPr>
            <w:tcW w:w="1277" w:type="dxa"/>
            <w:noWrap w:val="0"/>
            <w:vAlign w:val="center"/>
          </w:tcPr>
          <w:p>
            <w:pPr>
              <w:keepNext w:val="0"/>
              <w:keepLines w:val="0"/>
              <w:suppressLineNumbers w:val="0"/>
              <w:adjustRightInd w:val="0"/>
              <w:snapToGrid w:val="0"/>
              <w:spacing w:before="0" w:beforeAutospacing="0" w:after="0" w:afterAutospacing="0" w:line="320" w:lineRule="exact"/>
              <w:ind w:left="0" w:right="0"/>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023267</w:t>
            </w:r>
          </w:p>
        </w:tc>
        <w:tc>
          <w:tcPr>
            <w:tcW w:w="1185"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安全</w:t>
            </w:r>
          </w:p>
        </w:tc>
        <w:tc>
          <w:tcPr>
            <w:tcW w:w="1265"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504" w:type="dxa"/>
            <w:noWrap w:val="0"/>
            <w:vAlign w:val="center"/>
          </w:tcPr>
          <w:p>
            <w:pPr>
              <w:keepNext w:val="0"/>
              <w:keepLines w:val="0"/>
              <w:suppressLineNumbers w:val="0"/>
              <w:adjustRightInd w:val="0"/>
              <w:snapToGrid w:val="0"/>
              <w:spacing w:before="0" w:beforeAutospacing="0" w:after="0" w:afterAutospacing="0" w:line="320" w:lineRule="exact"/>
              <w:ind w:left="0" w:right="0"/>
              <w:jc w:val="center"/>
              <w:rPr>
                <w:rFonts w:hint="eastAsia" w:ascii="宋体" w:hAnsi="宋体" w:eastAsia="宋体" w:cs="宋体"/>
                <w:b/>
                <w:bCs/>
                <w:color w:val="auto"/>
                <w:sz w:val="24"/>
                <w:szCs w:val="24"/>
              </w:rPr>
            </w:pPr>
            <w:r>
              <w:rPr>
                <w:rFonts w:hint="eastAsia" w:ascii="宋体" w:hAnsi="宋体" w:eastAsia="宋体" w:cs="宋体"/>
                <w:b/>
                <w:bCs/>
                <w:color w:val="auto"/>
                <w:sz w:val="24"/>
                <w:szCs w:val="24"/>
              </w:rPr>
              <w:t>过程控制负责人</w:t>
            </w:r>
          </w:p>
        </w:tc>
        <w:tc>
          <w:tcPr>
            <w:tcW w:w="1200" w:type="dxa"/>
            <w:noWrap w:val="0"/>
            <w:vAlign w:val="center"/>
          </w:tcPr>
          <w:p>
            <w:pPr>
              <w:spacing w:line="440" w:lineRule="exact"/>
              <w:jc w:val="center"/>
              <w:rPr>
                <w:rFonts w:hint="eastAsia" w:ascii="宋体" w:hAnsi="宋体" w:eastAsia="宋体" w:cs="宋体"/>
                <w:color w:val="auto"/>
                <w:sz w:val="24"/>
                <w:szCs w:val="24"/>
                <w:lang w:eastAsia="zh-CN"/>
              </w:rPr>
            </w:pPr>
            <w:r>
              <w:rPr>
                <w:rFonts w:hint="eastAsia" w:ascii="宋体" w:hAnsi="宋体" w:eastAsia="宋体" w:cs="宋体"/>
                <w:bCs/>
                <w:color w:val="auto"/>
                <w:sz w:val="24"/>
                <w:szCs w:val="24"/>
              </w:rPr>
              <w:t>乔娟</w:t>
            </w:r>
          </w:p>
        </w:tc>
        <w:tc>
          <w:tcPr>
            <w:tcW w:w="2923" w:type="dxa"/>
            <w:noWrap w:val="0"/>
            <w:vAlign w:val="center"/>
          </w:tcPr>
          <w:p>
            <w:pPr>
              <w:spacing w:line="440" w:lineRule="exact"/>
              <w:jc w:val="center"/>
              <w:rPr>
                <w:rFonts w:hint="eastAsia" w:ascii="宋体" w:hAnsi="宋体" w:eastAsia="宋体" w:cs="宋体"/>
                <w:color w:val="auto"/>
                <w:sz w:val="24"/>
                <w:szCs w:val="24"/>
                <w:lang w:val="en-US" w:eastAsia="zh-CN"/>
              </w:rPr>
            </w:pPr>
            <w:r>
              <w:rPr>
                <w:rFonts w:hint="eastAsia" w:ascii="宋体" w:hAnsi="宋体" w:eastAsia="宋体" w:cs="宋体"/>
                <w:bCs/>
                <w:color w:val="auto"/>
                <w:sz w:val="24"/>
                <w:szCs w:val="24"/>
              </w:rPr>
              <w:t>1500000000200971</w:t>
            </w:r>
          </w:p>
        </w:tc>
        <w:tc>
          <w:tcPr>
            <w:tcW w:w="1277" w:type="dxa"/>
            <w:noWrap w:val="0"/>
            <w:vAlign w:val="center"/>
          </w:tcPr>
          <w:p>
            <w:pPr>
              <w:spacing w:line="440" w:lineRule="exact"/>
              <w:jc w:val="center"/>
              <w:rPr>
                <w:rFonts w:hint="eastAsia" w:ascii="宋体" w:hAnsi="宋体" w:eastAsia="宋体" w:cs="宋体"/>
                <w:color w:val="auto"/>
                <w:sz w:val="24"/>
                <w:szCs w:val="24"/>
                <w:lang w:val="en-US" w:eastAsia="zh-CN"/>
              </w:rPr>
            </w:pPr>
            <w:r>
              <w:rPr>
                <w:rFonts w:hint="eastAsia" w:ascii="宋体" w:hAnsi="宋体" w:eastAsia="宋体" w:cs="宋体"/>
                <w:bCs/>
                <w:color w:val="auto"/>
                <w:sz w:val="24"/>
                <w:szCs w:val="24"/>
              </w:rPr>
              <w:t>026933</w:t>
            </w:r>
          </w:p>
        </w:tc>
        <w:tc>
          <w:tcPr>
            <w:tcW w:w="1185" w:type="dxa"/>
            <w:noWrap w:val="0"/>
            <w:vAlign w:val="center"/>
          </w:tcPr>
          <w:p>
            <w:pPr>
              <w:spacing w:line="440" w:lineRule="exact"/>
              <w:jc w:val="center"/>
              <w:rPr>
                <w:rFonts w:hint="eastAsia" w:ascii="宋体" w:hAnsi="宋体" w:eastAsia="宋体" w:cs="宋体"/>
                <w:color w:val="auto"/>
                <w:sz w:val="24"/>
                <w:szCs w:val="24"/>
              </w:rPr>
            </w:pPr>
            <w:r>
              <w:rPr>
                <w:rFonts w:hint="eastAsia" w:ascii="宋体" w:hAnsi="宋体" w:eastAsia="宋体" w:cs="宋体"/>
                <w:bCs/>
                <w:color w:val="auto"/>
                <w:sz w:val="24"/>
                <w:szCs w:val="24"/>
                <w:lang w:eastAsia="zh-CN"/>
              </w:rPr>
              <w:t>安全</w:t>
            </w:r>
          </w:p>
        </w:tc>
        <w:tc>
          <w:tcPr>
            <w:tcW w:w="1265"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504" w:type="dxa"/>
            <w:noWrap w:val="0"/>
            <w:vAlign w:val="center"/>
          </w:tcPr>
          <w:p>
            <w:pPr>
              <w:keepNext w:val="0"/>
              <w:keepLines w:val="0"/>
              <w:suppressLineNumbers w:val="0"/>
              <w:adjustRightInd w:val="0"/>
              <w:snapToGrid w:val="0"/>
              <w:spacing w:before="0" w:beforeAutospacing="0" w:after="0" w:afterAutospacing="0" w:line="320" w:lineRule="exact"/>
              <w:ind w:left="0" w:right="0"/>
              <w:jc w:val="center"/>
              <w:rPr>
                <w:rFonts w:hint="eastAsia" w:ascii="宋体" w:hAnsi="宋体" w:eastAsia="宋体" w:cs="宋体"/>
                <w:b/>
                <w:bCs/>
                <w:color w:val="auto"/>
                <w:sz w:val="24"/>
                <w:szCs w:val="24"/>
              </w:rPr>
            </w:pPr>
            <w:r>
              <w:rPr>
                <w:rFonts w:hint="eastAsia" w:ascii="宋体" w:hAnsi="宋体" w:eastAsia="宋体" w:cs="宋体"/>
                <w:b/>
                <w:bCs/>
                <w:color w:val="auto"/>
                <w:sz w:val="24"/>
                <w:szCs w:val="24"/>
              </w:rPr>
              <w:t>技术负责人</w:t>
            </w:r>
          </w:p>
        </w:tc>
        <w:tc>
          <w:tcPr>
            <w:tcW w:w="1200" w:type="dxa"/>
            <w:noWrap w:val="0"/>
            <w:vAlign w:val="center"/>
          </w:tcPr>
          <w:p>
            <w:pPr>
              <w:keepNext w:val="0"/>
              <w:keepLines w:val="0"/>
              <w:suppressLineNumbers w:val="0"/>
              <w:adjustRightInd w:val="0"/>
              <w:snapToGrid w:val="0"/>
              <w:spacing w:before="0" w:beforeAutospacing="0" w:after="0" w:afterAutospacing="0" w:line="320" w:lineRule="exact"/>
              <w:ind w:left="0" w:right="0"/>
              <w:jc w:val="center"/>
              <w:rPr>
                <w:rFonts w:hint="eastAsia" w:ascii="宋体" w:hAnsi="宋体" w:eastAsia="宋体" w:cs="宋体"/>
                <w:color w:val="auto"/>
                <w:sz w:val="24"/>
                <w:szCs w:val="24"/>
                <w:lang w:eastAsia="zh-CN"/>
              </w:rPr>
            </w:pPr>
            <w:r>
              <w:rPr>
                <w:rFonts w:hint="eastAsia" w:ascii="宋体" w:hAnsi="宋体" w:eastAsia="宋体" w:cs="宋体"/>
                <w:color w:val="auto"/>
                <w:sz w:val="24"/>
                <w:szCs w:val="24"/>
                <w:lang w:val="en-US" w:eastAsia="zh-CN"/>
              </w:rPr>
              <w:t>孙红军</w:t>
            </w:r>
          </w:p>
        </w:tc>
        <w:tc>
          <w:tcPr>
            <w:tcW w:w="2923" w:type="dxa"/>
            <w:noWrap w:val="0"/>
            <w:vAlign w:val="center"/>
          </w:tcPr>
          <w:p>
            <w:pPr>
              <w:keepNext w:val="0"/>
              <w:keepLines w:val="0"/>
              <w:widowControl/>
              <w:suppressLineNumbers w:val="0"/>
              <w:jc w:val="center"/>
              <w:textAlignment w:val="center"/>
              <w:rPr>
                <w:rFonts w:hint="eastAsia" w:ascii="宋体" w:hAnsi="宋体" w:eastAsia="宋体" w:cs="宋体"/>
                <w:color w:val="auto"/>
                <w:sz w:val="24"/>
                <w:szCs w:val="24"/>
                <w:lang w:val="en-US" w:eastAsia="zh-CN"/>
              </w:rPr>
            </w:pPr>
            <w:r>
              <w:rPr>
                <w:rFonts w:hint="eastAsia" w:ascii="宋体" w:hAnsi="宋体" w:eastAsia="宋体" w:cs="宋体"/>
                <w:i w:val="0"/>
                <w:iCs w:val="0"/>
                <w:color w:val="auto"/>
                <w:kern w:val="0"/>
                <w:sz w:val="24"/>
                <w:szCs w:val="24"/>
                <w:u w:val="none"/>
                <w:lang w:val="en-US" w:eastAsia="zh-CN" w:bidi="ar"/>
              </w:rPr>
              <w:t>0800000000101932</w:t>
            </w:r>
          </w:p>
        </w:tc>
        <w:tc>
          <w:tcPr>
            <w:tcW w:w="1277" w:type="dxa"/>
            <w:noWrap w:val="0"/>
            <w:vAlign w:val="center"/>
          </w:tcPr>
          <w:p>
            <w:pPr>
              <w:keepNext w:val="0"/>
              <w:keepLines w:val="0"/>
              <w:widowControl/>
              <w:suppressLineNumbers w:val="0"/>
              <w:jc w:val="center"/>
              <w:textAlignment w:val="center"/>
              <w:rPr>
                <w:rFonts w:hint="eastAsia" w:ascii="宋体" w:hAnsi="宋体" w:eastAsia="宋体" w:cs="宋体"/>
                <w:color w:val="auto"/>
                <w:sz w:val="24"/>
                <w:szCs w:val="24"/>
                <w:lang w:val="en-US" w:eastAsia="zh-CN"/>
              </w:rPr>
            </w:pPr>
            <w:r>
              <w:rPr>
                <w:rFonts w:hint="eastAsia" w:ascii="宋体" w:hAnsi="宋体" w:eastAsia="宋体" w:cs="宋体"/>
                <w:i w:val="0"/>
                <w:iCs w:val="0"/>
                <w:color w:val="auto"/>
                <w:kern w:val="0"/>
                <w:sz w:val="24"/>
                <w:szCs w:val="24"/>
                <w:u w:val="none"/>
                <w:lang w:val="en-US" w:eastAsia="zh-CN" w:bidi="ar"/>
              </w:rPr>
              <w:t>006002</w:t>
            </w:r>
          </w:p>
        </w:tc>
        <w:tc>
          <w:tcPr>
            <w:tcW w:w="1185"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安全</w:t>
            </w:r>
          </w:p>
        </w:tc>
        <w:tc>
          <w:tcPr>
            <w:tcW w:w="1265" w:type="dxa"/>
            <w:noWrap w:val="0"/>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sz w:val="24"/>
                <w:szCs w:val="24"/>
              </w:rPr>
            </w:pPr>
          </w:p>
        </w:tc>
      </w:tr>
    </w:tbl>
    <w:p>
      <w:pPr>
        <w:widowControl/>
        <w:spacing w:line="560" w:lineRule="exact"/>
        <w:rPr>
          <w:rFonts w:ascii="仿宋_GB2312" w:eastAsia="仿宋_GB2312"/>
          <w:b/>
          <w:color w:val="auto"/>
          <w:sz w:val="32"/>
          <w:lang w:eastAsia="zh-CN"/>
        </w:rPr>
        <w:sectPr>
          <w:pgSz w:w="11900" w:h="16840"/>
          <w:pgMar w:top="1560" w:right="1080" w:bottom="1440" w:left="1080" w:header="851" w:footer="376" w:gutter="0"/>
          <w:cols w:space="720" w:num="1"/>
          <w:docGrid w:linePitch="360" w:charSpace="0"/>
        </w:sectPr>
      </w:pPr>
    </w:p>
    <w:p>
      <w:pPr>
        <w:jc w:val="center"/>
        <w:rPr>
          <w:rFonts w:ascii="宋体" w:hAnsi="宋体" w:eastAsia="宋体"/>
          <w:b/>
          <w:color w:val="auto"/>
          <w:sz w:val="32"/>
          <w:szCs w:val="32"/>
        </w:rPr>
      </w:pPr>
      <w:r>
        <w:rPr>
          <w:rFonts w:ascii="宋体" w:hAnsi="宋体" w:eastAsia="宋体"/>
          <w:b/>
          <w:color w:val="auto"/>
          <w:sz w:val="32"/>
          <w:szCs w:val="32"/>
        </w:rPr>
        <w:t>前言</w:t>
      </w:r>
    </w:p>
    <w:p>
      <w:pPr>
        <w:spacing w:line="600" w:lineRule="exact"/>
        <w:ind w:firstLine="425" w:firstLineChars="152"/>
        <w:rPr>
          <w:rFonts w:ascii="宋体" w:hAnsi="宋体" w:eastAsia="宋体"/>
          <w:color w:val="auto"/>
          <w:sz w:val="28"/>
          <w:szCs w:val="28"/>
        </w:rPr>
      </w:pPr>
      <w:r>
        <w:rPr>
          <w:rFonts w:ascii="宋体" w:hAnsi="宋体" w:eastAsia="宋体"/>
          <w:color w:val="auto"/>
          <w:sz w:val="28"/>
          <w:szCs w:val="28"/>
        </w:rPr>
        <w:t>东莞市华龙实业有限公司于</w:t>
      </w:r>
      <w:r>
        <w:rPr>
          <w:rFonts w:hint="eastAsia" w:ascii="宋体" w:hAnsi="宋体" w:eastAsia="宋体"/>
          <w:color w:val="auto"/>
          <w:sz w:val="28"/>
          <w:szCs w:val="28"/>
          <w:lang w:eastAsia="zh-CN"/>
        </w:rPr>
        <w:t>1999</w:t>
      </w:r>
      <w:r>
        <w:rPr>
          <w:rFonts w:ascii="宋体" w:hAnsi="宋体" w:eastAsia="宋体"/>
          <w:color w:val="auto"/>
          <w:sz w:val="28"/>
          <w:szCs w:val="28"/>
        </w:rPr>
        <w:t>年</w:t>
      </w:r>
      <w:r>
        <w:rPr>
          <w:rFonts w:hint="eastAsia" w:ascii="宋体" w:hAnsi="宋体" w:eastAsia="宋体"/>
          <w:color w:val="auto"/>
          <w:sz w:val="28"/>
          <w:szCs w:val="28"/>
          <w:lang w:eastAsia="zh-CN"/>
        </w:rPr>
        <w:t>02</w:t>
      </w:r>
      <w:r>
        <w:rPr>
          <w:rFonts w:ascii="宋体" w:hAnsi="宋体" w:eastAsia="宋体"/>
          <w:color w:val="auto"/>
          <w:sz w:val="28"/>
          <w:szCs w:val="28"/>
        </w:rPr>
        <w:t>月</w:t>
      </w:r>
      <w:r>
        <w:rPr>
          <w:rFonts w:hint="eastAsia" w:ascii="宋体" w:hAnsi="宋体" w:eastAsia="宋体"/>
          <w:color w:val="auto"/>
          <w:sz w:val="28"/>
          <w:szCs w:val="28"/>
          <w:lang w:eastAsia="zh-CN"/>
        </w:rPr>
        <w:t>09</w:t>
      </w:r>
      <w:r>
        <w:rPr>
          <w:rFonts w:ascii="宋体" w:hAnsi="宋体" w:eastAsia="宋体"/>
          <w:color w:val="auto"/>
          <w:sz w:val="28"/>
          <w:szCs w:val="28"/>
        </w:rPr>
        <w:t>日在东莞市工商行政管理局注册成立，统一社会信用代码：91441900712256514Q；类型：有限责任公司(</w:t>
      </w:r>
      <w:r>
        <w:rPr>
          <w:rFonts w:hint="eastAsia" w:ascii="宋体" w:hAnsi="宋体" w:eastAsia="宋体"/>
          <w:color w:val="auto"/>
          <w:sz w:val="28"/>
          <w:szCs w:val="28"/>
          <w:lang w:eastAsia="zh-CN"/>
        </w:rPr>
        <w:t>自然人投资或控股</w:t>
      </w:r>
      <w:r>
        <w:rPr>
          <w:rFonts w:ascii="宋体" w:hAnsi="宋体" w:eastAsia="宋体"/>
          <w:color w:val="auto"/>
          <w:sz w:val="28"/>
          <w:szCs w:val="28"/>
        </w:rPr>
        <w:t>)；住所：东莞市道滘镇南丫村委会北丫村小组；法定代表人：</w:t>
      </w:r>
      <w:r>
        <w:rPr>
          <w:rFonts w:hint="eastAsia" w:ascii="宋体" w:hAnsi="宋体" w:eastAsia="宋体"/>
          <w:color w:val="auto"/>
          <w:sz w:val="28"/>
          <w:szCs w:val="28"/>
          <w:lang w:eastAsia="zh-CN"/>
        </w:rPr>
        <w:t>黄锦斌</w:t>
      </w:r>
      <w:r>
        <w:rPr>
          <w:rFonts w:ascii="宋体" w:hAnsi="宋体" w:eastAsia="宋体"/>
          <w:color w:val="auto"/>
          <w:sz w:val="28"/>
          <w:szCs w:val="28"/>
        </w:rPr>
        <w:t>；注册资本：人民币</w:t>
      </w:r>
      <w:r>
        <w:rPr>
          <w:rFonts w:hint="eastAsia" w:ascii="宋体" w:hAnsi="宋体" w:eastAsia="宋体"/>
          <w:color w:val="auto"/>
          <w:sz w:val="28"/>
          <w:szCs w:val="28"/>
          <w:lang w:eastAsia="zh-CN"/>
        </w:rPr>
        <w:t>捌拾</w:t>
      </w:r>
      <w:r>
        <w:rPr>
          <w:rFonts w:ascii="宋体" w:hAnsi="宋体" w:eastAsia="宋体"/>
          <w:color w:val="auto"/>
          <w:sz w:val="28"/>
          <w:szCs w:val="28"/>
        </w:rPr>
        <w:t>万元。企业于</w:t>
      </w:r>
      <w:r>
        <w:rPr>
          <w:rFonts w:hint="eastAsia" w:ascii="宋体" w:hAnsi="宋体" w:eastAsia="宋体"/>
          <w:color w:val="auto"/>
          <w:sz w:val="28"/>
          <w:szCs w:val="28"/>
          <w:lang w:eastAsia="zh-CN"/>
        </w:rPr>
        <w:t>2017</w:t>
      </w:r>
      <w:r>
        <w:rPr>
          <w:rFonts w:ascii="宋体" w:hAnsi="宋体" w:eastAsia="宋体"/>
          <w:color w:val="auto"/>
          <w:sz w:val="28"/>
          <w:szCs w:val="28"/>
        </w:rPr>
        <w:t>年</w:t>
      </w:r>
      <w:r>
        <w:rPr>
          <w:rFonts w:hint="eastAsia" w:ascii="宋体" w:hAnsi="宋体" w:eastAsia="宋体"/>
          <w:color w:val="auto"/>
          <w:sz w:val="28"/>
          <w:szCs w:val="28"/>
          <w:lang w:eastAsia="zh-CN"/>
        </w:rPr>
        <w:t>6</w:t>
      </w:r>
      <w:r>
        <w:rPr>
          <w:rFonts w:ascii="宋体" w:hAnsi="宋体" w:eastAsia="宋体"/>
          <w:color w:val="auto"/>
          <w:sz w:val="28"/>
          <w:szCs w:val="28"/>
        </w:rPr>
        <w:t>月</w:t>
      </w:r>
      <w:r>
        <w:rPr>
          <w:rFonts w:hint="eastAsia" w:ascii="宋体" w:hAnsi="宋体" w:eastAsia="宋体"/>
          <w:color w:val="auto"/>
          <w:sz w:val="28"/>
          <w:szCs w:val="28"/>
          <w:lang w:eastAsia="zh-CN"/>
        </w:rPr>
        <w:t>30</w:t>
      </w:r>
      <w:r>
        <w:rPr>
          <w:rFonts w:ascii="宋体" w:hAnsi="宋体" w:eastAsia="宋体"/>
          <w:color w:val="auto"/>
          <w:sz w:val="28"/>
          <w:szCs w:val="28"/>
        </w:rPr>
        <w:t>日取得了东莞市安全生产监督管理局核发的《安全生产许可证》，编号：(粤东)WH安许证字[201</w:t>
      </w:r>
      <w:r>
        <w:rPr>
          <w:rFonts w:hint="eastAsia" w:ascii="宋体" w:hAnsi="宋体" w:eastAsia="宋体"/>
          <w:color w:val="auto"/>
          <w:sz w:val="28"/>
          <w:szCs w:val="28"/>
          <w:lang w:eastAsia="zh-CN"/>
        </w:rPr>
        <w:t>7</w:t>
      </w:r>
      <w:r>
        <w:rPr>
          <w:rFonts w:ascii="宋体" w:hAnsi="宋体" w:eastAsia="宋体"/>
          <w:color w:val="auto"/>
          <w:sz w:val="28"/>
          <w:szCs w:val="28"/>
        </w:rPr>
        <w:t>]0000</w:t>
      </w:r>
      <w:r>
        <w:rPr>
          <w:rFonts w:hint="eastAsia" w:ascii="宋体" w:hAnsi="宋体" w:eastAsia="宋体"/>
          <w:color w:val="auto"/>
          <w:sz w:val="28"/>
          <w:szCs w:val="28"/>
          <w:lang w:eastAsia="zh-CN"/>
        </w:rPr>
        <w:t>11</w:t>
      </w:r>
      <w:r>
        <w:rPr>
          <w:rFonts w:ascii="宋体" w:hAnsi="宋体" w:eastAsia="宋体"/>
          <w:color w:val="auto"/>
          <w:sz w:val="28"/>
          <w:szCs w:val="28"/>
        </w:rPr>
        <w:t>，许可范围：含易燃溶剂的合成树脂、油漆、辅助材料、涂料等制品[闭杯闪点≤60℃](2828)，</w:t>
      </w:r>
      <w:r>
        <w:rPr>
          <w:rFonts w:hint="eastAsia" w:ascii="宋体" w:hAnsi="宋体" w:eastAsia="宋体"/>
          <w:color w:val="auto"/>
          <w:sz w:val="28"/>
          <w:szCs w:val="28"/>
          <w:lang w:eastAsia="zh-CN"/>
        </w:rPr>
        <w:t>硝基漆稀释剂300吨/年、硝基清漆300吨/年、聚酯树脂清漆600吨/年、聚氨酯漆稀释剂300吨/年***</w:t>
      </w:r>
      <w:r>
        <w:rPr>
          <w:rFonts w:ascii="宋体" w:hAnsi="宋体" w:eastAsia="宋体"/>
          <w:color w:val="auto"/>
          <w:sz w:val="28"/>
          <w:szCs w:val="28"/>
        </w:rPr>
        <w:t>，有效期至20</w:t>
      </w:r>
      <w:r>
        <w:rPr>
          <w:rFonts w:hint="eastAsia" w:ascii="宋体" w:hAnsi="宋体" w:eastAsia="宋体"/>
          <w:color w:val="auto"/>
          <w:sz w:val="28"/>
          <w:szCs w:val="28"/>
          <w:lang w:eastAsia="zh-CN"/>
        </w:rPr>
        <w:t>20</w:t>
      </w:r>
      <w:r>
        <w:rPr>
          <w:rFonts w:ascii="宋体" w:hAnsi="宋体" w:eastAsia="宋体"/>
          <w:color w:val="auto"/>
          <w:sz w:val="28"/>
          <w:szCs w:val="28"/>
        </w:rPr>
        <w:t>年</w:t>
      </w:r>
      <w:r>
        <w:rPr>
          <w:rFonts w:hint="eastAsia" w:ascii="宋体" w:hAnsi="宋体" w:eastAsia="宋体"/>
          <w:color w:val="auto"/>
          <w:sz w:val="28"/>
          <w:szCs w:val="28"/>
          <w:lang w:eastAsia="zh-CN"/>
        </w:rPr>
        <w:t>6</w:t>
      </w:r>
      <w:r>
        <w:rPr>
          <w:rFonts w:ascii="宋体" w:hAnsi="宋体" w:eastAsia="宋体"/>
          <w:color w:val="auto"/>
          <w:sz w:val="28"/>
          <w:szCs w:val="28"/>
        </w:rPr>
        <w:t>月</w:t>
      </w:r>
      <w:r>
        <w:rPr>
          <w:rFonts w:hint="eastAsia" w:ascii="宋体" w:hAnsi="宋体" w:eastAsia="宋体"/>
          <w:color w:val="auto"/>
          <w:sz w:val="28"/>
          <w:szCs w:val="28"/>
          <w:lang w:eastAsia="zh-CN"/>
        </w:rPr>
        <w:t>29</w:t>
      </w:r>
      <w:r>
        <w:rPr>
          <w:rFonts w:ascii="宋体" w:hAnsi="宋体" w:eastAsia="宋体"/>
          <w:color w:val="auto"/>
          <w:sz w:val="28"/>
          <w:szCs w:val="28"/>
        </w:rPr>
        <w:t>日。</w:t>
      </w:r>
    </w:p>
    <w:p>
      <w:pPr>
        <w:spacing w:line="600" w:lineRule="exact"/>
        <w:ind w:firstLine="425" w:firstLineChars="152"/>
        <w:rPr>
          <w:rFonts w:ascii="宋体" w:hAnsi="宋体" w:eastAsia="宋体"/>
          <w:color w:val="auto"/>
          <w:sz w:val="28"/>
          <w:szCs w:val="28"/>
        </w:rPr>
      </w:pPr>
      <w:r>
        <w:rPr>
          <w:rFonts w:ascii="宋体" w:hAnsi="宋体" w:eastAsia="宋体"/>
          <w:color w:val="auto"/>
          <w:sz w:val="28"/>
          <w:szCs w:val="28"/>
        </w:rPr>
        <w:t>根据《中华人民共和国安全生产法》(中华人民共和国主席令第13号)、《危险化学品安全管理条例》(中华人民共和国国务院令第591号，国务院令645号修订)、《危险化学品生产企业安全生产许可证实施办法》(安监总局令第41号，安监总局令第79号修改)、《关于认真贯彻危险化学品生产企业安全生产许可证实施办法的补充通知》(粤安监〔2012〕56号)等法律法规的要求，企业申请延期换取安全生产许可证，应当依法进行安全评价，因此，东莞市华龙实业有限公司委托</w:t>
      </w:r>
      <w:r>
        <w:rPr>
          <w:rFonts w:hint="eastAsia" w:ascii="宋体" w:hAnsi="宋体" w:eastAsia="宋体"/>
          <w:color w:val="auto"/>
          <w:sz w:val="28"/>
          <w:szCs w:val="28"/>
          <w:lang w:eastAsia="zh-CN"/>
        </w:rPr>
        <w:t>广东安源鼎盛检测评价技术服务有限公司</w:t>
      </w:r>
      <w:r>
        <w:rPr>
          <w:rFonts w:ascii="宋体" w:hAnsi="宋体" w:eastAsia="宋体"/>
          <w:color w:val="auto"/>
          <w:sz w:val="28"/>
          <w:szCs w:val="28"/>
        </w:rPr>
        <w:t>对其延期换证进行安全评价服务。</w:t>
      </w:r>
    </w:p>
    <w:p>
      <w:pPr>
        <w:spacing w:line="600" w:lineRule="exact"/>
        <w:ind w:firstLine="425" w:firstLineChars="152"/>
        <w:rPr>
          <w:rFonts w:ascii="宋体" w:hAnsi="宋体" w:eastAsia="宋体"/>
          <w:color w:val="auto"/>
          <w:sz w:val="28"/>
          <w:szCs w:val="28"/>
        </w:rPr>
      </w:pPr>
      <w:r>
        <w:rPr>
          <w:rFonts w:ascii="宋体" w:hAnsi="宋体" w:eastAsia="宋体"/>
          <w:color w:val="auto"/>
          <w:sz w:val="28"/>
          <w:szCs w:val="28"/>
        </w:rPr>
        <w:t>广东安源鼎盛检测评价技术服务有限公司承接了东莞市华龙实业有限公司危险化学品生产现状评价技术服务项目以后，成立了安全评价工作组，评价组根据相关的法律、法规、标准规范，对企业进行了细致的检查，对相关技术资料进行了分析，查找该公司在生产过程中存在的潜在危险和有害因素，并进行了定性、定量分析评价，对生产中可能出现的危险化学品事故进行了分析预测，对该公司安全生产现状的不足之处提出具体的整改措施和安全对策措施，作出评价结论。本报告依据《安全评价通则》(AQ8001-2007)、《危险化学品生产企业安全评价导则(试行)》(安监管危化字[2004]127号)的要求编制完成。</w:t>
      </w:r>
    </w:p>
    <w:p>
      <w:pPr>
        <w:spacing w:line="600" w:lineRule="exact"/>
        <w:ind w:firstLine="425" w:firstLineChars="152"/>
        <w:rPr>
          <w:rFonts w:ascii="宋体" w:hAnsi="宋体" w:eastAsia="宋体"/>
          <w:color w:val="auto"/>
          <w:sz w:val="28"/>
          <w:szCs w:val="28"/>
        </w:rPr>
      </w:pPr>
      <w:r>
        <w:rPr>
          <w:rFonts w:ascii="宋体" w:hAnsi="宋体" w:eastAsia="宋体"/>
          <w:color w:val="auto"/>
          <w:sz w:val="28"/>
          <w:szCs w:val="28"/>
        </w:rPr>
        <w:t>本报告的文件与资料由东莞市华龙实业有限公司提供，该公司对其所提供的文件与资料内容的真实性负责。</w:t>
      </w:r>
    </w:p>
    <w:p>
      <w:pPr>
        <w:spacing w:line="600" w:lineRule="exact"/>
        <w:ind w:firstLine="425" w:firstLineChars="152"/>
        <w:rPr>
          <w:rFonts w:ascii="宋体" w:hAnsi="宋体" w:eastAsia="宋体"/>
          <w:color w:val="auto"/>
          <w:sz w:val="28"/>
          <w:szCs w:val="28"/>
          <w:lang w:eastAsia="zh-CN"/>
        </w:rPr>
      </w:pPr>
    </w:p>
    <w:p>
      <w:pPr>
        <w:spacing w:line="600" w:lineRule="exact"/>
        <w:ind w:firstLine="425" w:firstLineChars="152"/>
        <w:rPr>
          <w:rFonts w:ascii="宋体" w:hAnsi="宋体" w:eastAsia="宋体"/>
          <w:color w:val="auto"/>
          <w:sz w:val="28"/>
          <w:szCs w:val="28"/>
        </w:rPr>
      </w:pPr>
    </w:p>
    <w:p>
      <w:pPr>
        <w:spacing w:line="600" w:lineRule="exact"/>
        <w:ind w:firstLine="425" w:firstLineChars="152"/>
        <w:rPr>
          <w:rFonts w:ascii="宋体" w:hAnsi="宋体" w:eastAsia="宋体"/>
          <w:color w:val="auto"/>
          <w:sz w:val="28"/>
          <w:szCs w:val="28"/>
        </w:rPr>
      </w:pPr>
    </w:p>
    <w:p>
      <w:pPr>
        <w:spacing w:line="600" w:lineRule="exact"/>
        <w:ind w:firstLine="425" w:firstLineChars="152"/>
        <w:rPr>
          <w:rFonts w:ascii="宋体" w:hAnsi="宋体" w:eastAsia="宋体"/>
          <w:color w:val="auto"/>
          <w:sz w:val="28"/>
          <w:szCs w:val="28"/>
        </w:rPr>
      </w:pPr>
    </w:p>
    <w:p>
      <w:pPr>
        <w:spacing w:line="600" w:lineRule="exact"/>
        <w:ind w:firstLine="425" w:firstLineChars="152"/>
        <w:rPr>
          <w:rFonts w:ascii="宋体" w:hAnsi="宋体" w:eastAsia="宋体"/>
          <w:color w:val="auto"/>
          <w:sz w:val="28"/>
          <w:szCs w:val="28"/>
        </w:rPr>
      </w:pPr>
    </w:p>
    <w:p>
      <w:pPr>
        <w:spacing w:line="600" w:lineRule="exact"/>
        <w:jc w:val="center"/>
        <w:rPr>
          <w:rFonts w:ascii="宋体" w:hAnsi="宋体" w:eastAsia="宋体"/>
          <w:b/>
          <w:color w:val="auto"/>
          <w:sz w:val="32"/>
          <w:szCs w:val="32"/>
        </w:rPr>
      </w:pPr>
      <w:bookmarkStart w:id="1" w:name="bookmark2"/>
      <w:r>
        <w:rPr>
          <w:rFonts w:ascii="宋体" w:hAnsi="宋体" w:eastAsia="宋体"/>
          <w:b/>
          <w:color w:val="auto"/>
          <w:sz w:val="32"/>
          <w:szCs w:val="32"/>
        </w:rPr>
        <w:br w:type="page"/>
      </w:r>
    </w:p>
    <w:p>
      <w:pPr>
        <w:spacing w:line="600" w:lineRule="exact"/>
        <w:jc w:val="center"/>
        <w:rPr>
          <w:rFonts w:ascii="宋体" w:hAnsi="宋体" w:eastAsia="宋体"/>
          <w:b/>
          <w:color w:val="auto"/>
          <w:sz w:val="32"/>
          <w:szCs w:val="32"/>
        </w:rPr>
      </w:pPr>
      <w:r>
        <w:rPr>
          <w:rFonts w:ascii="宋体" w:hAnsi="宋体" w:eastAsia="宋体"/>
          <w:b/>
          <w:color w:val="auto"/>
          <w:sz w:val="32"/>
          <w:szCs w:val="32"/>
        </w:rPr>
        <w:t>非常用的术语、符号和代号说明</w:t>
      </w:r>
      <w:bookmarkEnd w:id="1"/>
    </w:p>
    <w:p>
      <w:pPr>
        <w:spacing w:line="600" w:lineRule="exact"/>
        <w:ind w:firstLine="425" w:firstLineChars="152"/>
        <w:rPr>
          <w:rFonts w:ascii="宋体" w:hAnsi="宋体" w:eastAsia="宋体"/>
          <w:color w:val="auto"/>
          <w:sz w:val="28"/>
          <w:szCs w:val="28"/>
        </w:rPr>
      </w:pPr>
      <w:r>
        <w:rPr>
          <w:rFonts w:ascii="宋体" w:hAnsi="宋体" w:eastAsia="宋体"/>
          <w:color w:val="auto"/>
          <w:sz w:val="28"/>
          <w:szCs w:val="28"/>
        </w:rPr>
        <w:t>1、安全评价：安全评价是以实现工程、系统安全为目的，应用安全系统工程原理和方法，对工程、系统中存在的危险、有害因素进行识别与分析，判断工程、系统发生事故和急性职业危害的可能性及其严重程度，提出安全对策建议，从而为工程、系统制定防范措施和管理决策提供科学依据。</w:t>
      </w:r>
    </w:p>
    <w:p>
      <w:pPr>
        <w:spacing w:line="600" w:lineRule="exact"/>
        <w:ind w:firstLine="425" w:firstLineChars="152"/>
        <w:rPr>
          <w:rFonts w:ascii="宋体" w:hAnsi="宋体" w:eastAsia="宋体"/>
          <w:color w:val="auto"/>
          <w:sz w:val="28"/>
          <w:szCs w:val="28"/>
        </w:rPr>
      </w:pPr>
      <w:r>
        <w:rPr>
          <w:rFonts w:ascii="宋体" w:hAnsi="宋体" w:eastAsia="宋体"/>
          <w:color w:val="auto"/>
          <w:sz w:val="28"/>
          <w:szCs w:val="28"/>
        </w:rPr>
        <w:t>2、化学品：指各种化学元素、由元素组成的化合物及其混合物，包括天然的或者人造的。</w:t>
      </w:r>
    </w:p>
    <w:p>
      <w:pPr>
        <w:spacing w:line="600" w:lineRule="exact"/>
        <w:ind w:firstLine="425" w:firstLineChars="152"/>
        <w:rPr>
          <w:rFonts w:ascii="宋体" w:hAnsi="宋体" w:eastAsia="宋体"/>
          <w:color w:val="auto"/>
          <w:sz w:val="28"/>
          <w:szCs w:val="28"/>
        </w:rPr>
      </w:pPr>
      <w:r>
        <w:rPr>
          <w:rFonts w:ascii="宋体" w:hAnsi="宋体" w:eastAsia="宋体"/>
          <w:color w:val="auto"/>
          <w:sz w:val="28"/>
          <w:szCs w:val="28"/>
        </w:rPr>
        <w:t>3、危险化学品：是指具有毒害、腐蚀、爆炸、燃烧、助燃等性质，对人体、设施、环境具有危害的剧毒化学品和其他化学品。</w:t>
      </w:r>
    </w:p>
    <w:p>
      <w:pPr>
        <w:spacing w:line="600" w:lineRule="exact"/>
        <w:ind w:firstLine="425" w:firstLineChars="152"/>
        <w:rPr>
          <w:rFonts w:ascii="宋体" w:hAnsi="宋体" w:eastAsia="宋体"/>
          <w:color w:val="auto"/>
          <w:sz w:val="28"/>
          <w:szCs w:val="28"/>
        </w:rPr>
      </w:pPr>
      <w:r>
        <w:rPr>
          <w:rFonts w:ascii="宋体" w:hAnsi="宋体" w:eastAsia="宋体"/>
          <w:color w:val="auto"/>
          <w:sz w:val="28"/>
          <w:szCs w:val="28"/>
        </w:rPr>
        <w:t>4、安全设施：指企业(单位)要生产经营活动中将危险有害因素控制在安全范围内以预防、减少、消除危害所配备的装置(设备)和采取的措施。</w:t>
      </w:r>
    </w:p>
    <w:p>
      <w:pPr>
        <w:spacing w:line="600" w:lineRule="exact"/>
        <w:ind w:firstLine="425" w:firstLineChars="152"/>
        <w:rPr>
          <w:rFonts w:ascii="宋体" w:hAnsi="宋体" w:eastAsia="宋体"/>
          <w:color w:val="auto"/>
          <w:sz w:val="28"/>
          <w:szCs w:val="28"/>
        </w:rPr>
      </w:pPr>
      <w:r>
        <w:rPr>
          <w:rFonts w:ascii="宋体" w:hAnsi="宋体" w:eastAsia="宋体"/>
          <w:color w:val="auto"/>
          <w:sz w:val="28"/>
          <w:szCs w:val="28"/>
        </w:rPr>
        <w:t>5、作业场所：指可能使从业人员接触危险化学品的任何作业活动场所，包括从事危险化学品的生产、操作、处置、储存、搬运、运输、废弃危险化学品的处置等场所。</w:t>
      </w:r>
    </w:p>
    <w:p>
      <w:pPr>
        <w:spacing w:line="600" w:lineRule="exact"/>
        <w:ind w:firstLine="425" w:firstLineChars="152"/>
        <w:rPr>
          <w:rFonts w:ascii="宋体" w:hAnsi="宋体" w:eastAsia="宋体"/>
          <w:color w:val="auto"/>
          <w:sz w:val="28"/>
          <w:szCs w:val="28"/>
        </w:rPr>
      </w:pPr>
      <w:r>
        <w:rPr>
          <w:rFonts w:ascii="宋体" w:hAnsi="宋体" w:eastAsia="宋体"/>
          <w:color w:val="auto"/>
          <w:sz w:val="28"/>
          <w:szCs w:val="28"/>
        </w:rPr>
        <w:t>6、危险因素：对人造成伤亡或者对物造成突发性损坏的因素。</w:t>
      </w:r>
    </w:p>
    <w:p>
      <w:pPr>
        <w:spacing w:line="600" w:lineRule="exact"/>
        <w:ind w:firstLine="425" w:firstLineChars="152"/>
        <w:rPr>
          <w:rFonts w:ascii="宋体" w:hAnsi="宋体" w:eastAsia="宋体"/>
          <w:color w:val="auto"/>
          <w:sz w:val="28"/>
          <w:szCs w:val="28"/>
        </w:rPr>
      </w:pPr>
      <w:r>
        <w:rPr>
          <w:rFonts w:ascii="宋体" w:hAnsi="宋体" w:eastAsia="宋体"/>
          <w:color w:val="auto"/>
          <w:sz w:val="28"/>
          <w:szCs w:val="28"/>
        </w:rPr>
        <w:t>7、有害因素：影响人的身体健康，导致疾病或者对物造成慢性损坏的因素。</w:t>
      </w:r>
    </w:p>
    <w:p>
      <w:pPr>
        <w:spacing w:line="600" w:lineRule="exact"/>
        <w:ind w:firstLine="425" w:firstLineChars="152"/>
        <w:rPr>
          <w:rFonts w:ascii="宋体" w:hAnsi="宋体" w:eastAsia="宋体"/>
          <w:color w:val="auto"/>
          <w:sz w:val="28"/>
          <w:szCs w:val="28"/>
        </w:rPr>
      </w:pPr>
      <w:r>
        <w:rPr>
          <w:rFonts w:ascii="宋体" w:hAnsi="宋体" w:eastAsia="宋体"/>
          <w:color w:val="auto"/>
          <w:sz w:val="28"/>
          <w:szCs w:val="28"/>
        </w:rPr>
        <w:t>8、危险程度：对人造成伤亡和对物造成突发性损坏的尺度。</w:t>
      </w:r>
    </w:p>
    <w:p>
      <w:pPr>
        <w:spacing w:line="600" w:lineRule="exact"/>
        <w:ind w:firstLine="425" w:firstLineChars="152"/>
        <w:rPr>
          <w:rFonts w:ascii="宋体" w:hAnsi="宋体" w:eastAsia="宋体"/>
          <w:color w:val="auto"/>
          <w:sz w:val="28"/>
          <w:szCs w:val="28"/>
        </w:rPr>
      </w:pPr>
      <w:r>
        <w:rPr>
          <w:rFonts w:ascii="宋体" w:hAnsi="宋体" w:eastAsia="宋体"/>
          <w:color w:val="auto"/>
          <w:sz w:val="28"/>
          <w:szCs w:val="28"/>
        </w:rPr>
        <w:t>9、有害程度：影响人的身体健康，导致中毒、疾病或者对物造成慢性损坏的尺度。</w:t>
      </w:r>
    </w:p>
    <w:p>
      <w:pPr>
        <w:spacing w:line="600" w:lineRule="exact"/>
        <w:ind w:firstLine="425" w:firstLineChars="152"/>
        <w:rPr>
          <w:rFonts w:ascii="宋体" w:hAnsi="宋体" w:eastAsia="宋体"/>
          <w:color w:val="auto"/>
          <w:sz w:val="28"/>
          <w:szCs w:val="28"/>
        </w:rPr>
      </w:pPr>
      <w:r>
        <w:rPr>
          <w:rFonts w:ascii="宋体" w:hAnsi="宋体" w:eastAsia="宋体"/>
          <w:color w:val="auto"/>
          <w:sz w:val="28"/>
          <w:szCs w:val="28"/>
        </w:rPr>
        <w:t>10、评价单元：根据被评价单位的实际情况和安全评价的需要而将被评价对象划分为一些相对独立部分进行安全评价，其中每个相对独立部分称为评价单元。</w:t>
      </w:r>
    </w:p>
    <w:p>
      <w:pPr>
        <w:spacing w:line="600" w:lineRule="exact"/>
        <w:ind w:firstLine="425" w:firstLineChars="152"/>
        <w:rPr>
          <w:rFonts w:ascii="宋体" w:hAnsi="宋体" w:eastAsia="宋体"/>
          <w:color w:val="auto"/>
          <w:sz w:val="28"/>
          <w:szCs w:val="28"/>
        </w:rPr>
      </w:pPr>
      <w:r>
        <w:rPr>
          <w:rFonts w:ascii="宋体" w:hAnsi="宋体" w:eastAsia="宋体"/>
          <w:color w:val="auto"/>
          <w:sz w:val="28"/>
          <w:szCs w:val="28"/>
        </w:rPr>
        <w:t>11、危险化学品重大危险源：是指长期地或者临时地生产、加工、使用或储存危险化学品，且危险化学品的数量等于或者超过临界量的单元。</w:t>
      </w:r>
    </w:p>
    <w:p>
      <w:pPr>
        <w:spacing w:line="600" w:lineRule="exact"/>
        <w:ind w:firstLine="425" w:firstLineChars="152"/>
        <w:rPr>
          <w:rFonts w:ascii="宋体" w:hAnsi="宋体" w:eastAsia="宋体"/>
          <w:color w:val="auto"/>
          <w:sz w:val="28"/>
          <w:szCs w:val="28"/>
        </w:rPr>
      </w:pPr>
      <w:r>
        <w:rPr>
          <w:rFonts w:ascii="宋体" w:hAnsi="宋体" w:eastAsia="宋体"/>
          <w:color w:val="auto"/>
          <w:sz w:val="28"/>
          <w:szCs w:val="28"/>
        </w:rPr>
        <w:t>12、防火间距：防止着火建筑的福射热在一定时间内引燃相邻建筑，且便于扑救的间隔距离。</w:t>
      </w:r>
    </w:p>
    <w:p>
      <w:pPr>
        <w:spacing w:line="600" w:lineRule="exact"/>
        <w:ind w:firstLine="425" w:firstLineChars="152"/>
        <w:rPr>
          <w:rFonts w:ascii="宋体" w:hAnsi="宋体" w:eastAsia="PMingLiU"/>
          <w:color w:val="auto"/>
          <w:sz w:val="28"/>
          <w:szCs w:val="28"/>
        </w:rPr>
      </w:pPr>
      <w:r>
        <w:rPr>
          <w:rFonts w:ascii="宋体" w:hAnsi="宋体" w:eastAsia="宋体"/>
          <w:color w:val="auto"/>
          <w:sz w:val="28"/>
          <w:szCs w:val="28"/>
        </w:rPr>
        <w:t>13、闪点：在规定的试验条件下，液体挥发的蒸气与空气形成的混合物，遇火源能够闪燃的液体的最低温度(采用闭杯法测定)。</w:t>
      </w:r>
    </w:p>
    <w:p>
      <w:pPr>
        <w:spacing w:line="600" w:lineRule="exact"/>
        <w:ind w:firstLine="425" w:firstLineChars="152"/>
        <w:rPr>
          <w:rFonts w:ascii="宋体" w:hAnsi="宋体" w:eastAsia="PMingLiU"/>
          <w:color w:val="auto"/>
          <w:sz w:val="28"/>
          <w:szCs w:val="28"/>
        </w:rPr>
      </w:pPr>
    </w:p>
    <w:p>
      <w:pPr>
        <w:spacing w:line="600" w:lineRule="exact"/>
        <w:ind w:firstLine="425" w:firstLineChars="152"/>
        <w:rPr>
          <w:rFonts w:ascii="宋体" w:hAnsi="宋体" w:eastAsia="PMingLiU"/>
          <w:color w:val="auto"/>
          <w:sz w:val="28"/>
          <w:szCs w:val="28"/>
        </w:rPr>
      </w:pPr>
    </w:p>
    <w:p>
      <w:pPr>
        <w:spacing w:line="600" w:lineRule="exact"/>
        <w:ind w:firstLine="425" w:firstLineChars="152"/>
        <w:rPr>
          <w:rFonts w:ascii="宋体" w:hAnsi="宋体" w:eastAsia="PMingLiU"/>
          <w:color w:val="auto"/>
          <w:sz w:val="28"/>
          <w:szCs w:val="28"/>
        </w:rPr>
      </w:pPr>
    </w:p>
    <w:p>
      <w:pPr>
        <w:spacing w:line="600" w:lineRule="exact"/>
        <w:ind w:firstLine="425" w:firstLineChars="152"/>
        <w:rPr>
          <w:rFonts w:ascii="宋体" w:hAnsi="宋体" w:eastAsia="PMingLiU"/>
          <w:color w:val="auto"/>
          <w:sz w:val="28"/>
          <w:szCs w:val="28"/>
        </w:rPr>
      </w:pPr>
    </w:p>
    <w:p>
      <w:pPr>
        <w:spacing w:line="600" w:lineRule="exact"/>
        <w:jc w:val="center"/>
        <w:rPr>
          <w:rFonts w:ascii="宋体" w:hAnsi="宋体" w:eastAsia="宋体"/>
          <w:b/>
          <w:color w:val="auto"/>
          <w:sz w:val="32"/>
          <w:szCs w:val="32"/>
        </w:rPr>
      </w:pPr>
      <w:r>
        <w:rPr>
          <w:rFonts w:ascii="宋体" w:hAnsi="宋体" w:eastAsia="宋体"/>
          <w:b/>
          <w:color w:val="auto"/>
          <w:sz w:val="32"/>
          <w:szCs w:val="32"/>
        </w:rPr>
        <w:br w:type="page"/>
      </w:r>
    </w:p>
    <w:p>
      <w:pPr>
        <w:spacing w:line="600" w:lineRule="exact"/>
        <w:jc w:val="center"/>
        <w:rPr>
          <w:rFonts w:ascii="宋体" w:hAnsi="宋体" w:eastAsia="PMingLiU"/>
          <w:b/>
          <w:color w:val="auto"/>
          <w:sz w:val="32"/>
          <w:szCs w:val="32"/>
        </w:rPr>
      </w:pPr>
      <w:r>
        <w:rPr>
          <w:rFonts w:ascii="宋体" w:hAnsi="宋体" w:eastAsia="宋体"/>
          <w:b/>
          <w:color w:val="auto"/>
          <w:sz w:val="32"/>
          <w:szCs w:val="32"/>
        </w:rPr>
        <w:t>目录</w:t>
      </w:r>
    </w:p>
    <w:p>
      <w:pPr>
        <w:spacing w:line="600" w:lineRule="exact"/>
        <w:jc w:val="center"/>
        <w:rPr>
          <w:rFonts w:ascii="宋体" w:hAnsi="宋体" w:eastAsia="PMingLiU"/>
          <w:b/>
          <w:color w:val="auto"/>
          <w:sz w:val="32"/>
          <w:szCs w:val="32"/>
        </w:rPr>
      </w:pPr>
    </w:p>
    <w:p>
      <w:pPr>
        <w:pStyle w:val="31"/>
        <w:tabs>
          <w:tab w:val="right" w:leader="dot" w:pos="9730"/>
        </w:tabs>
        <w:spacing w:line="560" w:lineRule="exact"/>
        <w:rPr>
          <w:rFonts w:ascii="宋体" w:hAnsi="宋体" w:eastAsia="宋体" w:cstheme="minorBidi"/>
          <w:b w:val="0"/>
          <w:bCs w:val="0"/>
          <w:caps w:val="0"/>
          <w:color w:val="auto"/>
          <w:kern w:val="2"/>
          <w:sz w:val="28"/>
          <w:szCs w:val="28"/>
          <w:lang w:val="en-US" w:eastAsia="zh-CN" w:bidi="ar-SA"/>
        </w:rPr>
      </w:pPr>
      <w:bookmarkStart w:id="2" w:name="bookmark4"/>
      <w:bookmarkStart w:id="3" w:name="bookmark3"/>
      <w:r>
        <w:rPr>
          <w:rFonts w:ascii="宋体" w:hAnsi="宋体" w:eastAsia="宋体"/>
          <w:color w:val="auto"/>
          <w:sz w:val="28"/>
          <w:szCs w:val="28"/>
        </w:rPr>
        <w:fldChar w:fldCharType="begin"/>
      </w:r>
      <w:r>
        <w:rPr>
          <w:rFonts w:ascii="宋体" w:hAnsi="宋体" w:eastAsia="宋体"/>
          <w:color w:val="auto"/>
          <w:sz w:val="28"/>
          <w:szCs w:val="28"/>
        </w:rPr>
        <w:instrText xml:space="preserve"> TOC \o "1-2" \u </w:instrText>
      </w:r>
      <w:r>
        <w:rPr>
          <w:rFonts w:ascii="宋体" w:hAnsi="宋体" w:eastAsia="宋体"/>
          <w:color w:val="auto"/>
          <w:sz w:val="28"/>
          <w:szCs w:val="28"/>
        </w:rPr>
        <w:fldChar w:fldCharType="separate"/>
      </w:r>
      <w:r>
        <w:rPr>
          <w:rFonts w:ascii="宋体" w:hAnsi="宋体" w:eastAsia="宋体"/>
          <w:color w:val="auto"/>
          <w:sz w:val="28"/>
          <w:szCs w:val="28"/>
        </w:rPr>
        <w:t>1</w:t>
      </w:r>
      <w:r>
        <w:rPr>
          <w:rFonts w:hint="eastAsia" w:ascii="宋体" w:hAnsi="宋体" w:eastAsia="宋体"/>
          <w:color w:val="auto"/>
          <w:sz w:val="28"/>
          <w:szCs w:val="28"/>
        </w:rPr>
        <w:t>编制说明</w:t>
      </w:r>
      <w:r>
        <w:rPr>
          <w:rFonts w:ascii="宋体" w:hAnsi="宋体" w:eastAsia="宋体"/>
          <w:color w:val="auto"/>
          <w:sz w:val="28"/>
          <w:szCs w:val="28"/>
        </w:rPr>
        <w:tab/>
      </w:r>
      <w:r>
        <w:rPr>
          <w:rFonts w:ascii="宋体" w:hAnsi="宋体" w:eastAsia="宋体"/>
          <w:color w:val="auto"/>
          <w:sz w:val="28"/>
          <w:szCs w:val="28"/>
        </w:rPr>
        <w:fldChar w:fldCharType="begin"/>
      </w:r>
      <w:r>
        <w:rPr>
          <w:rFonts w:ascii="宋体" w:hAnsi="宋体" w:eastAsia="宋体"/>
          <w:color w:val="auto"/>
          <w:sz w:val="28"/>
          <w:szCs w:val="28"/>
        </w:rPr>
        <w:instrText xml:space="preserve"> PAGEREF _Toc40045881 \h </w:instrText>
      </w:r>
      <w:r>
        <w:rPr>
          <w:rFonts w:ascii="宋体" w:hAnsi="宋体" w:eastAsia="宋体"/>
          <w:color w:val="auto"/>
          <w:sz w:val="28"/>
          <w:szCs w:val="28"/>
        </w:rPr>
        <w:fldChar w:fldCharType="separate"/>
      </w:r>
      <w:r>
        <w:rPr>
          <w:rFonts w:ascii="宋体" w:hAnsi="宋体" w:eastAsia="宋体"/>
          <w:color w:val="auto"/>
          <w:sz w:val="28"/>
          <w:szCs w:val="28"/>
        </w:rPr>
        <w:t>15</w:t>
      </w:r>
      <w:r>
        <w:rPr>
          <w:rFonts w:ascii="宋体" w:hAnsi="宋体" w:eastAsia="宋体"/>
          <w:color w:val="auto"/>
          <w:sz w:val="28"/>
          <w:szCs w:val="28"/>
        </w:rPr>
        <w:fldChar w:fldCharType="end"/>
      </w:r>
    </w:p>
    <w:p>
      <w:pPr>
        <w:pStyle w:val="36"/>
        <w:tabs>
          <w:tab w:val="right" w:leader="dot" w:pos="9730"/>
        </w:tabs>
        <w:spacing w:line="560" w:lineRule="exact"/>
        <w:rPr>
          <w:rFonts w:ascii="宋体" w:hAnsi="宋体" w:eastAsia="宋体" w:cstheme="minorBidi"/>
          <w:smallCaps w:val="0"/>
          <w:color w:val="auto"/>
          <w:kern w:val="2"/>
          <w:sz w:val="28"/>
          <w:szCs w:val="28"/>
          <w:lang w:val="en-US" w:eastAsia="zh-CN" w:bidi="ar-SA"/>
        </w:rPr>
      </w:pPr>
      <w:r>
        <w:rPr>
          <w:rFonts w:ascii="宋体" w:hAnsi="宋体" w:eastAsia="宋体" w:cs="Times New Roman"/>
          <w:bCs/>
          <w:color w:val="auto"/>
          <w:kern w:val="2"/>
          <w:sz w:val="28"/>
          <w:szCs w:val="28"/>
          <w:lang w:val="en-US" w:eastAsia="zh-CN"/>
        </w:rPr>
        <w:t>1.1</w:t>
      </w:r>
      <w:r>
        <w:rPr>
          <w:rFonts w:hint="eastAsia" w:ascii="宋体" w:hAnsi="宋体" w:eastAsia="宋体" w:cs="Times New Roman"/>
          <w:bCs/>
          <w:color w:val="auto"/>
          <w:kern w:val="2"/>
          <w:sz w:val="28"/>
          <w:szCs w:val="28"/>
          <w:lang w:val="en-US" w:eastAsia="zh-CN"/>
        </w:rPr>
        <w:t>评价目的</w:t>
      </w:r>
      <w:r>
        <w:rPr>
          <w:rFonts w:ascii="宋体" w:hAnsi="宋体" w:eastAsia="宋体"/>
          <w:color w:val="auto"/>
          <w:sz w:val="28"/>
          <w:szCs w:val="28"/>
        </w:rPr>
        <w:tab/>
      </w:r>
      <w:r>
        <w:rPr>
          <w:rFonts w:ascii="宋体" w:hAnsi="宋体" w:eastAsia="宋体"/>
          <w:color w:val="auto"/>
          <w:sz w:val="28"/>
          <w:szCs w:val="28"/>
        </w:rPr>
        <w:fldChar w:fldCharType="begin"/>
      </w:r>
      <w:r>
        <w:rPr>
          <w:rFonts w:ascii="宋体" w:hAnsi="宋体" w:eastAsia="宋体"/>
          <w:color w:val="auto"/>
          <w:sz w:val="28"/>
          <w:szCs w:val="28"/>
        </w:rPr>
        <w:instrText xml:space="preserve"> PAGEREF _Toc40045882 \h </w:instrText>
      </w:r>
      <w:r>
        <w:rPr>
          <w:rFonts w:ascii="宋体" w:hAnsi="宋体" w:eastAsia="宋体"/>
          <w:color w:val="auto"/>
          <w:sz w:val="28"/>
          <w:szCs w:val="28"/>
        </w:rPr>
        <w:fldChar w:fldCharType="separate"/>
      </w:r>
      <w:r>
        <w:rPr>
          <w:rFonts w:ascii="宋体" w:hAnsi="宋体" w:eastAsia="宋体"/>
          <w:color w:val="auto"/>
          <w:sz w:val="28"/>
          <w:szCs w:val="28"/>
        </w:rPr>
        <w:t>15</w:t>
      </w:r>
      <w:r>
        <w:rPr>
          <w:rFonts w:ascii="宋体" w:hAnsi="宋体" w:eastAsia="宋体"/>
          <w:color w:val="auto"/>
          <w:sz w:val="28"/>
          <w:szCs w:val="28"/>
        </w:rPr>
        <w:fldChar w:fldCharType="end"/>
      </w:r>
    </w:p>
    <w:p>
      <w:pPr>
        <w:pStyle w:val="36"/>
        <w:tabs>
          <w:tab w:val="right" w:leader="dot" w:pos="9730"/>
        </w:tabs>
        <w:spacing w:line="560" w:lineRule="exact"/>
        <w:rPr>
          <w:rFonts w:ascii="宋体" w:hAnsi="宋体" w:eastAsia="宋体" w:cstheme="minorBidi"/>
          <w:smallCaps w:val="0"/>
          <w:color w:val="auto"/>
          <w:kern w:val="2"/>
          <w:sz w:val="28"/>
          <w:szCs w:val="28"/>
          <w:lang w:val="en-US" w:eastAsia="zh-CN" w:bidi="ar-SA"/>
        </w:rPr>
      </w:pPr>
      <w:r>
        <w:rPr>
          <w:rFonts w:ascii="宋体" w:hAnsi="宋体" w:eastAsia="宋体" w:cs="Times New Roman"/>
          <w:bCs/>
          <w:color w:val="auto"/>
          <w:kern w:val="2"/>
          <w:sz w:val="28"/>
          <w:szCs w:val="28"/>
          <w:lang w:val="en-US" w:eastAsia="zh-CN"/>
        </w:rPr>
        <w:t>1.2</w:t>
      </w:r>
      <w:r>
        <w:rPr>
          <w:rFonts w:hint="eastAsia" w:ascii="宋体" w:hAnsi="宋体" w:eastAsia="宋体" w:cs="Times New Roman"/>
          <w:bCs/>
          <w:color w:val="auto"/>
          <w:kern w:val="2"/>
          <w:sz w:val="28"/>
          <w:szCs w:val="28"/>
          <w:lang w:val="en-US" w:eastAsia="zh-CN"/>
        </w:rPr>
        <w:t>评价依据</w:t>
      </w:r>
      <w:r>
        <w:rPr>
          <w:rFonts w:ascii="宋体" w:hAnsi="宋体" w:eastAsia="宋体"/>
          <w:color w:val="auto"/>
          <w:sz w:val="28"/>
          <w:szCs w:val="28"/>
        </w:rPr>
        <w:tab/>
      </w:r>
      <w:r>
        <w:rPr>
          <w:rFonts w:ascii="宋体" w:hAnsi="宋体" w:eastAsia="宋体"/>
          <w:color w:val="auto"/>
          <w:sz w:val="28"/>
          <w:szCs w:val="28"/>
        </w:rPr>
        <w:fldChar w:fldCharType="begin"/>
      </w:r>
      <w:r>
        <w:rPr>
          <w:rFonts w:ascii="宋体" w:hAnsi="宋体" w:eastAsia="宋体"/>
          <w:color w:val="auto"/>
          <w:sz w:val="28"/>
          <w:szCs w:val="28"/>
        </w:rPr>
        <w:instrText xml:space="preserve"> PAGEREF _Toc40045883 \h </w:instrText>
      </w:r>
      <w:r>
        <w:rPr>
          <w:rFonts w:ascii="宋体" w:hAnsi="宋体" w:eastAsia="宋体"/>
          <w:color w:val="auto"/>
          <w:sz w:val="28"/>
          <w:szCs w:val="28"/>
        </w:rPr>
        <w:fldChar w:fldCharType="separate"/>
      </w:r>
      <w:r>
        <w:rPr>
          <w:rFonts w:ascii="宋体" w:hAnsi="宋体" w:eastAsia="宋体"/>
          <w:color w:val="auto"/>
          <w:sz w:val="28"/>
          <w:szCs w:val="28"/>
        </w:rPr>
        <w:t>15</w:t>
      </w:r>
      <w:r>
        <w:rPr>
          <w:rFonts w:ascii="宋体" w:hAnsi="宋体" w:eastAsia="宋体"/>
          <w:color w:val="auto"/>
          <w:sz w:val="28"/>
          <w:szCs w:val="28"/>
        </w:rPr>
        <w:fldChar w:fldCharType="end"/>
      </w:r>
    </w:p>
    <w:p>
      <w:pPr>
        <w:pStyle w:val="31"/>
        <w:tabs>
          <w:tab w:val="right" w:leader="dot" w:pos="9730"/>
        </w:tabs>
        <w:spacing w:line="560" w:lineRule="exact"/>
        <w:rPr>
          <w:rFonts w:ascii="宋体" w:hAnsi="宋体" w:eastAsia="宋体" w:cstheme="minorBidi"/>
          <w:b w:val="0"/>
          <w:bCs w:val="0"/>
          <w:caps w:val="0"/>
          <w:color w:val="auto"/>
          <w:kern w:val="2"/>
          <w:sz w:val="28"/>
          <w:szCs w:val="28"/>
          <w:lang w:val="en-US" w:eastAsia="zh-CN" w:bidi="ar-SA"/>
        </w:rPr>
      </w:pPr>
      <w:r>
        <w:rPr>
          <w:rFonts w:ascii="宋体" w:hAnsi="宋体" w:eastAsia="宋体"/>
          <w:color w:val="auto"/>
          <w:sz w:val="28"/>
          <w:szCs w:val="28"/>
        </w:rPr>
        <w:t>2</w:t>
      </w:r>
      <w:r>
        <w:rPr>
          <w:rFonts w:hint="eastAsia" w:ascii="宋体" w:hAnsi="宋体" w:eastAsia="宋体"/>
          <w:color w:val="auto"/>
          <w:sz w:val="28"/>
          <w:szCs w:val="28"/>
        </w:rPr>
        <w:t>被评价单位概况</w:t>
      </w:r>
      <w:r>
        <w:rPr>
          <w:rFonts w:ascii="宋体" w:hAnsi="宋体" w:eastAsia="宋体"/>
          <w:color w:val="auto"/>
          <w:sz w:val="28"/>
          <w:szCs w:val="28"/>
        </w:rPr>
        <w:tab/>
      </w:r>
      <w:r>
        <w:rPr>
          <w:rFonts w:ascii="宋体" w:hAnsi="宋体" w:eastAsia="宋体"/>
          <w:color w:val="auto"/>
          <w:sz w:val="28"/>
          <w:szCs w:val="28"/>
        </w:rPr>
        <w:fldChar w:fldCharType="begin"/>
      </w:r>
      <w:r>
        <w:rPr>
          <w:rFonts w:ascii="宋体" w:hAnsi="宋体" w:eastAsia="宋体"/>
          <w:color w:val="auto"/>
          <w:sz w:val="28"/>
          <w:szCs w:val="28"/>
        </w:rPr>
        <w:instrText xml:space="preserve"> PAGEREF _Toc40045884 \h </w:instrText>
      </w:r>
      <w:r>
        <w:rPr>
          <w:rFonts w:ascii="宋体" w:hAnsi="宋体" w:eastAsia="宋体"/>
          <w:color w:val="auto"/>
          <w:sz w:val="28"/>
          <w:szCs w:val="28"/>
        </w:rPr>
        <w:fldChar w:fldCharType="separate"/>
      </w:r>
      <w:r>
        <w:rPr>
          <w:rFonts w:ascii="宋体" w:hAnsi="宋体" w:eastAsia="宋体"/>
          <w:color w:val="auto"/>
          <w:sz w:val="28"/>
          <w:szCs w:val="28"/>
        </w:rPr>
        <w:t>20</w:t>
      </w:r>
      <w:r>
        <w:rPr>
          <w:rFonts w:ascii="宋体" w:hAnsi="宋体" w:eastAsia="宋体"/>
          <w:color w:val="auto"/>
          <w:sz w:val="28"/>
          <w:szCs w:val="28"/>
        </w:rPr>
        <w:fldChar w:fldCharType="end"/>
      </w:r>
    </w:p>
    <w:p>
      <w:pPr>
        <w:pStyle w:val="36"/>
        <w:tabs>
          <w:tab w:val="right" w:leader="dot" w:pos="9730"/>
        </w:tabs>
        <w:spacing w:line="560" w:lineRule="exact"/>
        <w:rPr>
          <w:rFonts w:ascii="宋体" w:hAnsi="宋体" w:eastAsia="宋体" w:cstheme="minorBidi"/>
          <w:smallCaps w:val="0"/>
          <w:color w:val="auto"/>
          <w:kern w:val="2"/>
          <w:sz w:val="28"/>
          <w:szCs w:val="28"/>
          <w:lang w:val="en-US" w:eastAsia="zh-CN" w:bidi="ar-SA"/>
        </w:rPr>
      </w:pPr>
      <w:r>
        <w:rPr>
          <w:rFonts w:ascii="宋体" w:hAnsi="宋体" w:eastAsia="宋体" w:cs="Times New Roman"/>
          <w:bCs/>
          <w:color w:val="auto"/>
          <w:kern w:val="2"/>
          <w:sz w:val="28"/>
          <w:szCs w:val="28"/>
          <w:lang w:val="en-US" w:eastAsia="zh-CN"/>
        </w:rPr>
        <w:t>2.1</w:t>
      </w:r>
      <w:r>
        <w:rPr>
          <w:rFonts w:hint="eastAsia" w:ascii="宋体" w:hAnsi="宋体" w:eastAsia="宋体" w:cs="Times New Roman"/>
          <w:bCs/>
          <w:color w:val="auto"/>
          <w:kern w:val="2"/>
          <w:sz w:val="28"/>
          <w:szCs w:val="28"/>
          <w:lang w:val="en-US" w:eastAsia="zh-CN"/>
        </w:rPr>
        <w:t>被评价单位基本情况</w:t>
      </w:r>
      <w:r>
        <w:rPr>
          <w:rFonts w:ascii="宋体" w:hAnsi="宋体" w:eastAsia="宋体"/>
          <w:color w:val="auto"/>
          <w:sz w:val="28"/>
          <w:szCs w:val="28"/>
        </w:rPr>
        <w:tab/>
      </w:r>
      <w:r>
        <w:rPr>
          <w:rFonts w:ascii="宋体" w:hAnsi="宋体" w:eastAsia="宋体"/>
          <w:color w:val="auto"/>
          <w:sz w:val="28"/>
          <w:szCs w:val="28"/>
        </w:rPr>
        <w:fldChar w:fldCharType="begin"/>
      </w:r>
      <w:r>
        <w:rPr>
          <w:rFonts w:ascii="宋体" w:hAnsi="宋体" w:eastAsia="宋体"/>
          <w:color w:val="auto"/>
          <w:sz w:val="28"/>
          <w:szCs w:val="28"/>
        </w:rPr>
        <w:instrText xml:space="preserve"> PAGEREF _Toc40045885 \h </w:instrText>
      </w:r>
      <w:r>
        <w:rPr>
          <w:rFonts w:ascii="宋体" w:hAnsi="宋体" w:eastAsia="宋体"/>
          <w:color w:val="auto"/>
          <w:sz w:val="28"/>
          <w:szCs w:val="28"/>
        </w:rPr>
        <w:fldChar w:fldCharType="separate"/>
      </w:r>
      <w:r>
        <w:rPr>
          <w:rFonts w:ascii="宋体" w:hAnsi="宋体" w:eastAsia="宋体"/>
          <w:color w:val="auto"/>
          <w:sz w:val="28"/>
          <w:szCs w:val="28"/>
        </w:rPr>
        <w:t>20</w:t>
      </w:r>
      <w:r>
        <w:rPr>
          <w:rFonts w:ascii="宋体" w:hAnsi="宋体" w:eastAsia="宋体"/>
          <w:color w:val="auto"/>
          <w:sz w:val="28"/>
          <w:szCs w:val="28"/>
        </w:rPr>
        <w:fldChar w:fldCharType="end"/>
      </w:r>
    </w:p>
    <w:p>
      <w:pPr>
        <w:pStyle w:val="36"/>
        <w:tabs>
          <w:tab w:val="right" w:leader="dot" w:pos="9730"/>
        </w:tabs>
        <w:spacing w:line="560" w:lineRule="exact"/>
        <w:rPr>
          <w:rFonts w:ascii="宋体" w:hAnsi="宋体" w:eastAsia="宋体" w:cstheme="minorBidi"/>
          <w:smallCaps w:val="0"/>
          <w:color w:val="auto"/>
          <w:kern w:val="2"/>
          <w:sz w:val="28"/>
          <w:szCs w:val="28"/>
          <w:lang w:val="en-US" w:eastAsia="zh-CN" w:bidi="ar-SA"/>
        </w:rPr>
      </w:pPr>
      <w:r>
        <w:rPr>
          <w:rFonts w:ascii="宋体" w:hAnsi="宋体" w:eastAsia="宋体" w:cs="Times New Roman"/>
          <w:bCs/>
          <w:color w:val="auto"/>
          <w:kern w:val="2"/>
          <w:sz w:val="28"/>
          <w:szCs w:val="28"/>
          <w:lang w:val="en-US" w:eastAsia="zh-CN"/>
        </w:rPr>
        <w:t>2.2</w:t>
      </w:r>
      <w:r>
        <w:rPr>
          <w:rFonts w:hint="eastAsia" w:ascii="宋体" w:hAnsi="宋体" w:eastAsia="宋体" w:cs="Times New Roman"/>
          <w:bCs/>
          <w:color w:val="auto"/>
          <w:kern w:val="2"/>
          <w:sz w:val="28"/>
          <w:szCs w:val="28"/>
          <w:lang w:val="en-US" w:eastAsia="zh-CN"/>
        </w:rPr>
        <w:t>危险化学品生产工艺装置、储存设施等基本情况</w:t>
      </w:r>
      <w:r>
        <w:rPr>
          <w:rFonts w:ascii="宋体" w:hAnsi="宋体" w:eastAsia="宋体"/>
          <w:color w:val="auto"/>
          <w:sz w:val="28"/>
          <w:szCs w:val="28"/>
        </w:rPr>
        <w:tab/>
      </w:r>
      <w:r>
        <w:rPr>
          <w:rFonts w:ascii="宋体" w:hAnsi="宋体" w:eastAsia="宋体"/>
          <w:color w:val="auto"/>
          <w:sz w:val="28"/>
          <w:szCs w:val="28"/>
        </w:rPr>
        <w:fldChar w:fldCharType="begin"/>
      </w:r>
      <w:r>
        <w:rPr>
          <w:rFonts w:ascii="宋体" w:hAnsi="宋体" w:eastAsia="宋体"/>
          <w:color w:val="auto"/>
          <w:sz w:val="28"/>
          <w:szCs w:val="28"/>
        </w:rPr>
        <w:instrText xml:space="preserve"> PAGEREF _Toc40045886 \h </w:instrText>
      </w:r>
      <w:r>
        <w:rPr>
          <w:rFonts w:ascii="宋体" w:hAnsi="宋体" w:eastAsia="宋体"/>
          <w:color w:val="auto"/>
          <w:sz w:val="28"/>
          <w:szCs w:val="28"/>
        </w:rPr>
        <w:fldChar w:fldCharType="separate"/>
      </w:r>
      <w:r>
        <w:rPr>
          <w:rFonts w:ascii="宋体" w:hAnsi="宋体" w:eastAsia="宋体"/>
          <w:color w:val="auto"/>
          <w:sz w:val="28"/>
          <w:szCs w:val="28"/>
        </w:rPr>
        <w:t>25</w:t>
      </w:r>
      <w:r>
        <w:rPr>
          <w:rFonts w:ascii="宋体" w:hAnsi="宋体" w:eastAsia="宋体"/>
          <w:color w:val="auto"/>
          <w:sz w:val="28"/>
          <w:szCs w:val="28"/>
        </w:rPr>
        <w:fldChar w:fldCharType="end"/>
      </w:r>
    </w:p>
    <w:p>
      <w:pPr>
        <w:pStyle w:val="36"/>
        <w:tabs>
          <w:tab w:val="right" w:leader="dot" w:pos="9730"/>
        </w:tabs>
        <w:spacing w:line="560" w:lineRule="exact"/>
        <w:rPr>
          <w:rFonts w:ascii="宋体" w:hAnsi="宋体" w:eastAsia="宋体" w:cstheme="minorBidi"/>
          <w:smallCaps w:val="0"/>
          <w:color w:val="auto"/>
          <w:kern w:val="2"/>
          <w:sz w:val="28"/>
          <w:szCs w:val="28"/>
          <w:lang w:val="en-US" w:eastAsia="zh-CN" w:bidi="ar-SA"/>
        </w:rPr>
      </w:pPr>
      <w:r>
        <w:rPr>
          <w:rFonts w:ascii="宋体" w:hAnsi="宋体" w:eastAsia="宋体" w:cs="Times New Roman"/>
          <w:bCs/>
          <w:color w:val="auto"/>
          <w:kern w:val="2"/>
          <w:sz w:val="28"/>
          <w:szCs w:val="28"/>
          <w:lang w:val="en-US" w:eastAsia="zh-CN"/>
        </w:rPr>
        <w:t>2.3</w:t>
      </w:r>
      <w:r>
        <w:rPr>
          <w:rFonts w:hint="eastAsia" w:ascii="宋体" w:hAnsi="宋体" w:eastAsia="宋体" w:cs="Times New Roman"/>
          <w:bCs/>
          <w:color w:val="auto"/>
          <w:kern w:val="2"/>
          <w:sz w:val="28"/>
          <w:szCs w:val="28"/>
          <w:lang w:val="en-US" w:eastAsia="zh-CN"/>
        </w:rPr>
        <w:t>公用工程及辅助设施</w:t>
      </w:r>
      <w:r>
        <w:rPr>
          <w:rFonts w:ascii="宋体" w:hAnsi="宋体" w:eastAsia="宋体"/>
          <w:color w:val="auto"/>
          <w:sz w:val="28"/>
          <w:szCs w:val="28"/>
        </w:rPr>
        <w:tab/>
      </w:r>
      <w:r>
        <w:rPr>
          <w:rFonts w:ascii="宋体" w:hAnsi="宋体" w:eastAsia="宋体"/>
          <w:color w:val="auto"/>
          <w:sz w:val="28"/>
          <w:szCs w:val="28"/>
        </w:rPr>
        <w:fldChar w:fldCharType="begin"/>
      </w:r>
      <w:r>
        <w:rPr>
          <w:rFonts w:ascii="宋体" w:hAnsi="宋体" w:eastAsia="宋体"/>
          <w:color w:val="auto"/>
          <w:sz w:val="28"/>
          <w:szCs w:val="28"/>
        </w:rPr>
        <w:instrText xml:space="preserve"> PAGEREF _Toc40045887 \h </w:instrText>
      </w:r>
      <w:r>
        <w:rPr>
          <w:rFonts w:ascii="宋体" w:hAnsi="宋体" w:eastAsia="宋体"/>
          <w:color w:val="auto"/>
          <w:sz w:val="28"/>
          <w:szCs w:val="28"/>
        </w:rPr>
        <w:fldChar w:fldCharType="separate"/>
      </w:r>
      <w:r>
        <w:rPr>
          <w:rFonts w:ascii="宋体" w:hAnsi="宋体" w:eastAsia="宋体"/>
          <w:color w:val="auto"/>
          <w:sz w:val="28"/>
          <w:szCs w:val="28"/>
        </w:rPr>
        <w:t>28</w:t>
      </w:r>
      <w:r>
        <w:rPr>
          <w:rFonts w:ascii="宋体" w:hAnsi="宋体" w:eastAsia="宋体"/>
          <w:color w:val="auto"/>
          <w:sz w:val="28"/>
          <w:szCs w:val="28"/>
        </w:rPr>
        <w:fldChar w:fldCharType="end"/>
      </w:r>
    </w:p>
    <w:p>
      <w:pPr>
        <w:pStyle w:val="36"/>
        <w:tabs>
          <w:tab w:val="right" w:leader="dot" w:pos="9730"/>
        </w:tabs>
        <w:spacing w:line="560" w:lineRule="exact"/>
        <w:rPr>
          <w:rFonts w:ascii="宋体" w:hAnsi="宋体" w:eastAsia="宋体" w:cstheme="minorBidi"/>
          <w:smallCaps w:val="0"/>
          <w:color w:val="auto"/>
          <w:kern w:val="2"/>
          <w:sz w:val="28"/>
          <w:szCs w:val="28"/>
          <w:lang w:val="en-US" w:eastAsia="zh-CN" w:bidi="ar-SA"/>
        </w:rPr>
      </w:pPr>
      <w:r>
        <w:rPr>
          <w:rFonts w:ascii="宋体" w:hAnsi="宋体" w:eastAsia="宋体" w:cs="Times New Roman"/>
          <w:bCs/>
          <w:color w:val="auto"/>
          <w:kern w:val="2"/>
          <w:sz w:val="28"/>
          <w:szCs w:val="28"/>
          <w:lang w:val="en-US" w:eastAsia="zh-CN"/>
        </w:rPr>
        <w:t>2.4</w:t>
      </w:r>
      <w:r>
        <w:rPr>
          <w:rFonts w:hint="eastAsia" w:ascii="宋体" w:hAnsi="宋体" w:eastAsia="宋体" w:cs="Times New Roman"/>
          <w:bCs/>
          <w:color w:val="auto"/>
          <w:kern w:val="2"/>
          <w:sz w:val="28"/>
          <w:szCs w:val="28"/>
          <w:lang w:val="en-US" w:eastAsia="zh-CN"/>
        </w:rPr>
        <w:t>主要安全卫生设施及技术措施</w:t>
      </w:r>
      <w:r>
        <w:rPr>
          <w:rFonts w:ascii="宋体" w:hAnsi="宋体" w:eastAsia="宋体"/>
          <w:color w:val="auto"/>
          <w:sz w:val="28"/>
          <w:szCs w:val="28"/>
        </w:rPr>
        <w:tab/>
      </w:r>
      <w:r>
        <w:rPr>
          <w:rFonts w:ascii="宋体" w:hAnsi="宋体" w:eastAsia="宋体"/>
          <w:color w:val="auto"/>
          <w:sz w:val="28"/>
          <w:szCs w:val="28"/>
        </w:rPr>
        <w:fldChar w:fldCharType="begin"/>
      </w:r>
      <w:r>
        <w:rPr>
          <w:rFonts w:ascii="宋体" w:hAnsi="宋体" w:eastAsia="宋体"/>
          <w:color w:val="auto"/>
          <w:sz w:val="28"/>
          <w:szCs w:val="28"/>
        </w:rPr>
        <w:instrText xml:space="preserve"> PAGEREF _Toc40045888 \h </w:instrText>
      </w:r>
      <w:r>
        <w:rPr>
          <w:rFonts w:ascii="宋体" w:hAnsi="宋体" w:eastAsia="宋体"/>
          <w:color w:val="auto"/>
          <w:sz w:val="28"/>
          <w:szCs w:val="28"/>
        </w:rPr>
        <w:fldChar w:fldCharType="separate"/>
      </w:r>
      <w:r>
        <w:rPr>
          <w:rFonts w:ascii="宋体" w:hAnsi="宋体" w:eastAsia="宋体"/>
          <w:color w:val="auto"/>
          <w:sz w:val="28"/>
          <w:szCs w:val="28"/>
        </w:rPr>
        <w:t>31</w:t>
      </w:r>
      <w:r>
        <w:rPr>
          <w:rFonts w:ascii="宋体" w:hAnsi="宋体" w:eastAsia="宋体"/>
          <w:color w:val="auto"/>
          <w:sz w:val="28"/>
          <w:szCs w:val="28"/>
        </w:rPr>
        <w:fldChar w:fldCharType="end"/>
      </w:r>
    </w:p>
    <w:p>
      <w:pPr>
        <w:pStyle w:val="36"/>
        <w:tabs>
          <w:tab w:val="right" w:leader="dot" w:pos="9730"/>
        </w:tabs>
        <w:spacing w:line="560" w:lineRule="exact"/>
        <w:rPr>
          <w:rFonts w:ascii="宋体" w:hAnsi="宋体" w:eastAsia="宋体" w:cstheme="minorBidi"/>
          <w:smallCaps w:val="0"/>
          <w:color w:val="auto"/>
          <w:kern w:val="2"/>
          <w:sz w:val="28"/>
          <w:szCs w:val="28"/>
          <w:lang w:val="en-US" w:eastAsia="zh-CN" w:bidi="ar-SA"/>
        </w:rPr>
      </w:pPr>
      <w:r>
        <w:rPr>
          <w:rFonts w:ascii="宋体" w:hAnsi="宋体" w:eastAsia="宋体" w:cs="Times New Roman"/>
          <w:bCs/>
          <w:color w:val="auto"/>
          <w:kern w:val="2"/>
          <w:sz w:val="28"/>
          <w:szCs w:val="28"/>
          <w:lang w:val="en-US" w:eastAsia="zh-CN"/>
        </w:rPr>
        <w:t>2.5</w:t>
      </w:r>
      <w:r>
        <w:rPr>
          <w:rFonts w:hint="eastAsia" w:ascii="宋体" w:hAnsi="宋体" w:eastAsia="宋体" w:cs="Times New Roman"/>
          <w:bCs/>
          <w:color w:val="auto"/>
          <w:kern w:val="2"/>
          <w:sz w:val="28"/>
          <w:szCs w:val="28"/>
          <w:lang w:val="en-US" w:eastAsia="zh-CN"/>
        </w:rPr>
        <w:t>卫生防护距离情况</w:t>
      </w:r>
      <w:r>
        <w:rPr>
          <w:rFonts w:ascii="宋体" w:hAnsi="宋体" w:eastAsia="宋体"/>
          <w:color w:val="auto"/>
          <w:sz w:val="28"/>
          <w:szCs w:val="28"/>
        </w:rPr>
        <w:tab/>
      </w:r>
      <w:r>
        <w:rPr>
          <w:rFonts w:ascii="宋体" w:hAnsi="宋体" w:eastAsia="宋体"/>
          <w:color w:val="auto"/>
          <w:sz w:val="28"/>
          <w:szCs w:val="28"/>
        </w:rPr>
        <w:fldChar w:fldCharType="begin"/>
      </w:r>
      <w:r>
        <w:rPr>
          <w:rFonts w:ascii="宋体" w:hAnsi="宋体" w:eastAsia="宋体"/>
          <w:color w:val="auto"/>
          <w:sz w:val="28"/>
          <w:szCs w:val="28"/>
        </w:rPr>
        <w:instrText xml:space="preserve"> PAGEREF _Toc40045889 \h </w:instrText>
      </w:r>
      <w:r>
        <w:rPr>
          <w:rFonts w:ascii="宋体" w:hAnsi="宋体" w:eastAsia="宋体"/>
          <w:color w:val="auto"/>
          <w:sz w:val="28"/>
          <w:szCs w:val="28"/>
        </w:rPr>
        <w:fldChar w:fldCharType="separate"/>
      </w:r>
      <w:r>
        <w:rPr>
          <w:rFonts w:ascii="宋体" w:hAnsi="宋体" w:eastAsia="宋体"/>
          <w:color w:val="auto"/>
          <w:sz w:val="28"/>
          <w:szCs w:val="28"/>
        </w:rPr>
        <w:t>33</w:t>
      </w:r>
      <w:r>
        <w:rPr>
          <w:rFonts w:ascii="宋体" w:hAnsi="宋体" w:eastAsia="宋体"/>
          <w:color w:val="auto"/>
          <w:sz w:val="28"/>
          <w:szCs w:val="28"/>
        </w:rPr>
        <w:fldChar w:fldCharType="end"/>
      </w:r>
    </w:p>
    <w:p>
      <w:pPr>
        <w:pStyle w:val="36"/>
        <w:tabs>
          <w:tab w:val="right" w:leader="dot" w:pos="9730"/>
        </w:tabs>
        <w:spacing w:line="560" w:lineRule="exact"/>
        <w:rPr>
          <w:rFonts w:ascii="宋体" w:hAnsi="宋体" w:eastAsia="宋体" w:cstheme="minorBidi"/>
          <w:smallCaps w:val="0"/>
          <w:color w:val="auto"/>
          <w:kern w:val="2"/>
          <w:sz w:val="28"/>
          <w:szCs w:val="28"/>
          <w:lang w:val="en-US" w:eastAsia="zh-CN" w:bidi="ar-SA"/>
        </w:rPr>
      </w:pPr>
      <w:r>
        <w:rPr>
          <w:rFonts w:ascii="宋体" w:hAnsi="宋体" w:eastAsia="宋体" w:cs="Times New Roman"/>
          <w:bCs/>
          <w:color w:val="auto"/>
          <w:kern w:val="2"/>
          <w:sz w:val="28"/>
          <w:szCs w:val="28"/>
          <w:lang w:val="en-US" w:eastAsia="zh-CN"/>
        </w:rPr>
        <w:t>2.6</w:t>
      </w:r>
      <w:r>
        <w:rPr>
          <w:rFonts w:hint="eastAsia" w:ascii="宋体" w:hAnsi="宋体" w:eastAsia="宋体" w:cs="Times New Roman"/>
          <w:bCs/>
          <w:color w:val="auto"/>
          <w:kern w:val="2"/>
          <w:sz w:val="28"/>
          <w:szCs w:val="28"/>
          <w:lang w:val="en-US" w:eastAsia="zh-CN"/>
        </w:rPr>
        <w:t>安全管理概况</w:t>
      </w:r>
      <w:r>
        <w:rPr>
          <w:rFonts w:ascii="宋体" w:hAnsi="宋体" w:eastAsia="宋体"/>
          <w:color w:val="auto"/>
          <w:sz w:val="28"/>
          <w:szCs w:val="28"/>
        </w:rPr>
        <w:tab/>
      </w:r>
      <w:r>
        <w:rPr>
          <w:rFonts w:ascii="宋体" w:hAnsi="宋体" w:eastAsia="宋体"/>
          <w:color w:val="auto"/>
          <w:sz w:val="28"/>
          <w:szCs w:val="28"/>
        </w:rPr>
        <w:fldChar w:fldCharType="begin"/>
      </w:r>
      <w:r>
        <w:rPr>
          <w:rFonts w:ascii="宋体" w:hAnsi="宋体" w:eastAsia="宋体"/>
          <w:color w:val="auto"/>
          <w:sz w:val="28"/>
          <w:szCs w:val="28"/>
        </w:rPr>
        <w:instrText xml:space="preserve"> PAGEREF _Toc40045890 \h </w:instrText>
      </w:r>
      <w:r>
        <w:rPr>
          <w:rFonts w:ascii="宋体" w:hAnsi="宋体" w:eastAsia="宋体"/>
          <w:color w:val="auto"/>
          <w:sz w:val="28"/>
          <w:szCs w:val="28"/>
        </w:rPr>
        <w:fldChar w:fldCharType="separate"/>
      </w:r>
      <w:r>
        <w:rPr>
          <w:rFonts w:ascii="宋体" w:hAnsi="宋体" w:eastAsia="宋体"/>
          <w:color w:val="auto"/>
          <w:sz w:val="28"/>
          <w:szCs w:val="28"/>
        </w:rPr>
        <w:t>34</w:t>
      </w:r>
      <w:r>
        <w:rPr>
          <w:rFonts w:ascii="宋体" w:hAnsi="宋体" w:eastAsia="宋体"/>
          <w:color w:val="auto"/>
          <w:sz w:val="28"/>
          <w:szCs w:val="28"/>
        </w:rPr>
        <w:fldChar w:fldCharType="end"/>
      </w:r>
    </w:p>
    <w:p>
      <w:pPr>
        <w:pStyle w:val="36"/>
        <w:tabs>
          <w:tab w:val="right" w:leader="dot" w:pos="9730"/>
        </w:tabs>
        <w:spacing w:line="560" w:lineRule="exact"/>
        <w:rPr>
          <w:rFonts w:ascii="宋体" w:hAnsi="宋体" w:eastAsia="宋体" w:cstheme="minorBidi"/>
          <w:smallCaps w:val="0"/>
          <w:color w:val="auto"/>
          <w:kern w:val="2"/>
          <w:sz w:val="28"/>
          <w:szCs w:val="28"/>
          <w:lang w:val="en-US" w:eastAsia="zh-CN" w:bidi="ar-SA"/>
        </w:rPr>
      </w:pPr>
      <w:r>
        <w:rPr>
          <w:rFonts w:ascii="宋体" w:hAnsi="宋体" w:eastAsia="宋体" w:cs="Times New Roman"/>
          <w:bCs/>
          <w:color w:val="auto"/>
          <w:kern w:val="2"/>
          <w:sz w:val="28"/>
          <w:szCs w:val="28"/>
          <w:lang w:val="en-US" w:eastAsia="zh-CN"/>
        </w:rPr>
        <w:t>2.7</w:t>
      </w:r>
      <w:r>
        <w:rPr>
          <w:rFonts w:hint="eastAsia" w:ascii="宋体" w:hAnsi="宋体" w:eastAsia="宋体" w:cs="Times New Roman"/>
          <w:bCs/>
          <w:color w:val="auto"/>
          <w:kern w:val="2"/>
          <w:sz w:val="28"/>
          <w:szCs w:val="28"/>
          <w:lang w:val="en-US" w:eastAsia="zh-CN"/>
        </w:rPr>
        <w:t>安全投入情况</w:t>
      </w:r>
      <w:r>
        <w:rPr>
          <w:rFonts w:ascii="宋体" w:hAnsi="宋体" w:eastAsia="宋体"/>
          <w:color w:val="auto"/>
          <w:sz w:val="28"/>
          <w:szCs w:val="28"/>
        </w:rPr>
        <w:tab/>
      </w:r>
      <w:r>
        <w:rPr>
          <w:rFonts w:ascii="宋体" w:hAnsi="宋体" w:eastAsia="宋体"/>
          <w:color w:val="auto"/>
          <w:sz w:val="28"/>
          <w:szCs w:val="28"/>
        </w:rPr>
        <w:fldChar w:fldCharType="begin"/>
      </w:r>
      <w:r>
        <w:rPr>
          <w:rFonts w:ascii="宋体" w:hAnsi="宋体" w:eastAsia="宋体"/>
          <w:color w:val="auto"/>
          <w:sz w:val="28"/>
          <w:szCs w:val="28"/>
        </w:rPr>
        <w:instrText xml:space="preserve"> PAGEREF _Toc40045891 \h </w:instrText>
      </w:r>
      <w:r>
        <w:rPr>
          <w:rFonts w:ascii="宋体" w:hAnsi="宋体" w:eastAsia="宋体"/>
          <w:color w:val="auto"/>
          <w:sz w:val="28"/>
          <w:szCs w:val="28"/>
        </w:rPr>
        <w:fldChar w:fldCharType="separate"/>
      </w:r>
      <w:r>
        <w:rPr>
          <w:rFonts w:ascii="宋体" w:hAnsi="宋体" w:eastAsia="宋体"/>
          <w:color w:val="auto"/>
          <w:sz w:val="28"/>
          <w:szCs w:val="28"/>
        </w:rPr>
        <w:t>34</w:t>
      </w:r>
      <w:r>
        <w:rPr>
          <w:rFonts w:ascii="宋体" w:hAnsi="宋体" w:eastAsia="宋体"/>
          <w:color w:val="auto"/>
          <w:sz w:val="28"/>
          <w:szCs w:val="28"/>
        </w:rPr>
        <w:fldChar w:fldCharType="end"/>
      </w:r>
    </w:p>
    <w:p>
      <w:pPr>
        <w:pStyle w:val="36"/>
        <w:tabs>
          <w:tab w:val="right" w:leader="dot" w:pos="9730"/>
        </w:tabs>
        <w:spacing w:line="560" w:lineRule="exact"/>
        <w:rPr>
          <w:rFonts w:ascii="宋体" w:hAnsi="宋体" w:eastAsia="宋体" w:cstheme="minorBidi"/>
          <w:smallCaps w:val="0"/>
          <w:color w:val="auto"/>
          <w:kern w:val="2"/>
          <w:sz w:val="28"/>
          <w:szCs w:val="28"/>
          <w:lang w:val="en-US" w:eastAsia="zh-CN" w:bidi="ar-SA"/>
        </w:rPr>
      </w:pPr>
      <w:r>
        <w:rPr>
          <w:rFonts w:ascii="宋体" w:hAnsi="宋体" w:eastAsia="宋体" w:cs="Times New Roman"/>
          <w:bCs/>
          <w:color w:val="auto"/>
          <w:kern w:val="2"/>
          <w:sz w:val="28"/>
          <w:szCs w:val="28"/>
          <w:lang w:val="en-US" w:eastAsia="zh-CN"/>
        </w:rPr>
        <w:t>2.8</w:t>
      </w:r>
      <w:r>
        <w:rPr>
          <w:rFonts w:hint="eastAsia" w:ascii="宋体" w:hAnsi="宋体" w:eastAsia="宋体" w:cs="Times New Roman"/>
          <w:bCs/>
          <w:color w:val="auto"/>
          <w:kern w:val="2"/>
          <w:sz w:val="28"/>
          <w:szCs w:val="28"/>
          <w:lang w:val="en-US" w:eastAsia="zh-CN"/>
        </w:rPr>
        <w:t>领取安全生产许可证三年来的情况</w:t>
      </w:r>
      <w:r>
        <w:rPr>
          <w:rFonts w:ascii="宋体" w:hAnsi="宋体" w:eastAsia="宋体"/>
          <w:color w:val="auto"/>
          <w:sz w:val="28"/>
          <w:szCs w:val="28"/>
        </w:rPr>
        <w:tab/>
      </w:r>
      <w:r>
        <w:rPr>
          <w:rFonts w:ascii="宋体" w:hAnsi="宋体" w:eastAsia="宋体"/>
          <w:color w:val="auto"/>
          <w:sz w:val="28"/>
          <w:szCs w:val="28"/>
        </w:rPr>
        <w:fldChar w:fldCharType="begin"/>
      </w:r>
      <w:r>
        <w:rPr>
          <w:rFonts w:ascii="宋体" w:hAnsi="宋体" w:eastAsia="宋体"/>
          <w:color w:val="auto"/>
          <w:sz w:val="28"/>
          <w:szCs w:val="28"/>
        </w:rPr>
        <w:instrText xml:space="preserve"> PAGEREF _Toc40045892 \h </w:instrText>
      </w:r>
      <w:r>
        <w:rPr>
          <w:rFonts w:ascii="宋体" w:hAnsi="宋体" w:eastAsia="宋体"/>
          <w:color w:val="auto"/>
          <w:sz w:val="28"/>
          <w:szCs w:val="28"/>
        </w:rPr>
        <w:fldChar w:fldCharType="separate"/>
      </w:r>
      <w:r>
        <w:rPr>
          <w:rFonts w:ascii="宋体" w:hAnsi="宋体" w:eastAsia="宋体"/>
          <w:color w:val="auto"/>
          <w:sz w:val="28"/>
          <w:szCs w:val="28"/>
        </w:rPr>
        <w:t>37</w:t>
      </w:r>
      <w:r>
        <w:rPr>
          <w:rFonts w:ascii="宋体" w:hAnsi="宋体" w:eastAsia="宋体"/>
          <w:color w:val="auto"/>
          <w:sz w:val="28"/>
          <w:szCs w:val="28"/>
        </w:rPr>
        <w:fldChar w:fldCharType="end"/>
      </w:r>
    </w:p>
    <w:p>
      <w:pPr>
        <w:pStyle w:val="31"/>
        <w:tabs>
          <w:tab w:val="right" w:leader="dot" w:pos="9730"/>
        </w:tabs>
        <w:spacing w:line="560" w:lineRule="exact"/>
        <w:rPr>
          <w:rFonts w:ascii="宋体" w:hAnsi="宋体" w:eastAsia="宋体" w:cstheme="minorBidi"/>
          <w:b w:val="0"/>
          <w:bCs w:val="0"/>
          <w:caps w:val="0"/>
          <w:color w:val="auto"/>
          <w:kern w:val="2"/>
          <w:sz w:val="28"/>
          <w:szCs w:val="28"/>
          <w:lang w:val="en-US" w:eastAsia="zh-CN" w:bidi="ar-SA"/>
        </w:rPr>
      </w:pPr>
      <w:r>
        <w:rPr>
          <w:rFonts w:ascii="宋体" w:hAnsi="宋体" w:eastAsia="宋体"/>
          <w:color w:val="auto"/>
          <w:sz w:val="28"/>
          <w:szCs w:val="28"/>
        </w:rPr>
        <w:t>3</w:t>
      </w:r>
      <w:r>
        <w:rPr>
          <w:rFonts w:hint="eastAsia" w:ascii="宋体" w:hAnsi="宋体" w:eastAsia="宋体"/>
          <w:color w:val="auto"/>
          <w:sz w:val="28"/>
          <w:szCs w:val="28"/>
        </w:rPr>
        <w:t>评价范围与内容</w:t>
      </w:r>
      <w:r>
        <w:rPr>
          <w:rFonts w:ascii="宋体" w:hAnsi="宋体" w:eastAsia="宋体"/>
          <w:color w:val="auto"/>
          <w:sz w:val="28"/>
          <w:szCs w:val="28"/>
        </w:rPr>
        <w:tab/>
      </w:r>
      <w:r>
        <w:rPr>
          <w:rFonts w:ascii="宋体" w:hAnsi="宋体" w:eastAsia="宋体"/>
          <w:color w:val="auto"/>
          <w:sz w:val="28"/>
          <w:szCs w:val="28"/>
        </w:rPr>
        <w:fldChar w:fldCharType="begin"/>
      </w:r>
      <w:r>
        <w:rPr>
          <w:rFonts w:ascii="宋体" w:hAnsi="宋体" w:eastAsia="宋体"/>
          <w:color w:val="auto"/>
          <w:sz w:val="28"/>
          <w:szCs w:val="28"/>
        </w:rPr>
        <w:instrText xml:space="preserve"> PAGEREF _Toc40045893 \h </w:instrText>
      </w:r>
      <w:r>
        <w:rPr>
          <w:rFonts w:ascii="宋体" w:hAnsi="宋体" w:eastAsia="宋体"/>
          <w:color w:val="auto"/>
          <w:sz w:val="28"/>
          <w:szCs w:val="28"/>
        </w:rPr>
        <w:fldChar w:fldCharType="separate"/>
      </w:r>
      <w:r>
        <w:rPr>
          <w:rFonts w:ascii="宋体" w:hAnsi="宋体" w:eastAsia="宋体"/>
          <w:color w:val="auto"/>
          <w:sz w:val="28"/>
          <w:szCs w:val="28"/>
        </w:rPr>
        <w:t>40</w:t>
      </w:r>
      <w:r>
        <w:rPr>
          <w:rFonts w:ascii="宋体" w:hAnsi="宋体" w:eastAsia="宋体"/>
          <w:color w:val="auto"/>
          <w:sz w:val="28"/>
          <w:szCs w:val="28"/>
        </w:rPr>
        <w:fldChar w:fldCharType="end"/>
      </w:r>
    </w:p>
    <w:p>
      <w:pPr>
        <w:pStyle w:val="36"/>
        <w:tabs>
          <w:tab w:val="right" w:leader="dot" w:pos="9730"/>
        </w:tabs>
        <w:spacing w:line="560" w:lineRule="exact"/>
        <w:rPr>
          <w:rFonts w:ascii="宋体" w:hAnsi="宋体" w:eastAsia="宋体" w:cstheme="minorBidi"/>
          <w:smallCaps w:val="0"/>
          <w:color w:val="auto"/>
          <w:kern w:val="2"/>
          <w:sz w:val="28"/>
          <w:szCs w:val="28"/>
          <w:lang w:val="en-US" w:eastAsia="zh-CN" w:bidi="ar-SA"/>
        </w:rPr>
      </w:pPr>
      <w:r>
        <w:rPr>
          <w:rFonts w:ascii="宋体" w:hAnsi="宋体" w:eastAsia="宋体" w:cs="Times New Roman"/>
          <w:bCs/>
          <w:color w:val="auto"/>
          <w:kern w:val="2"/>
          <w:sz w:val="28"/>
          <w:szCs w:val="28"/>
          <w:lang w:val="en-US" w:eastAsia="zh-CN"/>
        </w:rPr>
        <w:t>3.1</w:t>
      </w:r>
      <w:r>
        <w:rPr>
          <w:rFonts w:hint="eastAsia" w:ascii="宋体" w:hAnsi="宋体" w:eastAsia="宋体" w:cs="Times New Roman"/>
          <w:bCs/>
          <w:color w:val="auto"/>
          <w:kern w:val="2"/>
          <w:sz w:val="28"/>
          <w:szCs w:val="28"/>
          <w:lang w:val="en-US" w:eastAsia="zh-CN"/>
        </w:rPr>
        <w:t>安全评价的对象</w:t>
      </w:r>
      <w:r>
        <w:rPr>
          <w:rFonts w:ascii="宋体" w:hAnsi="宋体" w:eastAsia="宋体"/>
          <w:color w:val="auto"/>
          <w:sz w:val="28"/>
          <w:szCs w:val="28"/>
        </w:rPr>
        <w:tab/>
      </w:r>
      <w:r>
        <w:rPr>
          <w:rFonts w:ascii="宋体" w:hAnsi="宋体" w:eastAsia="宋体"/>
          <w:color w:val="auto"/>
          <w:sz w:val="28"/>
          <w:szCs w:val="28"/>
        </w:rPr>
        <w:fldChar w:fldCharType="begin"/>
      </w:r>
      <w:r>
        <w:rPr>
          <w:rFonts w:ascii="宋体" w:hAnsi="宋体" w:eastAsia="宋体"/>
          <w:color w:val="auto"/>
          <w:sz w:val="28"/>
          <w:szCs w:val="28"/>
        </w:rPr>
        <w:instrText xml:space="preserve"> PAGEREF _Toc40045894 \h </w:instrText>
      </w:r>
      <w:r>
        <w:rPr>
          <w:rFonts w:ascii="宋体" w:hAnsi="宋体" w:eastAsia="宋体"/>
          <w:color w:val="auto"/>
          <w:sz w:val="28"/>
          <w:szCs w:val="28"/>
        </w:rPr>
        <w:fldChar w:fldCharType="separate"/>
      </w:r>
      <w:r>
        <w:rPr>
          <w:rFonts w:ascii="宋体" w:hAnsi="宋体" w:eastAsia="宋体"/>
          <w:color w:val="auto"/>
          <w:sz w:val="28"/>
          <w:szCs w:val="28"/>
        </w:rPr>
        <w:t>40</w:t>
      </w:r>
      <w:r>
        <w:rPr>
          <w:rFonts w:ascii="宋体" w:hAnsi="宋体" w:eastAsia="宋体"/>
          <w:color w:val="auto"/>
          <w:sz w:val="28"/>
          <w:szCs w:val="28"/>
        </w:rPr>
        <w:fldChar w:fldCharType="end"/>
      </w:r>
    </w:p>
    <w:p>
      <w:pPr>
        <w:pStyle w:val="36"/>
        <w:tabs>
          <w:tab w:val="right" w:leader="dot" w:pos="9730"/>
        </w:tabs>
        <w:spacing w:line="560" w:lineRule="exact"/>
        <w:rPr>
          <w:rFonts w:ascii="宋体" w:hAnsi="宋体" w:eastAsia="宋体" w:cstheme="minorBidi"/>
          <w:smallCaps w:val="0"/>
          <w:color w:val="auto"/>
          <w:kern w:val="2"/>
          <w:sz w:val="28"/>
          <w:szCs w:val="28"/>
          <w:lang w:val="en-US" w:eastAsia="zh-CN" w:bidi="ar-SA"/>
        </w:rPr>
      </w:pPr>
      <w:r>
        <w:rPr>
          <w:rFonts w:ascii="宋体" w:hAnsi="宋体" w:eastAsia="宋体" w:cs="Times New Roman"/>
          <w:bCs/>
          <w:color w:val="auto"/>
          <w:kern w:val="2"/>
          <w:sz w:val="28"/>
          <w:szCs w:val="28"/>
          <w:lang w:val="en-US" w:eastAsia="zh-CN"/>
        </w:rPr>
        <w:t>3.2</w:t>
      </w:r>
      <w:r>
        <w:rPr>
          <w:rFonts w:hint="eastAsia" w:ascii="宋体" w:hAnsi="宋体" w:eastAsia="宋体" w:cs="Times New Roman"/>
          <w:bCs/>
          <w:color w:val="auto"/>
          <w:kern w:val="2"/>
          <w:sz w:val="28"/>
          <w:szCs w:val="28"/>
          <w:lang w:val="en-US" w:eastAsia="zh-CN"/>
        </w:rPr>
        <w:t>安全评价的范围</w:t>
      </w:r>
      <w:r>
        <w:rPr>
          <w:rFonts w:ascii="宋体" w:hAnsi="宋体" w:eastAsia="宋体"/>
          <w:color w:val="auto"/>
          <w:sz w:val="28"/>
          <w:szCs w:val="28"/>
        </w:rPr>
        <w:tab/>
      </w:r>
      <w:r>
        <w:rPr>
          <w:rFonts w:ascii="宋体" w:hAnsi="宋体" w:eastAsia="宋体"/>
          <w:color w:val="auto"/>
          <w:sz w:val="28"/>
          <w:szCs w:val="28"/>
        </w:rPr>
        <w:fldChar w:fldCharType="begin"/>
      </w:r>
      <w:r>
        <w:rPr>
          <w:rFonts w:ascii="宋体" w:hAnsi="宋体" w:eastAsia="宋体"/>
          <w:color w:val="auto"/>
          <w:sz w:val="28"/>
          <w:szCs w:val="28"/>
        </w:rPr>
        <w:instrText xml:space="preserve"> PAGEREF _Toc40045895 \h </w:instrText>
      </w:r>
      <w:r>
        <w:rPr>
          <w:rFonts w:ascii="宋体" w:hAnsi="宋体" w:eastAsia="宋体"/>
          <w:color w:val="auto"/>
          <w:sz w:val="28"/>
          <w:szCs w:val="28"/>
        </w:rPr>
        <w:fldChar w:fldCharType="separate"/>
      </w:r>
      <w:r>
        <w:rPr>
          <w:rFonts w:ascii="宋体" w:hAnsi="宋体" w:eastAsia="宋体"/>
          <w:color w:val="auto"/>
          <w:sz w:val="28"/>
          <w:szCs w:val="28"/>
        </w:rPr>
        <w:t>40</w:t>
      </w:r>
      <w:r>
        <w:rPr>
          <w:rFonts w:ascii="宋体" w:hAnsi="宋体" w:eastAsia="宋体"/>
          <w:color w:val="auto"/>
          <w:sz w:val="28"/>
          <w:szCs w:val="28"/>
        </w:rPr>
        <w:fldChar w:fldCharType="end"/>
      </w:r>
    </w:p>
    <w:p>
      <w:pPr>
        <w:pStyle w:val="31"/>
        <w:tabs>
          <w:tab w:val="right" w:leader="dot" w:pos="9730"/>
        </w:tabs>
        <w:spacing w:line="560" w:lineRule="exact"/>
        <w:rPr>
          <w:rFonts w:ascii="宋体" w:hAnsi="宋体" w:eastAsia="宋体" w:cstheme="minorBidi"/>
          <w:b w:val="0"/>
          <w:bCs w:val="0"/>
          <w:caps w:val="0"/>
          <w:color w:val="auto"/>
          <w:kern w:val="2"/>
          <w:sz w:val="28"/>
          <w:szCs w:val="28"/>
          <w:lang w:val="en-US" w:eastAsia="zh-CN" w:bidi="ar-SA"/>
        </w:rPr>
      </w:pPr>
      <w:r>
        <w:rPr>
          <w:rFonts w:ascii="宋体" w:hAnsi="宋体" w:eastAsia="宋体"/>
          <w:color w:val="auto"/>
          <w:sz w:val="28"/>
          <w:szCs w:val="28"/>
        </w:rPr>
        <w:t>4</w:t>
      </w:r>
      <w:r>
        <w:rPr>
          <w:rFonts w:hint="eastAsia" w:ascii="宋体" w:hAnsi="宋体" w:eastAsia="宋体"/>
          <w:color w:val="auto"/>
          <w:sz w:val="28"/>
          <w:szCs w:val="28"/>
        </w:rPr>
        <w:t>安全评价程序</w:t>
      </w:r>
      <w:r>
        <w:rPr>
          <w:rFonts w:ascii="宋体" w:hAnsi="宋体" w:eastAsia="宋体"/>
          <w:color w:val="auto"/>
          <w:sz w:val="28"/>
          <w:szCs w:val="28"/>
        </w:rPr>
        <w:tab/>
      </w:r>
      <w:r>
        <w:rPr>
          <w:rFonts w:ascii="宋体" w:hAnsi="宋体" w:eastAsia="宋体"/>
          <w:color w:val="auto"/>
          <w:sz w:val="28"/>
          <w:szCs w:val="28"/>
        </w:rPr>
        <w:fldChar w:fldCharType="begin"/>
      </w:r>
      <w:r>
        <w:rPr>
          <w:rFonts w:ascii="宋体" w:hAnsi="宋体" w:eastAsia="宋体"/>
          <w:color w:val="auto"/>
          <w:sz w:val="28"/>
          <w:szCs w:val="28"/>
        </w:rPr>
        <w:instrText xml:space="preserve"> PAGEREF _Toc40045896 \h </w:instrText>
      </w:r>
      <w:r>
        <w:rPr>
          <w:rFonts w:ascii="宋体" w:hAnsi="宋体" w:eastAsia="宋体"/>
          <w:color w:val="auto"/>
          <w:sz w:val="28"/>
          <w:szCs w:val="28"/>
        </w:rPr>
        <w:fldChar w:fldCharType="separate"/>
      </w:r>
      <w:r>
        <w:rPr>
          <w:rFonts w:ascii="宋体" w:hAnsi="宋体" w:eastAsia="宋体"/>
          <w:color w:val="auto"/>
          <w:sz w:val="28"/>
          <w:szCs w:val="28"/>
        </w:rPr>
        <w:t>41</w:t>
      </w:r>
      <w:r>
        <w:rPr>
          <w:rFonts w:ascii="宋体" w:hAnsi="宋体" w:eastAsia="宋体"/>
          <w:color w:val="auto"/>
          <w:sz w:val="28"/>
          <w:szCs w:val="28"/>
        </w:rPr>
        <w:fldChar w:fldCharType="end"/>
      </w:r>
    </w:p>
    <w:p>
      <w:pPr>
        <w:pStyle w:val="31"/>
        <w:tabs>
          <w:tab w:val="right" w:leader="dot" w:pos="9730"/>
        </w:tabs>
        <w:spacing w:line="560" w:lineRule="exact"/>
        <w:rPr>
          <w:rFonts w:ascii="宋体" w:hAnsi="宋体" w:eastAsia="宋体" w:cstheme="minorBidi"/>
          <w:b w:val="0"/>
          <w:bCs w:val="0"/>
          <w:caps w:val="0"/>
          <w:color w:val="auto"/>
          <w:kern w:val="2"/>
          <w:sz w:val="28"/>
          <w:szCs w:val="28"/>
          <w:lang w:val="en-US" w:eastAsia="zh-CN" w:bidi="ar-SA"/>
        </w:rPr>
      </w:pPr>
      <w:r>
        <w:rPr>
          <w:rFonts w:ascii="宋体" w:hAnsi="宋体" w:eastAsia="宋体"/>
          <w:color w:val="auto"/>
          <w:sz w:val="28"/>
          <w:szCs w:val="28"/>
        </w:rPr>
        <w:t>5</w:t>
      </w:r>
      <w:r>
        <w:rPr>
          <w:rFonts w:hint="eastAsia" w:ascii="宋体" w:hAnsi="宋体" w:eastAsia="宋体"/>
          <w:color w:val="auto"/>
          <w:sz w:val="28"/>
          <w:szCs w:val="28"/>
        </w:rPr>
        <w:t>评价单元的划分和评价方法的选择</w:t>
      </w:r>
      <w:r>
        <w:rPr>
          <w:rFonts w:ascii="宋体" w:hAnsi="宋体" w:eastAsia="宋体"/>
          <w:color w:val="auto"/>
          <w:sz w:val="28"/>
          <w:szCs w:val="28"/>
        </w:rPr>
        <w:tab/>
      </w:r>
      <w:r>
        <w:rPr>
          <w:rFonts w:ascii="宋体" w:hAnsi="宋体" w:eastAsia="宋体"/>
          <w:color w:val="auto"/>
          <w:sz w:val="28"/>
          <w:szCs w:val="28"/>
        </w:rPr>
        <w:fldChar w:fldCharType="begin"/>
      </w:r>
      <w:r>
        <w:rPr>
          <w:rFonts w:ascii="宋体" w:hAnsi="宋体" w:eastAsia="宋体"/>
          <w:color w:val="auto"/>
          <w:sz w:val="28"/>
          <w:szCs w:val="28"/>
        </w:rPr>
        <w:instrText xml:space="preserve"> PAGEREF _Toc40045897 \h </w:instrText>
      </w:r>
      <w:r>
        <w:rPr>
          <w:rFonts w:ascii="宋体" w:hAnsi="宋体" w:eastAsia="宋体"/>
          <w:color w:val="auto"/>
          <w:sz w:val="28"/>
          <w:szCs w:val="28"/>
        </w:rPr>
        <w:fldChar w:fldCharType="separate"/>
      </w:r>
      <w:r>
        <w:rPr>
          <w:rFonts w:ascii="宋体" w:hAnsi="宋体" w:eastAsia="宋体"/>
          <w:color w:val="auto"/>
          <w:sz w:val="28"/>
          <w:szCs w:val="28"/>
        </w:rPr>
        <w:t>42</w:t>
      </w:r>
      <w:r>
        <w:rPr>
          <w:rFonts w:ascii="宋体" w:hAnsi="宋体" w:eastAsia="宋体"/>
          <w:color w:val="auto"/>
          <w:sz w:val="28"/>
          <w:szCs w:val="28"/>
        </w:rPr>
        <w:fldChar w:fldCharType="end"/>
      </w:r>
    </w:p>
    <w:p>
      <w:pPr>
        <w:pStyle w:val="36"/>
        <w:tabs>
          <w:tab w:val="right" w:leader="dot" w:pos="9730"/>
        </w:tabs>
        <w:spacing w:line="560" w:lineRule="exact"/>
        <w:rPr>
          <w:rFonts w:ascii="宋体" w:hAnsi="宋体" w:eastAsia="宋体" w:cstheme="minorBidi"/>
          <w:smallCaps w:val="0"/>
          <w:color w:val="auto"/>
          <w:kern w:val="2"/>
          <w:sz w:val="28"/>
          <w:szCs w:val="28"/>
          <w:lang w:val="en-US" w:eastAsia="zh-CN" w:bidi="ar-SA"/>
        </w:rPr>
      </w:pPr>
      <w:r>
        <w:rPr>
          <w:rFonts w:ascii="宋体" w:hAnsi="宋体" w:eastAsia="宋体" w:cs="Times New Roman"/>
          <w:bCs/>
          <w:color w:val="auto"/>
          <w:kern w:val="2"/>
          <w:sz w:val="28"/>
          <w:szCs w:val="28"/>
          <w:lang w:val="en-US" w:eastAsia="zh-CN"/>
        </w:rPr>
        <w:t>5.1</w:t>
      </w:r>
      <w:r>
        <w:rPr>
          <w:rFonts w:hint="eastAsia" w:ascii="宋体" w:hAnsi="宋体" w:eastAsia="宋体" w:cs="Times New Roman"/>
          <w:bCs/>
          <w:color w:val="auto"/>
          <w:kern w:val="2"/>
          <w:sz w:val="28"/>
          <w:szCs w:val="28"/>
          <w:lang w:val="en-US" w:eastAsia="zh-CN"/>
        </w:rPr>
        <w:t>评价单元的划分</w:t>
      </w:r>
      <w:r>
        <w:rPr>
          <w:rFonts w:ascii="宋体" w:hAnsi="宋体" w:eastAsia="宋体"/>
          <w:color w:val="auto"/>
          <w:sz w:val="28"/>
          <w:szCs w:val="28"/>
        </w:rPr>
        <w:tab/>
      </w:r>
      <w:r>
        <w:rPr>
          <w:rFonts w:ascii="宋体" w:hAnsi="宋体" w:eastAsia="宋体"/>
          <w:color w:val="auto"/>
          <w:sz w:val="28"/>
          <w:szCs w:val="28"/>
        </w:rPr>
        <w:fldChar w:fldCharType="begin"/>
      </w:r>
      <w:r>
        <w:rPr>
          <w:rFonts w:ascii="宋体" w:hAnsi="宋体" w:eastAsia="宋体"/>
          <w:color w:val="auto"/>
          <w:sz w:val="28"/>
          <w:szCs w:val="28"/>
        </w:rPr>
        <w:instrText xml:space="preserve"> PAGEREF _Toc40045898 \h </w:instrText>
      </w:r>
      <w:r>
        <w:rPr>
          <w:rFonts w:ascii="宋体" w:hAnsi="宋体" w:eastAsia="宋体"/>
          <w:color w:val="auto"/>
          <w:sz w:val="28"/>
          <w:szCs w:val="28"/>
        </w:rPr>
        <w:fldChar w:fldCharType="separate"/>
      </w:r>
      <w:r>
        <w:rPr>
          <w:rFonts w:ascii="宋体" w:hAnsi="宋体" w:eastAsia="宋体"/>
          <w:color w:val="auto"/>
          <w:sz w:val="28"/>
          <w:szCs w:val="28"/>
        </w:rPr>
        <w:t>42</w:t>
      </w:r>
      <w:r>
        <w:rPr>
          <w:rFonts w:ascii="宋体" w:hAnsi="宋体" w:eastAsia="宋体"/>
          <w:color w:val="auto"/>
          <w:sz w:val="28"/>
          <w:szCs w:val="28"/>
        </w:rPr>
        <w:fldChar w:fldCharType="end"/>
      </w:r>
    </w:p>
    <w:p>
      <w:pPr>
        <w:pStyle w:val="36"/>
        <w:tabs>
          <w:tab w:val="right" w:leader="dot" w:pos="9730"/>
        </w:tabs>
        <w:spacing w:line="560" w:lineRule="exact"/>
        <w:rPr>
          <w:rFonts w:ascii="宋体" w:hAnsi="宋体" w:eastAsia="宋体" w:cstheme="minorBidi"/>
          <w:smallCaps w:val="0"/>
          <w:color w:val="auto"/>
          <w:kern w:val="2"/>
          <w:sz w:val="28"/>
          <w:szCs w:val="28"/>
          <w:lang w:val="en-US" w:eastAsia="zh-CN" w:bidi="ar-SA"/>
        </w:rPr>
      </w:pPr>
      <w:r>
        <w:rPr>
          <w:rFonts w:ascii="宋体" w:hAnsi="宋体" w:eastAsia="宋体" w:cs="Times New Roman"/>
          <w:bCs/>
          <w:color w:val="auto"/>
          <w:kern w:val="2"/>
          <w:sz w:val="28"/>
          <w:szCs w:val="28"/>
          <w:lang w:val="en-US" w:eastAsia="zh-CN"/>
        </w:rPr>
        <w:t>5.2</w:t>
      </w:r>
      <w:r>
        <w:rPr>
          <w:rFonts w:hint="eastAsia" w:ascii="宋体" w:hAnsi="宋体" w:eastAsia="宋体" w:cs="Times New Roman"/>
          <w:bCs/>
          <w:color w:val="auto"/>
          <w:kern w:val="2"/>
          <w:sz w:val="28"/>
          <w:szCs w:val="28"/>
          <w:lang w:val="en-US" w:eastAsia="zh-CN"/>
        </w:rPr>
        <w:t>评价方法的选择及确定</w:t>
      </w:r>
      <w:r>
        <w:rPr>
          <w:rFonts w:ascii="宋体" w:hAnsi="宋体" w:eastAsia="宋体"/>
          <w:color w:val="auto"/>
          <w:sz w:val="28"/>
          <w:szCs w:val="28"/>
        </w:rPr>
        <w:tab/>
      </w:r>
      <w:r>
        <w:rPr>
          <w:rFonts w:ascii="宋体" w:hAnsi="宋体" w:eastAsia="宋体"/>
          <w:color w:val="auto"/>
          <w:sz w:val="28"/>
          <w:szCs w:val="28"/>
        </w:rPr>
        <w:fldChar w:fldCharType="begin"/>
      </w:r>
      <w:r>
        <w:rPr>
          <w:rFonts w:ascii="宋体" w:hAnsi="宋体" w:eastAsia="宋体"/>
          <w:color w:val="auto"/>
          <w:sz w:val="28"/>
          <w:szCs w:val="28"/>
        </w:rPr>
        <w:instrText xml:space="preserve"> PAGEREF _Toc40045899 \h </w:instrText>
      </w:r>
      <w:r>
        <w:rPr>
          <w:rFonts w:ascii="宋体" w:hAnsi="宋体" w:eastAsia="宋体"/>
          <w:color w:val="auto"/>
          <w:sz w:val="28"/>
          <w:szCs w:val="28"/>
        </w:rPr>
        <w:fldChar w:fldCharType="separate"/>
      </w:r>
      <w:r>
        <w:rPr>
          <w:rFonts w:ascii="宋体" w:hAnsi="宋体" w:eastAsia="宋体"/>
          <w:color w:val="auto"/>
          <w:sz w:val="28"/>
          <w:szCs w:val="28"/>
        </w:rPr>
        <w:t>42</w:t>
      </w:r>
      <w:r>
        <w:rPr>
          <w:rFonts w:ascii="宋体" w:hAnsi="宋体" w:eastAsia="宋体"/>
          <w:color w:val="auto"/>
          <w:sz w:val="28"/>
          <w:szCs w:val="28"/>
        </w:rPr>
        <w:fldChar w:fldCharType="end"/>
      </w:r>
    </w:p>
    <w:p>
      <w:pPr>
        <w:pStyle w:val="31"/>
        <w:tabs>
          <w:tab w:val="right" w:leader="dot" w:pos="9730"/>
        </w:tabs>
        <w:spacing w:line="560" w:lineRule="exact"/>
        <w:rPr>
          <w:rFonts w:ascii="宋体" w:hAnsi="宋体" w:eastAsia="宋体" w:cstheme="minorBidi"/>
          <w:b w:val="0"/>
          <w:bCs w:val="0"/>
          <w:caps w:val="0"/>
          <w:color w:val="auto"/>
          <w:kern w:val="2"/>
          <w:sz w:val="28"/>
          <w:szCs w:val="28"/>
          <w:lang w:val="en-US" w:eastAsia="zh-CN" w:bidi="ar-SA"/>
        </w:rPr>
      </w:pPr>
      <w:r>
        <w:rPr>
          <w:rFonts w:ascii="宋体" w:hAnsi="宋体" w:eastAsia="宋体"/>
          <w:color w:val="auto"/>
          <w:sz w:val="28"/>
          <w:szCs w:val="28"/>
        </w:rPr>
        <w:t>6</w:t>
      </w:r>
      <w:r>
        <w:rPr>
          <w:rFonts w:hint="eastAsia" w:ascii="宋体" w:hAnsi="宋体" w:eastAsia="宋体"/>
          <w:color w:val="auto"/>
          <w:sz w:val="28"/>
          <w:szCs w:val="28"/>
        </w:rPr>
        <w:t>危险、有害因素分析结果</w:t>
      </w:r>
      <w:r>
        <w:rPr>
          <w:rFonts w:ascii="宋体" w:hAnsi="宋体" w:eastAsia="宋体"/>
          <w:color w:val="auto"/>
          <w:sz w:val="28"/>
          <w:szCs w:val="28"/>
        </w:rPr>
        <w:tab/>
      </w:r>
      <w:r>
        <w:rPr>
          <w:rFonts w:ascii="宋体" w:hAnsi="宋体" w:eastAsia="宋体"/>
          <w:color w:val="auto"/>
          <w:sz w:val="28"/>
          <w:szCs w:val="28"/>
        </w:rPr>
        <w:fldChar w:fldCharType="begin"/>
      </w:r>
      <w:r>
        <w:rPr>
          <w:rFonts w:ascii="宋体" w:hAnsi="宋体" w:eastAsia="宋体"/>
          <w:color w:val="auto"/>
          <w:sz w:val="28"/>
          <w:szCs w:val="28"/>
        </w:rPr>
        <w:instrText xml:space="preserve"> PAGEREF _Toc40045900 \h </w:instrText>
      </w:r>
      <w:r>
        <w:rPr>
          <w:rFonts w:ascii="宋体" w:hAnsi="宋体" w:eastAsia="宋体"/>
          <w:color w:val="auto"/>
          <w:sz w:val="28"/>
          <w:szCs w:val="28"/>
        </w:rPr>
        <w:fldChar w:fldCharType="separate"/>
      </w:r>
      <w:r>
        <w:rPr>
          <w:rFonts w:ascii="宋体" w:hAnsi="宋体" w:eastAsia="宋体"/>
          <w:color w:val="auto"/>
          <w:sz w:val="28"/>
          <w:szCs w:val="28"/>
        </w:rPr>
        <w:t>44</w:t>
      </w:r>
      <w:r>
        <w:rPr>
          <w:rFonts w:ascii="宋体" w:hAnsi="宋体" w:eastAsia="宋体"/>
          <w:color w:val="auto"/>
          <w:sz w:val="28"/>
          <w:szCs w:val="28"/>
        </w:rPr>
        <w:fldChar w:fldCharType="end"/>
      </w:r>
    </w:p>
    <w:p>
      <w:pPr>
        <w:pStyle w:val="36"/>
        <w:tabs>
          <w:tab w:val="right" w:leader="dot" w:pos="9730"/>
        </w:tabs>
        <w:spacing w:line="560" w:lineRule="exact"/>
        <w:rPr>
          <w:rFonts w:ascii="宋体" w:hAnsi="宋体" w:eastAsia="宋体" w:cstheme="minorBidi"/>
          <w:smallCaps w:val="0"/>
          <w:color w:val="auto"/>
          <w:kern w:val="2"/>
          <w:sz w:val="28"/>
          <w:szCs w:val="28"/>
          <w:lang w:val="en-US" w:eastAsia="zh-CN" w:bidi="ar-SA"/>
        </w:rPr>
      </w:pPr>
      <w:r>
        <w:rPr>
          <w:rFonts w:ascii="宋体" w:hAnsi="宋体" w:eastAsia="宋体" w:cs="Times New Roman"/>
          <w:bCs/>
          <w:color w:val="auto"/>
          <w:kern w:val="2"/>
          <w:sz w:val="28"/>
          <w:szCs w:val="28"/>
          <w:lang w:val="en-US" w:eastAsia="zh-CN"/>
        </w:rPr>
        <w:t>6.1</w:t>
      </w:r>
      <w:r>
        <w:rPr>
          <w:rFonts w:hint="eastAsia" w:ascii="宋体" w:hAnsi="宋体" w:eastAsia="宋体" w:cs="Times New Roman"/>
          <w:bCs/>
          <w:color w:val="auto"/>
          <w:kern w:val="2"/>
          <w:sz w:val="28"/>
          <w:szCs w:val="28"/>
          <w:lang w:val="en-US" w:eastAsia="zh-CN"/>
        </w:rPr>
        <w:t>危险化学品危险特性分析结果</w:t>
      </w:r>
      <w:r>
        <w:rPr>
          <w:rFonts w:ascii="宋体" w:hAnsi="宋体" w:eastAsia="宋体"/>
          <w:color w:val="auto"/>
          <w:sz w:val="28"/>
          <w:szCs w:val="28"/>
        </w:rPr>
        <w:tab/>
      </w:r>
      <w:r>
        <w:rPr>
          <w:rFonts w:ascii="宋体" w:hAnsi="宋体" w:eastAsia="宋体"/>
          <w:color w:val="auto"/>
          <w:sz w:val="28"/>
          <w:szCs w:val="28"/>
        </w:rPr>
        <w:fldChar w:fldCharType="begin"/>
      </w:r>
      <w:r>
        <w:rPr>
          <w:rFonts w:ascii="宋体" w:hAnsi="宋体" w:eastAsia="宋体"/>
          <w:color w:val="auto"/>
          <w:sz w:val="28"/>
          <w:szCs w:val="28"/>
        </w:rPr>
        <w:instrText xml:space="preserve"> PAGEREF _Toc40045901 \h </w:instrText>
      </w:r>
      <w:r>
        <w:rPr>
          <w:rFonts w:ascii="宋体" w:hAnsi="宋体" w:eastAsia="宋体"/>
          <w:color w:val="auto"/>
          <w:sz w:val="28"/>
          <w:szCs w:val="28"/>
        </w:rPr>
        <w:fldChar w:fldCharType="separate"/>
      </w:r>
      <w:r>
        <w:rPr>
          <w:rFonts w:ascii="宋体" w:hAnsi="宋体" w:eastAsia="宋体"/>
          <w:color w:val="auto"/>
          <w:sz w:val="28"/>
          <w:szCs w:val="28"/>
        </w:rPr>
        <w:t>44</w:t>
      </w:r>
      <w:r>
        <w:rPr>
          <w:rFonts w:ascii="宋体" w:hAnsi="宋体" w:eastAsia="宋体"/>
          <w:color w:val="auto"/>
          <w:sz w:val="28"/>
          <w:szCs w:val="28"/>
        </w:rPr>
        <w:fldChar w:fldCharType="end"/>
      </w:r>
    </w:p>
    <w:p>
      <w:pPr>
        <w:pStyle w:val="36"/>
        <w:tabs>
          <w:tab w:val="right" w:leader="dot" w:pos="9730"/>
        </w:tabs>
        <w:spacing w:line="560" w:lineRule="exact"/>
        <w:rPr>
          <w:rFonts w:ascii="宋体" w:hAnsi="宋体" w:eastAsia="宋体" w:cstheme="minorBidi"/>
          <w:smallCaps w:val="0"/>
          <w:color w:val="auto"/>
          <w:kern w:val="2"/>
          <w:sz w:val="28"/>
          <w:szCs w:val="28"/>
          <w:lang w:val="en-US" w:eastAsia="zh-CN" w:bidi="ar-SA"/>
        </w:rPr>
      </w:pPr>
      <w:r>
        <w:rPr>
          <w:rFonts w:ascii="宋体" w:hAnsi="宋体" w:eastAsia="宋体" w:cs="Times New Roman"/>
          <w:bCs/>
          <w:color w:val="auto"/>
          <w:kern w:val="2"/>
          <w:sz w:val="28"/>
          <w:szCs w:val="28"/>
          <w:lang w:val="en-US" w:eastAsia="zh-CN"/>
        </w:rPr>
        <w:t>6.2</w:t>
      </w:r>
      <w:r>
        <w:rPr>
          <w:rFonts w:hint="eastAsia" w:ascii="宋体" w:hAnsi="宋体" w:eastAsia="宋体" w:cs="Times New Roman"/>
          <w:bCs/>
          <w:color w:val="auto"/>
          <w:kern w:val="2"/>
          <w:sz w:val="28"/>
          <w:szCs w:val="28"/>
          <w:lang w:val="en-US" w:eastAsia="zh-CN"/>
        </w:rPr>
        <w:t>生产、储存过程危险的辨识结果</w:t>
      </w:r>
      <w:r>
        <w:rPr>
          <w:rFonts w:ascii="宋体" w:hAnsi="宋体" w:eastAsia="宋体"/>
          <w:color w:val="auto"/>
          <w:sz w:val="28"/>
          <w:szCs w:val="28"/>
        </w:rPr>
        <w:tab/>
      </w:r>
      <w:r>
        <w:rPr>
          <w:rFonts w:ascii="宋体" w:hAnsi="宋体" w:eastAsia="宋体"/>
          <w:color w:val="auto"/>
          <w:sz w:val="28"/>
          <w:szCs w:val="28"/>
        </w:rPr>
        <w:fldChar w:fldCharType="begin"/>
      </w:r>
      <w:r>
        <w:rPr>
          <w:rFonts w:ascii="宋体" w:hAnsi="宋体" w:eastAsia="宋体"/>
          <w:color w:val="auto"/>
          <w:sz w:val="28"/>
          <w:szCs w:val="28"/>
        </w:rPr>
        <w:instrText xml:space="preserve"> PAGEREF _Toc40045902 \h </w:instrText>
      </w:r>
      <w:r>
        <w:rPr>
          <w:rFonts w:ascii="宋体" w:hAnsi="宋体" w:eastAsia="宋体"/>
          <w:color w:val="auto"/>
          <w:sz w:val="28"/>
          <w:szCs w:val="28"/>
        </w:rPr>
        <w:fldChar w:fldCharType="separate"/>
      </w:r>
      <w:r>
        <w:rPr>
          <w:rFonts w:ascii="宋体" w:hAnsi="宋体" w:eastAsia="宋体"/>
          <w:color w:val="auto"/>
          <w:sz w:val="28"/>
          <w:szCs w:val="28"/>
        </w:rPr>
        <w:t>44</w:t>
      </w:r>
      <w:r>
        <w:rPr>
          <w:rFonts w:ascii="宋体" w:hAnsi="宋体" w:eastAsia="宋体"/>
          <w:color w:val="auto"/>
          <w:sz w:val="28"/>
          <w:szCs w:val="28"/>
        </w:rPr>
        <w:fldChar w:fldCharType="end"/>
      </w:r>
    </w:p>
    <w:p>
      <w:pPr>
        <w:pStyle w:val="36"/>
        <w:tabs>
          <w:tab w:val="right" w:leader="dot" w:pos="9730"/>
        </w:tabs>
        <w:spacing w:line="560" w:lineRule="exact"/>
        <w:rPr>
          <w:rFonts w:ascii="宋体" w:hAnsi="宋体" w:eastAsia="宋体" w:cstheme="minorBidi"/>
          <w:smallCaps w:val="0"/>
          <w:color w:val="auto"/>
          <w:kern w:val="2"/>
          <w:sz w:val="28"/>
          <w:szCs w:val="28"/>
          <w:lang w:val="en-US" w:eastAsia="zh-CN" w:bidi="ar-SA"/>
        </w:rPr>
      </w:pPr>
      <w:r>
        <w:rPr>
          <w:rFonts w:ascii="宋体" w:hAnsi="宋体" w:eastAsia="宋体" w:cs="Times New Roman"/>
          <w:bCs/>
          <w:color w:val="auto"/>
          <w:kern w:val="2"/>
          <w:sz w:val="28"/>
          <w:szCs w:val="28"/>
          <w:lang w:val="en-US" w:eastAsia="zh-CN"/>
        </w:rPr>
        <w:t>6.3</w:t>
      </w:r>
      <w:r>
        <w:rPr>
          <w:rFonts w:hint="eastAsia" w:ascii="宋体" w:hAnsi="宋体" w:eastAsia="宋体" w:cs="Times New Roman"/>
          <w:bCs/>
          <w:color w:val="auto"/>
          <w:kern w:val="2"/>
          <w:sz w:val="28"/>
          <w:szCs w:val="28"/>
          <w:lang w:val="en-US" w:eastAsia="zh-CN"/>
        </w:rPr>
        <w:t>家明令淘汰的产品和危险工艺辨识结果</w:t>
      </w:r>
      <w:r>
        <w:rPr>
          <w:rFonts w:ascii="宋体" w:hAnsi="宋体" w:eastAsia="宋体"/>
          <w:color w:val="auto"/>
          <w:sz w:val="28"/>
          <w:szCs w:val="28"/>
        </w:rPr>
        <w:tab/>
      </w:r>
      <w:r>
        <w:rPr>
          <w:rFonts w:ascii="宋体" w:hAnsi="宋体" w:eastAsia="宋体"/>
          <w:color w:val="auto"/>
          <w:sz w:val="28"/>
          <w:szCs w:val="28"/>
        </w:rPr>
        <w:fldChar w:fldCharType="begin"/>
      </w:r>
      <w:r>
        <w:rPr>
          <w:rFonts w:ascii="宋体" w:hAnsi="宋体" w:eastAsia="宋体"/>
          <w:color w:val="auto"/>
          <w:sz w:val="28"/>
          <w:szCs w:val="28"/>
        </w:rPr>
        <w:instrText xml:space="preserve"> PAGEREF _Toc40045903 \h </w:instrText>
      </w:r>
      <w:r>
        <w:rPr>
          <w:rFonts w:ascii="宋体" w:hAnsi="宋体" w:eastAsia="宋体"/>
          <w:color w:val="auto"/>
          <w:sz w:val="28"/>
          <w:szCs w:val="28"/>
        </w:rPr>
        <w:fldChar w:fldCharType="separate"/>
      </w:r>
      <w:r>
        <w:rPr>
          <w:rFonts w:ascii="宋体" w:hAnsi="宋体" w:eastAsia="宋体"/>
          <w:color w:val="auto"/>
          <w:sz w:val="28"/>
          <w:szCs w:val="28"/>
        </w:rPr>
        <w:t>45</w:t>
      </w:r>
      <w:r>
        <w:rPr>
          <w:rFonts w:ascii="宋体" w:hAnsi="宋体" w:eastAsia="宋体"/>
          <w:color w:val="auto"/>
          <w:sz w:val="28"/>
          <w:szCs w:val="28"/>
        </w:rPr>
        <w:fldChar w:fldCharType="end"/>
      </w:r>
    </w:p>
    <w:p>
      <w:pPr>
        <w:pStyle w:val="36"/>
        <w:tabs>
          <w:tab w:val="right" w:leader="dot" w:pos="9730"/>
        </w:tabs>
        <w:spacing w:line="560" w:lineRule="exact"/>
        <w:rPr>
          <w:rFonts w:ascii="宋体" w:hAnsi="宋体" w:eastAsia="宋体" w:cstheme="minorBidi"/>
          <w:smallCaps w:val="0"/>
          <w:color w:val="auto"/>
          <w:kern w:val="2"/>
          <w:sz w:val="28"/>
          <w:szCs w:val="28"/>
          <w:lang w:val="en-US" w:eastAsia="zh-CN" w:bidi="ar-SA"/>
        </w:rPr>
      </w:pPr>
      <w:r>
        <w:rPr>
          <w:rFonts w:ascii="宋体" w:hAnsi="宋体" w:eastAsia="宋体" w:cs="Times New Roman"/>
          <w:bCs/>
          <w:color w:val="auto"/>
          <w:kern w:val="2"/>
          <w:sz w:val="28"/>
          <w:szCs w:val="28"/>
          <w:lang w:val="en-US" w:eastAsia="zh-CN"/>
        </w:rPr>
        <w:t>6.4</w:t>
      </w:r>
      <w:r>
        <w:rPr>
          <w:rFonts w:hint="eastAsia" w:ascii="宋体" w:hAnsi="宋体" w:eastAsia="宋体" w:cs="Times New Roman"/>
          <w:bCs/>
          <w:color w:val="auto"/>
          <w:kern w:val="2"/>
          <w:sz w:val="28"/>
          <w:szCs w:val="28"/>
          <w:lang w:val="en-US" w:eastAsia="zh-CN"/>
        </w:rPr>
        <w:t>国家监控的化学品辨识结果</w:t>
      </w:r>
      <w:r>
        <w:rPr>
          <w:rFonts w:ascii="宋体" w:hAnsi="宋体" w:eastAsia="宋体"/>
          <w:color w:val="auto"/>
          <w:sz w:val="28"/>
          <w:szCs w:val="28"/>
        </w:rPr>
        <w:tab/>
      </w:r>
      <w:r>
        <w:rPr>
          <w:rFonts w:ascii="宋体" w:hAnsi="宋体" w:eastAsia="宋体"/>
          <w:color w:val="auto"/>
          <w:sz w:val="28"/>
          <w:szCs w:val="28"/>
        </w:rPr>
        <w:fldChar w:fldCharType="begin"/>
      </w:r>
      <w:r>
        <w:rPr>
          <w:rFonts w:ascii="宋体" w:hAnsi="宋体" w:eastAsia="宋体"/>
          <w:color w:val="auto"/>
          <w:sz w:val="28"/>
          <w:szCs w:val="28"/>
        </w:rPr>
        <w:instrText xml:space="preserve"> PAGEREF _Toc40045904 \h </w:instrText>
      </w:r>
      <w:r>
        <w:rPr>
          <w:rFonts w:ascii="宋体" w:hAnsi="宋体" w:eastAsia="宋体"/>
          <w:color w:val="auto"/>
          <w:sz w:val="28"/>
          <w:szCs w:val="28"/>
        </w:rPr>
        <w:fldChar w:fldCharType="separate"/>
      </w:r>
      <w:r>
        <w:rPr>
          <w:rFonts w:ascii="宋体" w:hAnsi="宋体" w:eastAsia="宋体"/>
          <w:color w:val="auto"/>
          <w:sz w:val="28"/>
          <w:szCs w:val="28"/>
        </w:rPr>
        <w:t>45</w:t>
      </w:r>
      <w:r>
        <w:rPr>
          <w:rFonts w:ascii="宋体" w:hAnsi="宋体" w:eastAsia="宋体"/>
          <w:color w:val="auto"/>
          <w:sz w:val="28"/>
          <w:szCs w:val="28"/>
        </w:rPr>
        <w:fldChar w:fldCharType="end"/>
      </w:r>
    </w:p>
    <w:p>
      <w:pPr>
        <w:pStyle w:val="36"/>
        <w:tabs>
          <w:tab w:val="right" w:leader="dot" w:pos="9730"/>
        </w:tabs>
        <w:spacing w:line="560" w:lineRule="exact"/>
        <w:rPr>
          <w:rFonts w:ascii="宋体" w:hAnsi="宋体" w:eastAsia="宋体" w:cstheme="minorBidi"/>
          <w:smallCaps w:val="0"/>
          <w:color w:val="auto"/>
          <w:kern w:val="2"/>
          <w:sz w:val="28"/>
          <w:szCs w:val="28"/>
          <w:lang w:val="en-US" w:eastAsia="zh-CN" w:bidi="ar-SA"/>
        </w:rPr>
      </w:pPr>
      <w:r>
        <w:rPr>
          <w:rFonts w:ascii="宋体" w:hAnsi="宋体" w:eastAsia="宋体" w:cs="Times New Roman"/>
          <w:bCs/>
          <w:color w:val="auto"/>
          <w:kern w:val="2"/>
          <w:sz w:val="28"/>
          <w:szCs w:val="28"/>
          <w:lang w:val="en-US" w:eastAsia="zh-CN"/>
        </w:rPr>
        <w:t>6.5</w:t>
      </w:r>
      <w:r>
        <w:rPr>
          <w:rFonts w:hint="eastAsia" w:ascii="宋体" w:hAnsi="宋体" w:eastAsia="宋体" w:cs="Times New Roman"/>
          <w:bCs/>
          <w:color w:val="auto"/>
          <w:kern w:val="2"/>
          <w:sz w:val="28"/>
          <w:szCs w:val="28"/>
          <w:lang w:val="en-US" w:eastAsia="zh-CN"/>
        </w:rPr>
        <w:t>重点监管的化学品辨识结果</w:t>
      </w:r>
      <w:r>
        <w:rPr>
          <w:rFonts w:ascii="宋体" w:hAnsi="宋体" w:eastAsia="宋体"/>
          <w:color w:val="auto"/>
          <w:sz w:val="28"/>
          <w:szCs w:val="28"/>
        </w:rPr>
        <w:tab/>
      </w:r>
      <w:r>
        <w:rPr>
          <w:rFonts w:ascii="宋体" w:hAnsi="宋体" w:eastAsia="宋体"/>
          <w:color w:val="auto"/>
          <w:sz w:val="28"/>
          <w:szCs w:val="28"/>
        </w:rPr>
        <w:fldChar w:fldCharType="begin"/>
      </w:r>
      <w:r>
        <w:rPr>
          <w:rFonts w:ascii="宋体" w:hAnsi="宋体" w:eastAsia="宋体"/>
          <w:color w:val="auto"/>
          <w:sz w:val="28"/>
          <w:szCs w:val="28"/>
        </w:rPr>
        <w:instrText xml:space="preserve"> PAGEREF _Toc40045905 \h </w:instrText>
      </w:r>
      <w:r>
        <w:rPr>
          <w:rFonts w:ascii="宋体" w:hAnsi="宋体" w:eastAsia="宋体"/>
          <w:color w:val="auto"/>
          <w:sz w:val="28"/>
          <w:szCs w:val="28"/>
        </w:rPr>
        <w:fldChar w:fldCharType="separate"/>
      </w:r>
      <w:r>
        <w:rPr>
          <w:rFonts w:ascii="宋体" w:hAnsi="宋体" w:eastAsia="宋体"/>
          <w:color w:val="auto"/>
          <w:sz w:val="28"/>
          <w:szCs w:val="28"/>
        </w:rPr>
        <w:t>45</w:t>
      </w:r>
      <w:r>
        <w:rPr>
          <w:rFonts w:ascii="宋体" w:hAnsi="宋体" w:eastAsia="宋体"/>
          <w:color w:val="auto"/>
          <w:sz w:val="28"/>
          <w:szCs w:val="28"/>
        </w:rPr>
        <w:fldChar w:fldCharType="end"/>
      </w:r>
    </w:p>
    <w:p>
      <w:pPr>
        <w:pStyle w:val="36"/>
        <w:tabs>
          <w:tab w:val="right" w:leader="dot" w:pos="9730"/>
        </w:tabs>
        <w:spacing w:line="560" w:lineRule="exact"/>
        <w:rPr>
          <w:rFonts w:ascii="宋体" w:hAnsi="宋体" w:eastAsia="宋体" w:cstheme="minorBidi"/>
          <w:smallCaps w:val="0"/>
          <w:color w:val="auto"/>
          <w:kern w:val="2"/>
          <w:sz w:val="28"/>
          <w:szCs w:val="28"/>
          <w:lang w:val="en-US" w:eastAsia="zh-CN" w:bidi="ar-SA"/>
        </w:rPr>
      </w:pPr>
      <w:r>
        <w:rPr>
          <w:rFonts w:ascii="宋体" w:hAnsi="宋体" w:eastAsia="宋体" w:cs="Times New Roman"/>
          <w:bCs/>
          <w:color w:val="auto"/>
          <w:kern w:val="2"/>
          <w:sz w:val="28"/>
          <w:szCs w:val="28"/>
          <w:lang w:val="en-US" w:eastAsia="zh-CN"/>
        </w:rPr>
        <w:t>6.6</w:t>
      </w:r>
      <w:r>
        <w:rPr>
          <w:rFonts w:hint="eastAsia" w:ascii="宋体" w:hAnsi="宋体" w:eastAsia="宋体" w:cs="Times New Roman"/>
          <w:bCs/>
          <w:color w:val="auto"/>
          <w:kern w:val="2"/>
          <w:sz w:val="28"/>
          <w:szCs w:val="28"/>
          <w:lang w:val="en-US" w:eastAsia="zh-CN"/>
        </w:rPr>
        <w:t>易制毒化学品辨识结果</w:t>
      </w:r>
      <w:r>
        <w:rPr>
          <w:rFonts w:ascii="宋体" w:hAnsi="宋体" w:eastAsia="宋体"/>
          <w:color w:val="auto"/>
          <w:sz w:val="28"/>
          <w:szCs w:val="28"/>
        </w:rPr>
        <w:tab/>
      </w:r>
      <w:r>
        <w:rPr>
          <w:rFonts w:ascii="宋体" w:hAnsi="宋体" w:eastAsia="宋体"/>
          <w:color w:val="auto"/>
          <w:sz w:val="28"/>
          <w:szCs w:val="28"/>
        </w:rPr>
        <w:fldChar w:fldCharType="begin"/>
      </w:r>
      <w:r>
        <w:rPr>
          <w:rFonts w:ascii="宋体" w:hAnsi="宋体" w:eastAsia="宋体"/>
          <w:color w:val="auto"/>
          <w:sz w:val="28"/>
          <w:szCs w:val="28"/>
        </w:rPr>
        <w:instrText xml:space="preserve"> PAGEREF _Toc40045906 \h </w:instrText>
      </w:r>
      <w:r>
        <w:rPr>
          <w:rFonts w:ascii="宋体" w:hAnsi="宋体" w:eastAsia="宋体"/>
          <w:color w:val="auto"/>
          <w:sz w:val="28"/>
          <w:szCs w:val="28"/>
        </w:rPr>
        <w:fldChar w:fldCharType="separate"/>
      </w:r>
      <w:r>
        <w:rPr>
          <w:rFonts w:ascii="宋体" w:hAnsi="宋体" w:eastAsia="宋体"/>
          <w:color w:val="auto"/>
          <w:sz w:val="28"/>
          <w:szCs w:val="28"/>
        </w:rPr>
        <w:t>46</w:t>
      </w:r>
      <w:r>
        <w:rPr>
          <w:rFonts w:ascii="宋体" w:hAnsi="宋体" w:eastAsia="宋体"/>
          <w:color w:val="auto"/>
          <w:sz w:val="28"/>
          <w:szCs w:val="28"/>
        </w:rPr>
        <w:fldChar w:fldCharType="end"/>
      </w:r>
    </w:p>
    <w:p>
      <w:pPr>
        <w:pStyle w:val="36"/>
        <w:tabs>
          <w:tab w:val="right" w:leader="dot" w:pos="9730"/>
        </w:tabs>
        <w:spacing w:line="560" w:lineRule="exact"/>
        <w:rPr>
          <w:rFonts w:ascii="宋体" w:hAnsi="宋体" w:eastAsia="宋体" w:cstheme="minorBidi"/>
          <w:smallCaps w:val="0"/>
          <w:color w:val="auto"/>
          <w:kern w:val="2"/>
          <w:sz w:val="28"/>
          <w:szCs w:val="28"/>
          <w:lang w:val="en-US" w:eastAsia="zh-CN" w:bidi="ar-SA"/>
        </w:rPr>
      </w:pPr>
      <w:r>
        <w:rPr>
          <w:rFonts w:ascii="宋体" w:hAnsi="宋体" w:eastAsia="宋体" w:cs="Times New Roman"/>
          <w:bCs/>
          <w:color w:val="auto"/>
          <w:kern w:val="2"/>
          <w:sz w:val="28"/>
          <w:szCs w:val="28"/>
          <w:lang w:val="en-US" w:eastAsia="zh-CN"/>
        </w:rPr>
        <w:t>6.7</w:t>
      </w:r>
      <w:r>
        <w:rPr>
          <w:rFonts w:hint="eastAsia" w:ascii="宋体" w:hAnsi="宋体" w:eastAsia="宋体" w:cs="Times New Roman"/>
          <w:bCs/>
          <w:color w:val="auto"/>
          <w:kern w:val="2"/>
          <w:sz w:val="28"/>
          <w:szCs w:val="28"/>
          <w:lang w:val="en-US" w:eastAsia="zh-CN"/>
        </w:rPr>
        <w:t>易制爆化学品辨识结果</w:t>
      </w:r>
      <w:r>
        <w:rPr>
          <w:rFonts w:ascii="宋体" w:hAnsi="宋体" w:eastAsia="宋体"/>
          <w:color w:val="auto"/>
          <w:sz w:val="28"/>
          <w:szCs w:val="28"/>
        </w:rPr>
        <w:tab/>
      </w:r>
      <w:r>
        <w:rPr>
          <w:rFonts w:ascii="宋体" w:hAnsi="宋体" w:eastAsia="宋体"/>
          <w:color w:val="auto"/>
          <w:sz w:val="28"/>
          <w:szCs w:val="28"/>
        </w:rPr>
        <w:fldChar w:fldCharType="begin"/>
      </w:r>
      <w:r>
        <w:rPr>
          <w:rFonts w:ascii="宋体" w:hAnsi="宋体" w:eastAsia="宋体"/>
          <w:color w:val="auto"/>
          <w:sz w:val="28"/>
          <w:szCs w:val="28"/>
        </w:rPr>
        <w:instrText xml:space="preserve"> PAGEREF _Toc40045907 \h </w:instrText>
      </w:r>
      <w:r>
        <w:rPr>
          <w:rFonts w:ascii="宋体" w:hAnsi="宋体" w:eastAsia="宋体"/>
          <w:color w:val="auto"/>
          <w:sz w:val="28"/>
          <w:szCs w:val="28"/>
        </w:rPr>
        <w:fldChar w:fldCharType="separate"/>
      </w:r>
      <w:r>
        <w:rPr>
          <w:rFonts w:ascii="宋体" w:hAnsi="宋体" w:eastAsia="宋体"/>
          <w:color w:val="auto"/>
          <w:sz w:val="28"/>
          <w:szCs w:val="28"/>
        </w:rPr>
        <w:t>46</w:t>
      </w:r>
      <w:r>
        <w:rPr>
          <w:rFonts w:ascii="宋体" w:hAnsi="宋体" w:eastAsia="宋体"/>
          <w:color w:val="auto"/>
          <w:sz w:val="28"/>
          <w:szCs w:val="28"/>
        </w:rPr>
        <w:fldChar w:fldCharType="end"/>
      </w:r>
    </w:p>
    <w:p>
      <w:pPr>
        <w:pStyle w:val="36"/>
        <w:tabs>
          <w:tab w:val="right" w:leader="dot" w:pos="9730"/>
        </w:tabs>
        <w:spacing w:line="560" w:lineRule="exact"/>
        <w:rPr>
          <w:rFonts w:ascii="宋体" w:hAnsi="宋体" w:eastAsia="宋体" w:cstheme="minorBidi"/>
          <w:smallCaps w:val="0"/>
          <w:color w:val="auto"/>
          <w:kern w:val="2"/>
          <w:sz w:val="28"/>
          <w:szCs w:val="28"/>
          <w:lang w:val="en-US" w:eastAsia="zh-CN" w:bidi="ar-SA"/>
        </w:rPr>
      </w:pPr>
      <w:r>
        <w:rPr>
          <w:rFonts w:ascii="宋体" w:hAnsi="宋体" w:eastAsia="宋体" w:cs="Times New Roman"/>
          <w:bCs/>
          <w:color w:val="auto"/>
          <w:kern w:val="2"/>
          <w:sz w:val="28"/>
          <w:szCs w:val="28"/>
          <w:lang w:val="en-US" w:eastAsia="zh-CN"/>
        </w:rPr>
        <w:t>6.8</w:t>
      </w:r>
      <w:r>
        <w:rPr>
          <w:rFonts w:hint="eastAsia" w:ascii="宋体" w:hAnsi="宋体" w:eastAsia="宋体" w:cs="Times New Roman"/>
          <w:bCs/>
          <w:color w:val="auto"/>
          <w:kern w:val="2"/>
          <w:sz w:val="28"/>
          <w:szCs w:val="28"/>
          <w:lang w:val="en-US" w:eastAsia="zh-CN"/>
        </w:rPr>
        <w:t>剧毒化学品辨识结果</w:t>
      </w:r>
      <w:r>
        <w:rPr>
          <w:rFonts w:ascii="宋体" w:hAnsi="宋体" w:eastAsia="宋体"/>
          <w:color w:val="auto"/>
          <w:sz w:val="28"/>
          <w:szCs w:val="28"/>
        </w:rPr>
        <w:tab/>
      </w:r>
      <w:r>
        <w:rPr>
          <w:rFonts w:ascii="宋体" w:hAnsi="宋体" w:eastAsia="宋体"/>
          <w:color w:val="auto"/>
          <w:sz w:val="28"/>
          <w:szCs w:val="28"/>
        </w:rPr>
        <w:fldChar w:fldCharType="begin"/>
      </w:r>
      <w:r>
        <w:rPr>
          <w:rFonts w:ascii="宋体" w:hAnsi="宋体" w:eastAsia="宋体"/>
          <w:color w:val="auto"/>
          <w:sz w:val="28"/>
          <w:szCs w:val="28"/>
        </w:rPr>
        <w:instrText xml:space="preserve"> PAGEREF _Toc40045908 \h </w:instrText>
      </w:r>
      <w:r>
        <w:rPr>
          <w:rFonts w:ascii="宋体" w:hAnsi="宋体" w:eastAsia="宋体"/>
          <w:color w:val="auto"/>
          <w:sz w:val="28"/>
          <w:szCs w:val="28"/>
        </w:rPr>
        <w:fldChar w:fldCharType="separate"/>
      </w:r>
      <w:r>
        <w:rPr>
          <w:rFonts w:ascii="宋体" w:hAnsi="宋体" w:eastAsia="宋体"/>
          <w:color w:val="auto"/>
          <w:sz w:val="28"/>
          <w:szCs w:val="28"/>
        </w:rPr>
        <w:t>46</w:t>
      </w:r>
      <w:r>
        <w:rPr>
          <w:rFonts w:ascii="宋体" w:hAnsi="宋体" w:eastAsia="宋体"/>
          <w:color w:val="auto"/>
          <w:sz w:val="28"/>
          <w:szCs w:val="28"/>
        </w:rPr>
        <w:fldChar w:fldCharType="end"/>
      </w:r>
    </w:p>
    <w:p>
      <w:pPr>
        <w:pStyle w:val="36"/>
        <w:tabs>
          <w:tab w:val="right" w:leader="dot" w:pos="9730"/>
        </w:tabs>
        <w:spacing w:line="560" w:lineRule="exact"/>
        <w:rPr>
          <w:rFonts w:ascii="宋体" w:hAnsi="宋体" w:eastAsia="宋体" w:cstheme="minorBidi"/>
          <w:smallCaps w:val="0"/>
          <w:color w:val="auto"/>
          <w:kern w:val="2"/>
          <w:sz w:val="28"/>
          <w:szCs w:val="28"/>
          <w:lang w:val="en-US" w:eastAsia="zh-CN" w:bidi="ar-SA"/>
        </w:rPr>
      </w:pPr>
      <w:r>
        <w:rPr>
          <w:rFonts w:ascii="宋体" w:hAnsi="宋体" w:eastAsia="宋体" w:cs="Times New Roman"/>
          <w:bCs/>
          <w:color w:val="auto"/>
          <w:kern w:val="2"/>
          <w:sz w:val="28"/>
          <w:szCs w:val="28"/>
          <w:lang w:val="en-US" w:eastAsia="zh-CN"/>
        </w:rPr>
        <w:t>6.9</w:t>
      </w:r>
      <w:r>
        <w:rPr>
          <w:rFonts w:hint="eastAsia" w:ascii="宋体" w:hAnsi="宋体" w:eastAsia="宋体" w:cs="Times New Roman"/>
          <w:bCs/>
          <w:color w:val="auto"/>
          <w:kern w:val="2"/>
          <w:sz w:val="28"/>
          <w:szCs w:val="28"/>
          <w:lang w:val="en-US" w:eastAsia="zh-CN"/>
        </w:rPr>
        <w:t>重大危险源辨识结果</w:t>
      </w:r>
      <w:r>
        <w:rPr>
          <w:rFonts w:ascii="宋体" w:hAnsi="宋体" w:eastAsia="宋体"/>
          <w:color w:val="auto"/>
          <w:sz w:val="28"/>
          <w:szCs w:val="28"/>
        </w:rPr>
        <w:tab/>
      </w:r>
      <w:r>
        <w:rPr>
          <w:rFonts w:ascii="宋体" w:hAnsi="宋体" w:eastAsia="宋体"/>
          <w:color w:val="auto"/>
          <w:sz w:val="28"/>
          <w:szCs w:val="28"/>
        </w:rPr>
        <w:fldChar w:fldCharType="begin"/>
      </w:r>
      <w:r>
        <w:rPr>
          <w:rFonts w:ascii="宋体" w:hAnsi="宋体" w:eastAsia="宋体"/>
          <w:color w:val="auto"/>
          <w:sz w:val="28"/>
          <w:szCs w:val="28"/>
        </w:rPr>
        <w:instrText xml:space="preserve"> PAGEREF _Toc40045909 \h </w:instrText>
      </w:r>
      <w:r>
        <w:rPr>
          <w:rFonts w:ascii="宋体" w:hAnsi="宋体" w:eastAsia="宋体"/>
          <w:color w:val="auto"/>
          <w:sz w:val="28"/>
          <w:szCs w:val="28"/>
        </w:rPr>
        <w:fldChar w:fldCharType="separate"/>
      </w:r>
      <w:r>
        <w:rPr>
          <w:rFonts w:ascii="宋体" w:hAnsi="宋体" w:eastAsia="宋体"/>
          <w:color w:val="auto"/>
          <w:sz w:val="28"/>
          <w:szCs w:val="28"/>
        </w:rPr>
        <w:t>46</w:t>
      </w:r>
      <w:r>
        <w:rPr>
          <w:rFonts w:ascii="宋体" w:hAnsi="宋体" w:eastAsia="宋体"/>
          <w:color w:val="auto"/>
          <w:sz w:val="28"/>
          <w:szCs w:val="28"/>
        </w:rPr>
        <w:fldChar w:fldCharType="end"/>
      </w:r>
    </w:p>
    <w:p>
      <w:pPr>
        <w:pStyle w:val="36"/>
        <w:tabs>
          <w:tab w:val="right" w:leader="dot" w:pos="9730"/>
        </w:tabs>
        <w:spacing w:line="560" w:lineRule="exact"/>
        <w:rPr>
          <w:rFonts w:ascii="宋体" w:hAnsi="宋体" w:eastAsia="宋体" w:cstheme="minorBidi"/>
          <w:smallCaps w:val="0"/>
          <w:color w:val="auto"/>
          <w:kern w:val="2"/>
          <w:sz w:val="28"/>
          <w:szCs w:val="28"/>
          <w:lang w:val="en-US" w:eastAsia="zh-CN" w:bidi="ar-SA"/>
        </w:rPr>
      </w:pPr>
      <w:r>
        <w:rPr>
          <w:rFonts w:ascii="宋体" w:hAnsi="宋体" w:eastAsia="宋体" w:cs="Times New Roman"/>
          <w:bCs/>
          <w:color w:val="auto"/>
          <w:kern w:val="2"/>
          <w:sz w:val="28"/>
          <w:szCs w:val="28"/>
          <w:lang w:val="en-US" w:eastAsia="zh-CN"/>
        </w:rPr>
        <w:t>6.10</w:t>
      </w:r>
      <w:r>
        <w:rPr>
          <w:rFonts w:hint="eastAsia" w:ascii="宋体" w:hAnsi="宋体" w:eastAsia="宋体" w:cs="Times New Roman"/>
          <w:bCs/>
          <w:color w:val="auto"/>
          <w:kern w:val="2"/>
          <w:sz w:val="28"/>
          <w:szCs w:val="28"/>
          <w:lang w:val="en-US" w:eastAsia="zh-CN"/>
        </w:rPr>
        <w:t>生产装置、设施与周边环境的影响分析结果</w:t>
      </w:r>
      <w:r>
        <w:rPr>
          <w:rFonts w:ascii="宋体" w:hAnsi="宋体" w:eastAsia="宋体"/>
          <w:color w:val="auto"/>
          <w:sz w:val="28"/>
          <w:szCs w:val="28"/>
        </w:rPr>
        <w:tab/>
      </w:r>
      <w:r>
        <w:rPr>
          <w:rFonts w:ascii="宋体" w:hAnsi="宋体" w:eastAsia="宋体"/>
          <w:color w:val="auto"/>
          <w:sz w:val="28"/>
          <w:szCs w:val="28"/>
        </w:rPr>
        <w:fldChar w:fldCharType="begin"/>
      </w:r>
      <w:r>
        <w:rPr>
          <w:rFonts w:ascii="宋体" w:hAnsi="宋体" w:eastAsia="宋体"/>
          <w:color w:val="auto"/>
          <w:sz w:val="28"/>
          <w:szCs w:val="28"/>
        </w:rPr>
        <w:instrText xml:space="preserve"> PAGEREF _Toc40045910 \h </w:instrText>
      </w:r>
      <w:r>
        <w:rPr>
          <w:rFonts w:ascii="宋体" w:hAnsi="宋体" w:eastAsia="宋体"/>
          <w:color w:val="auto"/>
          <w:sz w:val="28"/>
          <w:szCs w:val="28"/>
        </w:rPr>
        <w:fldChar w:fldCharType="separate"/>
      </w:r>
      <w:r>
        <w:rPr>
          <w:rFonts w:ascii="宋体" w:hAnsi="宋体" w:eastAsia="宋体"/>
          <w:color w:val="auto"/>
          <w:sz w:val="28"/>
          <w:szCs w:val="28"/>
        </w:rPr>
        <w:t>46</w:t>
      </w:r>
      <w:r>
        <w:rPr>
          <w:rFonts w:ascii="宋体" w:hAnsi="宋体" w:eastAsia="宋体"/>
          <w:color w:val="auto"/>
          <w:sz w:val="28"/>
          <w:szCs w:val="28"/>
        </w:rPr>
        <w:fldChar w:fldCharType="end"/>
      </w:r>
    </w:p>
    <w:p>
      <w:pPr>
        <w:pStyle w:val="31"/>
        <w:tabs>
          <w:tab w:val="right" w:leader="dot" w:pos="9730"/>
        </w:tabs>
        <w:spacing w:line="560" w:lineRule="exact"/>
        <w:rPr>
          <w:rFonts w:ascii="宋体" w:hAnsi="宋体" w:eastAsia="宋体" w:cstheme="minorBidi"/>
          <w:b w:val="0"/>
          <w:bCs w:val="0"/>
          <w:caps w:val="0"/>
          <w:color w:val="auto"/>
          <w:kern w:val="2"/>
          <w:sz w:val="28"/>
          <w:szCs w:val="28"/>
          <w:lang w:val="en-US" w:eastAsia="zh-CN" w:bidi="ar-SA"/>
        </w:rPr>
      </w:pPr>
      <w:r>
        <w:rPr>
          <w:rFonts w:ascii="宋体" w:hAnsi="宋体" w:eastAsia="宋体"/>
          <w:color w:val="auto"/>
          <w:sz w:val="28"/>
          <w:szCs w:val="28"/>
        </w:rPr>
        <w:t>7</w:t>
      </w:r>
      <w:r>
        <w:rPr>
          <w:rFonts w:hint="eastAsia" w:ascii="宋体" w:hAnsi="宋体" w:eastAsia="宋体"/>
          <w:color w:val="auto"/>
          <w:sz w:val="28"/>
          <w:szCs w:val="28"/>
        </w:rPr>
        <w:t>定性、定量分析安全评价内容的结果</w:t>
      </w:r>
      <w:r>
        <w:rPr>
          <w:rFonts w:ascii="宋体" w:hAnsi="宋体" w:eastAsia="宋体"/>
          <w:color w:val="auto"/>
          <w:sz w:val="28"/>
          <w:szCs w:val="28"/>
        </w:rPr>
        <w:tab/>
      </w:r>
      <w:r>
        <w:rPr>
          <w:rFonts w:ascii="宋体" w:hAnsi="宋体" w:eastAsia="宋体"/>
          <w:color w:val="auto"/>
          <w:sz w:val="28"/>
          <w:szCs w:val="28"/>
        </w:rPr>
        <w:fldChar w:fldCharType="begin"/>
      </w:r>
      <w:r>
        <w:rPr>
          <w:rFonts w:ascii="宋体" w:hAnsi="宋体" w:eastAsia="宋体"/>
          <w:color w:val="auto"/>
          <w:sz w:val="28"/>
          <w:szCs w:val="28"/>
        </w:rPr>
        <w:instrText xml:space="preserve"> PAGEREF _Toc40045911 \h </w:instrText>
      </w:r>
      <w:r>
        <w:rPr>
          <w:rFonts w:ascii="宋体" w:hAnsi="宋体" w:eastAsia="宋体"/>
          <w:color w:val="auto"/>
          <w:sz w:val="28"/>
          <w:szCs w:val="28"/>
        </w:rPr>
        <w:fldChar w:fldCharType="separate"/>
      </w:r>
      <w:r>
        <w:rPr>
          <w:rFonts w:ascii="宋体" w:hAnsi="宋体" w:eastAsia="宋体"/>
          <w:color w:val="auto"/>
          <w:sz w:val="28"/>
          <w:szCs w:val="28"/>
        </w:rPr>
        <w:t>48</w:t>
      </w:r>
      <w:r>
        <w:rPr>
          <w:rFonts w:ascii="宋体" w:hAnsi="宋体" w:eastAsia="宋体"/>
          <w:color w:val="auto"/>
          <w:sz w:val="28"/>
          <w:szCs w:val="28"/>
        </w:rPr>
        <w:fldChar w:fldCharType="end"/>
      </w:r>
    </w:p>
    <w:p>
      <w:pPr>
        <w:pStyle w:val="36"/>
        <w:tabs>
          <w:tab w:val="right" w:leader="dot" w:pos="9730"/>
        </w:tabs>
        <w:spacing w:line="560" w:lineRule="exact"/>
        <w:rPr>
          <w:rFonts w:ascii="宋体" w:hAnsi="宋体" w:eastAsia="宋体" w:cstheme="minorBidi"/>
          <w:smallCaps w:val="0"/>
          <w:color w:val="auto"/>
          <w:kern w:val="2"/>
          <w:sz w:val="28"/>
          <w:szCs w:val="28"/>
          <w:lang w:val="en-US" w:eastAsia="zh-CN" w:bidi="ar-SA"/>
        </w:rPr>
      </w:pPr>
      <w:r>
        <w:rPr>
          <w:rFonts w:ascii="宋体" w:hAnsi="宋体" w:eastAsia="宋体" w:cs="Times New Roman"/>
          <w:bCs/>
          <w:color w:val="auto"/>
          <w:kern w:val="2"/>
          <w:sz w:val="28"/>
          <w:szCs w:val="28"/>
          <w:lang w:val="en-US" w:eastAsia="zh-CN"/>
        </w:rPr>
        <w:t>7.1</w:t>
      </w:r>
      <w:r>
        <w:rPr>
          <w:rFonts w:hint="eastAsia" w:ascii="宋体" w:hAnsi="宋体" w:eastAsia="宋体" w:cs="Times New Roman"/>
          <w:bCs/>
          <w:color w:val="auto"/>
          <w:kern w:val="2"/>
          <w:sz w:val="28"/>
          <w:szCs w:val="28"/>
          <w:lang w:val="en-US" w:eastAsia="zh-CN"/>
        </w:rPr>
        <w:t>安全检查表分析结果</w:t>
      </w:r>
      <w:r>
        <w:rPr>
          <w:rFonts w:ascii="宋体" w:hAnsi="宋体" w:eastAsia="宋体"/>
          <w:color w:val="auto"/>
          <w:sz w:val="28"/>
          <w:szCs w:val="28"/>
        </w:rPr>
        <w:tab/>
      </w:r>
      <w:r>
        <w:rPr>
          <w:rFonts w:ascii="宋体" w:hAnsi="宋体" w:eastAsia="宋体"/>
          <w:color w:val="auto"/>
          <w:sz w:val="28"/>
          <w:szCs w:val="28"/>
        </w:rPr>
        <w:fldChar w:fldCharType="begin"/>
      </w:r>
      <w:r>
        <w:rPr>
          <w:rFonts w:ascii="宋体" w:hAnsi="宋体" w:eastAsia="宋体"/>
          <w:color w:val="auto"/>
          <w:sz w:val="28"/>
          <w:szCs w:val="28"/>
        </w:rPr>
        <w:instrText xml:space="preserve"> PAGEREF _Toc40045912 \h </w:instrText>
      </w:r>
      <w:r>
        <w:rPr>
          <w:rFonts w:ascii="宋体" w:hAnsi="宋体" w:eastAsia="宋体"/>
          <w:color w:val="auto"/>
          <w:sz w:val="28"/>
          <w:szCs w:val="28"/>
        </w:rPr>
        <w:fldChar w:fldCharType="separate"/>
      </w:r>
      <w:r>
        <w:rPr>
          <w:rFonts w:ascii="宋体" w:hAnsi="宋体" w:eastAsia="宋体"/>
          <w:color w:val="auto"/>
          <w:sz w:val="28"/>
          <w:szCs w:val="28"/>
        </w:rPr>
        <w:t>48</w:t>
      </w:r>
      <w:r>
        <w:rPr>
          <w:rFonts w:ascii="宋体" w:hAnsi="宋体" w:eastAsia="宋体"/>
          <w:color w:val="auto"/>
          <w:sz w:val="28"/>
          <w:szCs w:val="28"/>
        </w:rPr>
        <w:fldChar w:fldCharType="end"/>
      </w:r>
    </w:p>
    <w:p>
      <w:pPr>
        <w:pStyle w:val="36"/>
        <w:tabs>
          <w:tab w:val="right" w:leader="dot" w:pos="9730"/>
        </w:tabs>
        <w:spacing w:line="560" w:lineRule="exact"/>
        <w:rPr>
          <w:rFonts w:ascii="宋体" w:hAnsi="宋体" w:eastAsia="宋体" w:cstheme="minorBidi"/>
          <w:smallCaps w:val="0"/>
          <w:color w:val="auto"/>
          <w:kern w:val="2"/>
          <w:sz w:val="28"/>
          <w:szCs w:val="28"/>
          <w:lang w:val="en-US" w:eastAsia="zh-CN" w:bidi="ar-SA"/>
        </w:rPr>
      </w:pPr>
      <w:r>
        <w:rPr>
          <w:rFonts w:ascii="宋体" w:hAnsi="宋体" w:eastAsia="宋体" w:cs="Times New Roman"/>
          <w:bCs/>
          <w:color w:val="auto"/>
          <w:kern w:val="2"/>
          <w:sz w:val="28"/>
          <w:szCs w:val="28"/>
          <w:lang w:val="en-US" w:eastAsia="zh-CN"/>
        </w:rPr>
        <w:t>7.2</w:t>
      </w:r>
      <w:r>
        <w:rPr>
          <w:rFonts w:hint="eastAsia" w:ascii="宋体" w:hAnsi="宋体" w:eastAsia="宋体" w:cs="Times New Roman"/>
          <w:bCs/>
          <w:color w:val="auto"/>
          <w:kern w:val="2"/>
          <w:sz w:val="28"/>
          <w:szCs w:val="28"/>
          <w:lang w:val="en-US" w:eastAsia="zh-CN"/>
        </w:rPr>
        <w:t>事故树分析结果</w:t>
      </w:r>
      <w:r>
        <w:rPr>
          <w:rFonts w:ascii="宋体" w:hAnsi="宋体" w:eastAsia="宋体"/>
          <w:color w:val="auto"/>
          <w:sz w:val="28"/>
          <w:szCs w:val="28"/>
        </w:rPr>
        <w:tab/>
      </w:r>
      <w:r>
        <w:rPr>
          <w:rFonts w:ascii="宋体" w:hAnsi="宋体" w:eastAsia="宋体"/>
          <w:color w:val="auto"/>
          <w:sz w:val="28"/>
          <w:szCs w:val="28"/>
        </w:rPr>
        <w:fldChar w:fldCharType="begin"/>
      </w:r>
      <w:r>
        <w:rPr>
          <w:rFonts w:ascii="宋体" w:hAnsi="宋体" w:eastAsia="宋体"/>
          <w:color w:val="auto"/>
          <w:sz w:val="28"/>
          <w:szCs w:val="28"/>
        </w:rPr>
        <w:instrText xml:space="preserve"> PAGEREF _Toc40045913 \h </w:instrText>
      </w:r>
      <w:r>
        <w:rPr>
          <w:rFonts w:ascii="宋体" w:hAnsi="宋体" w:eastAsia="宋体"/>
          <w:color w:val="auto"/>
          <w:sz w:val="28"/>
          <w:szCs w:val="28"/>
        </w:rPr>
        <w:fldChar w:fldCharType="separate"/>
      </w:r>
      <w:r>
        <w:rPr>
          <w:rFonts w:ascii="宋体" w:hAnsi="宋体" w:eastAsia="宋体"/>
          <w:color w:val="auto"/>
          <w:sz w:val="28"/>
          <w:szCs w:val="28"/>
        </w:rPr>
        <w:t>49</w:t>
      </w:r>
      <w:r>
        <w:rPr>
          <w:rFonts w:ascii="宋体" w:hAnsi="宋体" w:eastAsia="宋体"/>
          <w:color w:val="auto"/>
          <w:sz w:val="28"/>
          <w:szCs w:val="28"/>
        </w:rPr>
        <w:fldChar w:fldCharType="end"/>
      </w:r>
    </w:p>
    <w:p>
      <w:pPr>
        <w:pStyle w:val="36"/>
        <w:tabs>
          <w:tab w:val="right" w:leader="dot" w:pos="9730"/>
        </w:tabs>
        <w:spacing w:line="560" w:lineRule="exact"/>
        <w:rPr>
          <w:rFonts w:ascii="宋体" w:hAnsi="宋体" w:eastAsia="宋体" w:cstheme="minorBidi"/>
          <w:smallCaps w:val="0"/>
          <w:color w:val="auto"/>
          <w:kern w:val="2"/>
          <w:sz w:val="28"/>
          <w:szCs w:val="28"/>
          <w:lang w:val="en-US" w:eastAsia="zh-CN" w:bidi="ar-SA"/>
        </w:rPr>
      </w:pPr>
      <w:r>
        <w:rPr>
          <w:rFonts w:ascii="宋体" w:hAnsi="宋体" w:eastAsia="宋体" w:cs="Times New Roman"/>
          <w:bCs/>
          <w:color w:val="auto"/>
          <w:kern w:val="2"/>
          <w:sz w:val="28"/>
          <w:szCs w:val="28"/>
          <w:lang w:val="en-US" w:eastAsia="zh-CN"/>
        </w:rPr>
        <w:t>7.3</w:t>
      </w:r>
      <w:r>
        <w:rPr>
          <w:rFonts w:hint="eastAsia" w:ascii="宋体" w:hAnsi="宋体" w:eastAsia="宋体" w:cs="Times New Roman"/>
          <w:bCs/>
          <w:color w:val="auto"/>
          <w:kern w:val="2"/>
          <w:sz w:val="28"/>
          <w:szCs w:val="28"/>
          <w:lang w:val="en-US" w:eastAsia="zh-CN"/>
        </w:rPr>
        <w:t>道化学火灾爆炸模拟分析结果</w:t>
      </w:r>
      <w:r>
        <w:rPr>
          <w:rFonts w:ascii="宋体" w:hAnsi="宋体" w:eastAsia="宋体"/>
          <w:color w:val="auto"/>
          <w:sz w:val="28"/>
          <w:szCs w:val="28"/>
        </w:rPr>
        <w:tab/>
      </w:r>
      <w:r>
        <w:rPr>
          <w:rFonts w:ascii="宋体" w:hAnsi="宋体" w:eastAsia="宋体"/>
          <w:color w:val="auto"/>
          <w:sz w:val="28"/>
          <w:szCs w:val="28"/>
        </w:rPr>
        <w:fldChar w:fldCharType="begin"/>
      </w:r>
      <w:r>
        <w:rPr>
          <w:rFonts w:ascii="宋体" w:hAnsi="宋体" w:eastAsia="宋体"/>
          <w:color w:val="auto"/>
          <w:sz w:val="28"/>
          <w:szCs w:val="28"/>
        </w:rPr>
        <w:instrText xml:space="preserve"> PAGEREF _Toc40045914 \h </w:instrText>
      </w:r>
      <w:r>
        <w:rPr>
          <w:rFonts w:ascii="宋体" w:hAnsi="宋体" w:eastAsia="宋体"/>
          <w:color w:val="auto"/>
          <w:sz w:val="28"/>
          <w:szCs w:val="28"/>
        </w:rPr>
        <w:fldChar w:fldCharType="separate"/>
      </w:r>
      <w:r>
        <w:rPr>
          <w:rFonts w:ascii="宋体" w:hAnsi="宋体" w:eastAsia="宋体"/>
          <w:color w:val="auto"/>
          <w:sz w:val="28"/>
          <w:szCs w:val="28"/>
        </w:rPr>
        <w:t>50</w:t>
      </w:r>
      <w:r>
        <w:rPr>
          <w:rFonts w:ascii="宋体" w:hAnsi="宋体" w:eastAsia="宋体"/>
          <w:color w:val="auto"/>
          <w:sz w:val="28"/>
          <w:szCs w:val="28"/>
        </w:rPr>
        <w:fldChar w:fldCharType="end"/>
      </w:r>
    </w:p>
    <w:p>
      <w:pPr>
        <w:pStyle w:val="36"/>
        <w:tabs>
          <w:tab w:val="right" w:leader="dot" w:pos="9730"/>
        </w:tabs>
        <w:spacing w:line="560" w:lineRule="exact"/>
        <w:rPr>
          <w:rFonts w:ascii="宋体" w:hAnsi="宋体" w:eastAsia="宋体" w:cstheme="minorBidi"/>
          <w:smallCaps w:val="0"/>
          <w:color w:val="auto"/>
          <w:kern w:val="2"/>
          <w:sz w:val="28"/>
          <w:szCs w:val="28"/>
          <w:lang w:val="en-US" w:eastAsia="zh-CN" w:bidi="ar-SA"/>
        </w:rPr>
      </w:pPr>
      <w:r>
        <w:rPr>
          <w:rFonts w:ascii="宋体" w:hAnsi="宋体" w:eastAsia="宋体" w:cs="Times New Roman"/>
          <w:bCs/>
          <w:color w:val="auto"/>
          <w:kern w:val="2"/>
          <w:sz w:val="28"/>
          <w:szCs w:val="28"/>
          <w:lang w:val="en-US" w:eastAsia="zh-CN"/>
        </w:rPr>
        <w:t>7.4</w:t>
      </w:r>
      <w:r>
        <w:rPr>
          <w:rFonts w:hint="eastAsia" w:ascii="宋体" w:hAnsi="宋体" w:eastAsia="宋体" w:cs="Times New Roman"/>
          <w:bCs/>
          <w:color w:val="auto"/>
          <w:kern w:val="2"/>
          <w:sz w:val="28"/>
          <w:szCs w:val="28"/>
          <w:lang w:val="en-US" w:eastAsia="zh-CN"/>
        </w:rPr>
        <w:t>危险度评价法评价结果</w:t>
      </w:r>
      <w:r>
        <w:rPr>
          <w:rFonts w:ascii="宋体" w:hAnsi="宋体" w:eastAsia="宋体"/>
          <w:color w:val="auto"/>
          <w:sz w:val="28"/>
          <w:szCs w:val="28"/>
        </w:rPr>
        <w:tab/>
      </w:r>
      <w:r>
        <w:rPr>
          <w:rFonts w:ascii="宋体" w:hAnsi="宋体" w:eastAsia="宋体"/>
          <w:color w:val="auto"/>
          <w:sz w:val="28"/>
          <w:szCs w:val="28"/>
        </w:rPr>
        <w:fldChar w:fldCharType="begin"/>
      </w:r>
      <w:r>
        <w:rPr>
          <w:rFonts w:ascii="宋体" w:hAnsi="宋体" w:eastAsia="宋体"/>
          <w:color w:val="auto"/>
          <w:sz w:val="28"/>
          <w:szCs w:val="28"/>
        </w:rPr>
        <w:instrText xml:space="preserve"> PAGEREF _Toc40045915 \h </w:instrText>
      </w:r>
      <w:r>
        <w:rPr>
          <w:rFonts w:ascii="宋体" w:hAnsi="宋体" w:eastAsia="宋体"/>
          <w:color w:val="auto"/>
          <w:sz w:val="28"/>
          <w:szCs w:val="28"/>
        </w:rPr>
        <w:fldChar w:fldCharType="separate"/>
      </w:r>
      <w:r>
        <w:rPr>
          <w:rFonts w:ascii="宋体" w:hAnsi="宋体" w:eastAsia="宋体"/>
          <w:color w:val="auto"/>
          <w:sz w:val="28"/>
          <w:szCs w:val="28"/>
        </w:rPr>
        <w:t>50</w:t>
      </w:r>
      <w:r>
        <w:rPr>
          <w:rFonts w:ascii="宋体" w:hAnsi="宋体" w:eastAsia="宋体"/>
          <w:color w:val="auto"/>
          <w:sz w:val="28"/>
          <w:szCs w:val="28"/>
        </w:rPr>
        <w:fldChar w:fldCharType="end"/>
      </w:r>
    </w:p>
    <w:p>
      <w:pPr>
        <w:pStyle w:val="31"/>
        <w:tabs>
          <w:tab w:val="right" w:leader="dot" w:pos="9730"/>
        </w:tabs>
        <w:spacing w:line="560" w:lineRule="exact"/>
        <w:rPr>
          <w:rFonts w:ascii="宋体" w:hAnsi="宋体" w:eastAsia="宋体" w:cstheme="minorBidi"/>
          <w:b w:val="0"/>
          <w:bCs w:val="0"/>
          <w:caps w:val="0"/>
          <w:color w:val="auto"/>
          <w:kern w:val="2"/>
          <w:sz w:val="28"/>
          <w:szCs w:val="28"/>
          <w:lang w:val="en-US" w:eastAsia="zh-CN" w:bidi="ar-SA"/>
        </w:rPr>
      </w:pPr>
      <w:r>
        <w:rPr>
          <w:rFonts w:ascii="宋体" w:hAnsi="宋体" w:eastAsia="宋体"/>
          <w:color w:val="auto"/>
          <w:sz w:val="28"/>
          <w:szCs w:val="28"/>
        </w:rPr>
        <w:t>8</w:t>
      </w:r>
      <w:r>
        <w:rPr>
          <w:rFonts w:hint="eastAsia" w:ascii="宋体" w:hAnsi="宋体" w:eastAsia="宋体"/>
          <w:color w:val="auto"/>
          <w:sz w:val="28"/>
          <w:szCs w:val="28"/>
        </w:rPr>
        <w:t>可能发生的危险化学品事故的预测后果</w:t>
      </w:r>
      <w:r>
        <w:rPr>
          <w:rFonts w:ascii="宋体" w:hAnsi="宋体" w:eastAsia="宋体"/>
          <w:color w:val="auto"/>
          <w:sz w:val="28"/>
          <w:szCs w:val="28"/>
        </w:rPr>
        <w:tab/>
      </w:r>
      <w:r>
        <w:rPr>
          <w:rFonts w:ascii="宋体" w:hAnsi="宋体" w:eastAsia="宋体"/>
          <w:color w:val="auto"/>
          <w:sz w:val="28"/>
          <w:szCs w:val="28"/>
        </w:rPr>
        <w:fldChar w:fldCharType="begin"/>
      </w:r>
      <w:r>
        <w:rPr>
          <w:rFonts w:ascii="宋体" w:hAnsi="宋体" w:eastAsia="宋体"/>
          <w:color w:val="auto"/>
          <w:sz w:val="28"/>
          <w:szCs w:val="28"/>
        </w:rPr>
        <w:instrText xml:space="preserve"> PAGEREF _Toc40045916 \h </w:instrText>
      </w:r>
      <w:r>
        <w:rPr>
          <w:rFonts w:ascii="宋体" w:hAnsi="宋体" w:eastAsia="宋体"/>
          <w:color w:val="auto"/>
          <w:sz w:val="28"/>
          <w:szCs w:val="28"/>
        </w:rPr>
        <w:fldChar w:fldCharType="separate"/>
      </w:r>
      <w:r>
        <w:rPr>
          <w:rFonts w:ascii="宋体" w:hAnsi="宋体" w:eastAsia="宋体"/>
          <w:color w:val="auto"/>
          <w:sz w:val="28"/>
          <w:szCs w:val="28"/>
        </w:rPr>
        <w:t>52</w:t>
      </w:r>
      <w:r>
        <w:rPr>
          <w:rFonts w:ascii="宋体" w:hAnsi="宋体" w:eastAsia="宋体"/>
          <w:color w:val="auto"/>
          <w:sz w:val="28"/>
          <w:szCs w:val="28"/>
        </w:rPr>
        <w:fldChar w:fldCharType="end"/>
      </w:r>
    </w:p>
    <w:p>
      <w:pPr>
        <w:pStyle w:val="31"/>
        <w:tabs>
          <w:tab w:val="right" w:leader="dot" w:pos="9730"/>
        </w:tabs>
        <w:spacing w:line="560" w:lineRule="exact"/>
        <w:rPr>
          <w:rFonts w:ascii="宋体" w:hAnsi="宋体" w:eastAsia="宋体" w:cstheme="minorBidi"/>
          <w:b w:val="0"/>
          <w:bCs w:val="0"/>
          <w:caps w:val="0"/>
          <w:color w:val="auto"/>
          <w:kern w:val="2"/>
          <w:sz w:val="28"/>
          <w:szCs w:val="28"/>
          <w:lang w:val="en-US" w:eastAsia="zh-CN" w:bidi="ar-SA"/>
        </w:rPr>
      </w:pPr>
      <w:r>
        <w:rPr>
          <w:rFonts w:ascii="宋体" w:hAnsi="宋体" w:eastAsia="宋体"/>
          <w:color w:val="auto"/>
          <w:sz w:val="28"/>
          <w:szCs w:val="28"/>
        </w:rPr>
        <w:t>9</w:t>
      </w:r>
      <w:r>
        <w:rPr>
          <w:rFonts w:hint="eastAsia" w:ascii="宋体" w:hAnsi="宋体" w:eastAsia="宋体"/>
          <w:color w:val="auto"/>
          <w:sz w:val="28"/>
          <w:szCs w:val="28"/>
        </w:rPr>
        <w:t>企业安全生产情况专篇</w:t>
      </w:r>
      <w:r>
        <w:rPr>
          <w:rFonts w:ascii="宋体" w:hAnsi="宋体" w:eastAsia="宋体"/>
          <w:color w:val="auto"/>
          <w:sz w:val="28"/>
          <w:szCs w:val="28"/>
        </w:rPr>
        <w:tab/>
      </w:r>
      <w:r>
        <w:rPr>
          <w:rFonts w:ascii="宋体" w:hAnsi="宋体" w:eastAsia="宋体"/>
          <w:color w:val="auto"/>
          <w:sz w:val="28"/>
          <w:szCs w:val="28"/>
        </w:rPr>
        <w:fldChar w:fldCharType="begin"/>
      </w:r>
      <w:r>
        <w:rPr>
          <w:rFonts w:ascii="宋体" w:hAnsi="宋体" w:eastAsia="宋体"/>
          <w:color w:val="auto"/>
          <w:sz w:val="28"/>
          <w:szCs w:val="28"/>
        </w:rPr>
        <w:instrText xml:space="preserve"> PAGEREF _Toc40045917 \h </w:instrText>
      </w:r>
      <w:r>
        <w:rPr>
          <w:rFonts w:ascii="宋体" w:hAnsi="宋体" w:eastAsia="宋体"/>
          <w:color w:val="auto"/>
          <w:sz w:val="28"/>
          <w:szCs w:val="28"/>
        </w:rPr>
        <w:fldChar w:fldCharType="separate"/>
      </w:r>
      <w:r>
        <w:rPr>
          <w:rFonts w:ascii="宋体" w:hAnsi="宋体" w:eastAsia="宋体"/>
          <w:color w:val="auto"/>
          <w:sz w:val="28"/>
          <w:szCs w:val="28"/>
        </w:rPr>
        <w:t>53</w:t>
      </w:r>
      <w:r>
        <w:rPr>
          <w:rFonts w:ascii="宋体" w:hAnsi="宋体" w:eastAsia="宋体"/>
          <w:color w:val="auto"/>
          <w:sz w:val="28"/>
          <w:szCs w:val="28"/>
        </w:rPr>
        <w:fldChar w:fldCharType="end"/>
      </w:r>
    </w:p>
    <w:p>
      <w:pPr>
        <w:pStyle w:val="36"/>
        <w:tabs>
          <w:tab w:val="right" w:leader="dot" w:pos="9730"/>
        </w:tabs>
        <w:spacing w:line="560" w:lineRule="exact"/>
        <w:rPr>
          <w:rFonts w:ascii="宋体" w:hAnsi="宋体" w:eastAsia="宋体" w:cstheme="minorBidi"/>
          <w:smallCaps w:val="0"/>
          <w:color w:val="auto"/>
          <w:kern w:val="2"/>
          <w:sz w:val="28"/>
          <w:szCs w:val="28"/>
          <w:lang w:val="en-US" w:eastAsia="zh-CN" w:bidi="ar-SA"/>
        </w:rPr>
      </w:pPr>
      <w:r>
        <w:rPr>
          <w:rFonts w:ascii="宋体" w:hAnsi="宋体" w:eastAsia="宋体" w:cs="Times New Roman"/>
          <w:bCs/>
          <w:color w:val="auto"/>
          <w:kern w:val="2"/>
          <w:sz w:val="28"/>
          <w:szCs w:val="28"/>
          <w:lang w:val="en-US" w:eastAsia="zh-CN"/>
        </w:rPr>
        <w:t>9.1</w:t>
      </w:r>
      <w:r>
        <w:rPr>
          <w:rFonts w:hint="eastAsia" w:ascii="宋体" w:hAnsi="宋体" w:eastAsia="宋体" w:cs="Times New Roman"/>
          <w:bCs/>
          <w:color w:val="auto"/>
          <w:kern w:val="2"/>
          <w:sz w:val="28"/>
          <w:szCs w:val="28"/>
          <w:lang w:val="en-US" w:eastAsia="zh-CN"/>
        </w:rPr>
        <w:t>安全生产法律法规及标准规范的执行情况</w:t>
      </w:r>
      <w:r>
        <w:rPr>
          <w:rFonts w:ascii="宋体" w:hAnsi="宋体" w:eastAsia="宋体"/>
          <w:color w:val="auto"/>
          <w:sz w:val="28"/>
          <w:szCs w:val="28"/>
        </w:rPr>
        <w:tab/>
      </w:r>
      <w:r>
        <w:rPr>
          <w:rFonts w:ascii="宋体" w:hAnsi="宋体" w:eastAsia="宋体"/>
          <w:color w:val="auto"/>
          <w:sz w:val="28"/>
          <w:szCs w:val="28"/>
        </w:rPr>
        <w:fldChar w:fldCharType="begin"/>
      </w:r>
      <w:r>
        <w:rPr>
          <w:rFonts w:ascii="宋体" w:hAnsi="宋体" w:eastAsia="宋体"/>
          <w:color w:val="auto"/>
          <w:sz w:val="28"/>
          <w:szCs w:val="28"/>
        </w:rPr>
        <w:instrText xml:space="preserve"> PAGEREF _Toc40045918 \h </w:instrText>
      </w:r>
      <w:r>
        <w:rPr>
          <w:rFonts w:ascii="宋体" w:hAnsi="宋体" w:eastAsia="宋体"/>
          <w:color w:val="auto"/>
          <w:sz w:val="28"/>
          <w:szCs w:val="28"/>
        </w:rPr>
        <w:fldChar w:fldCharType="separate"/>
      </w:r>
      <w:r>
        <w:rPr>
          <w:rFonts w:ascii="宋体" w:hAnsi="宋体" w:eastAsia="宋体"/>
          <w:color w:val="auto"/>
          <w:sz w:val="28"/>
          <w:szCs w:val="28"/>
        </w:rPr>
        <w:t>53</w:t>
      </w:r>
      <w:r>
        <w:rPr>
          <w:rFonts w:ascii="宋体" w:hAnsi="宋体" w:eastAsia="宋体"/>
          <w:color w:val="auto"/>
          <w:sz w:val="28"/>
          <w:szCs w:val="28"/>
        </w:rPr>
        <w:fldChar w:fldCharType="end"/>
      </w:r>
    </w:p>
    <w:p>
      <w:pPr>
        <w:pStyle w:val="36"/>
        <w:tabs>
          <w:tab w:val="right" w:leader="dot" w:pos="9730"/>
        </w:tabs>
        <w:spacing w:line="560" w:lineRule="exact"/>
        <w:rPr>
          <w:rFonts w:ascii="宋体" w:hAnsi="宋体" w:eastAsia="宋体" w:cstheme="minorBidi"/>
          <w:smallCaps w:val="0"/>
          <w:color w:val="auto"/>
          <w:kern w:val="2"/>
          <w:sz w:val="28"/>
          <w:szCs w:val="28"/>
          <w:lang w:val="en-US" w:eastAsia="zh-CN" w:bidi="ar-SA"/>
        </w:rPr>
      </w:pPr>
      <w:r>
        <w:rPr>
          <w:rFonts w:ascii="宋体" w:hAnsi="宋体" w:eastAsia="宋体" w:cs="Times New Roman"/>
          <w:bCs/>
          <w:color w:val="auto"/>
          <w:kern w:val="2"/>
          <w:sz w:val="28"/>
          <w:szCs w:val="28"/>
          <w:lang w:val="en-US" w:eastAsia="zh-CN"/>
        </w:rPr>
        <w:t>9.2</w:t>
      </w:r>
      <w:r>
        <w:rPr>
          <w:rFonts w:hint="eastAsia" w:ascii="宋体" w:hAnsi="宋体" w:eastAsia="宋体" w:cs="Times New Roman"/>
          <w:bCs/>
          <w:color w:val="auto"/>
          <w:kern w:val="2"/>
          <w:sz w:val="28"/>
          <w:szCs w:val="28"/>
          <w:lang w:val="en-US" w:eastAsia="zh-CN"/>
        </w:rPr>
        <w:t>安全生产条件符合情况</w:t>
      </w:r>
      <w:r>
        <w:rPr>
          <w:rFonts w:ascii="宋体" w:hAnsi="宋体" w:eastAsia="宋体"/>
          <w:color w:val="auto"/>
          <w:sz w:val="28"/>
          <w:szCs w:val="28"/>
        </w:rPr>
        <w:tab/>
      </w:r>
      <w:r>
        <w:rPr>
          <w:rFonts w:ascii="宋体" w:hAnsi="宋体" w:eastAsia="宋体"/>
          <w:color w:val="auto"/>
          <w:sz w:val="28"/>
          <w:szCs w:val="28"/>
        </w:rPr>
        <w:fldChar w:fldCharType="begin"/>
      </w:r>
      <w:r>
        <w:rPr>
          <w:rFonts w:ascii="宋体" w:hAnsi="宋体" w:eastAsia="宋体"/>
          <w:color w:val="auto"/>
          <w:sz w:val="28"/>
          <w:szCs w:val="28"/>
        </w:rPr>
        <w:instrText xml:space="preserve"> PAGEREF _Toc40045919 \h </w:instrText>
      </w:r>
      <w:r>
        <w:rPr>
          <w:rFonts w:ascii="宋体" w:hAnsi="宋体" w:eastAsia="宋体"/>
          <w:color w:val="auto"/>
          <w:sz w:val="28"/>
          <w:szCs w:val="28"/>
        </w:rPr>
        <w:fldChar w:fldCharType="separate"/>
      </w:r>
      <w:r>
        <w:rPr>
          <w:rFonts w:ascii="宋体" w:hAnsi="宋体" w:eastAsia="宋体"/>
          <w:color w:val="auto"/>
          <w:sz w:val="28"/>
          <w:szCs w:val="28"/>
        </w:rPr>
        <w:t>53</w:t>
      </w:r>
      <w:r>
        <w:rPr>
          <w:rFonts w:ascii="宋体" w:hAnsi="宋体" w:eastAsia="宋体"/>
          <w:color w:val="auto"/>
          <w:sz w:val="28"/>
          <w:szCs w:val="28"/>
        </w:rPr>
        <w:fldChar w:fldCharType="end"/>
      </w:r>
    </w:p>
    <w:p>
      <w:pPr>
        <w:pStyle w:val="36"/>
        <w:tabs>
          <w:tab w:val="right" w:leader="dot" w:pos="9730"/>
        </w:tabs>
        <w:spacing w:line="560" w:lineRule="exact"/>
        <w:rPr>
          <w:rFonts w:ascii="宋体" w:hAnsi="宋体" w:eastAsia="宋体" w:cstheme="minorBidi"/>
          <w:smallCaps w:val="0"/>
          <w:color w:val="auto"/>
          <w:kern w:val="2"/>
          <w:sz w:val="28"/>
          <w:szCs w:val="28"/>
          <w:lang w:val="en-US" w:eastAsia="zh-CN" w:bidi="ar-SA"/>
        </w:rPr>
      </w:pPr>
      <w:r>
        <w:rPr>
          <w:rFonts w:ascii="宋体" w:hAnsi="宋体" w:eastAsia="宋体" w:cs="Times New Roman"/>
          <w:bCs/>
          <w:color w:val="auto"/>
          <w:kern w:val="2"/>
          <w:sz w:val="28"/>
          <w:szCs w:val="28"/>
          <w:lang w:val="en-US" w:eastAsia="zh-CN"/>
        </w:rPr>
        <w:t>9.3</w:t>
      </w:r>
      <w:r>
        <w:rPr>
          <w:rFonts w:hint="eastAsia" w:ascii="宋体" w:hAnsi="宋体" w:eastAsia="宋体" w:cs="Times New Roman"/>
          <w:bCs/>
          <w:color w:val="auto"/>
          <w:kern w:val="2"/>
          <w:sz w:val="28"/>
          <w:szCs w:val="28"/>
          <w:lang w:val="en-US" w:eastAsia="zh-CN"/>
        </w:rPr>
        <w:t>日常安全生产管理情况</w:t>
      </w:r>
      <w:r>
        <w:rPr>
          <w:rFonts w:ascii="宋体" w:hAnsi="宋体" w:eastAsia="宋体"/>
          <w:color w:val="auto"/>
          <w:sz w:val="28"/>
          <w:szCs w:val="28"/>
        </w:rPr>
        <w:tab/>
      </w:r>
      <w:r>
        <w:rPr>
          <w:rFonts w:ascii="宋体" w:hAnsi="宋体" w:eastAsia="宋体"/>
          <w:color w:val="auto"/>
          <w:sz w:val="28"/>
          <w:szCs w:val="28"/>
        </w:rPr>
        <w:fldChar w:fldCharType="begin"/>
      </w:r>
      <w:r>
        <w:rPr>
          <w:rFonts w:ascii="宋体" w:hAnsi="宋体" w:eastAsia="宋体"/>
          <w:color w:val="auto"/>
          <w:sz w:val="28"/>
          <w:szCs w:val="28"/>
        </w:rPr>
        <w:instrText xml:space="preserve"> PAGEREF _Toc40045920 \h </w:instrText>
      </w:r>
      <w:r>
        <w:rPr>
          <w:rFonts w:ascii="宋体" w:hAnsi="宋体" w:eastAsia="宋体"/>
          <w:color w:val="auto"/>
          <w:sz w:val="28"/>
          <w:szCs w:val="28"/>
        </w:rPr>
        <w:fldChar w:fldCharType="separate"/>
      </w:r>
      <w:r>
        <w:rPr>
          <w:rFonts w:ascii="宋体" w:hAnsi="宋体" w:eastAsia="宋体"/>
          <w:color w:val="auto"/>
          <w:sz w:val="28"/>
          <w:szCs w:val="28"/>
        </w:rPr>
        <w:t>54</w:t>
      </w:r>
      <w:r>
        <w:rPr>
          <w:rFonts w:ascii="宋体" w:hAnsi="宋体" w:eastAsia="宋体"/>
          <w:color w:val="auto"/>
          <w:sz w:val="28"/>
          <w:szCs w:val="28"/>
        </w:rPr>
        <w:fldChar w:fldCharType="end"/>
      </w:r>
    </w:p>
    <w:p>
      <w:pPr>
        <w:pStyle w:val="36"/>
        <w:tabs>
          <w:tab w:val="right" w:leader="dot" w:pos="9730"/>
        </w:tabs>
        <w:spacing w:line="560" w:lineRule="exact"/>
        <w:rPr>
          <w:rFonts w:ascii="宋体" w:hAnsi="宋体" w:eastAsia="宋体" w:cstheme="minorBidi"/>
          <w:smallCaps w:val="0"/>
          <w:color w:val="auto"/>
          <w:kern w:val="2"/>
          <w:sz w:val="28"/>
          <w:szCs w:val="28"/>
          <w:lang w:val="en-US" w:eastAsia="zh-CN" w:bidi="ar-SA"/>
        </w:rPr>
      </w:pPr>
      <w:r>
        <w:rPr>
          <w:rFonts w:ascii="宋体" w:hAnsi="宋体" w:eastAsia="宋体" w:cs="Times New Roman"/>
          <w:bCs/>
          <w:color w:val="auto"/>
          <w:kern w:val="2"/>
          <w:sz w:val="28"/>
          <w:szCs w:val="28"/>
          <w:lang w:val="en-US" w:eastAsia="zh-CN"/>
        </w:rPr>
        <w:t>9.4</w:t>
      </w:r>
      <w:r>
        <w:rPr>
          <w:rFonts w:hint="eastAsia" w:ascii="宋体" w:hAnsi="宋体" w:eastAsia="宋体" w:cs="Times New Roman"/>
          <w:bCs/>
          <w:color w:val="auto"/>
          <w:kern w:val="2"/>
          <w:sz w:val="28"/>
          <w:szCs w:val="28"/>
          <w:lang w:val="en-US" w:eastAsia="zh-CN"/>
        </w:rPr>
        <w:t>生产安全事故情况</w:t>
      </w:r>
      <w:r>
        <w:rPr>
          <w:rFonts w:ascii="宋体" w:hAnsi="宋体" w:eastAsia="宋体"/>
          <w:color w:val="auto"/>
          <w:sz w:val="28"/>
          <w:szCs w:val="28"/>
        </w:rPr>
        <w:tab/>
      </w:r>
      <w:r>
        <w:rPr>
          <w:rFonts w:ascii="宋体" w:hAnsi="宋体" w:eastAsia="宋体"/>
          <w:color w:val="auto"/>
          <w:sz w:val="28"/>
          <w:szCs w:val="28"/>
        </w:rPr>
        <w:fldChar w:fldCharType="begin"/>
      </w:r>
      <w:r>
        <w:rPr>
          <w:rFonts w:ascii="宋体" w:hAnsi="宋体" w:eastAsia="宋体"/>
          <w:color w:val="auto"/>
          <w:sz w:val="28"/>
          <w:szCs w:val="28"/>
        </w:rPr>
        <w:instrText xml:space="preserve"> PAGEREF _Toc40045921 \h </w:instrText>
      </w:r>
      <w:r>
        <w:rPr>
          <w:rFonts w:ascii="宋体" w:hAnsi="宋体" w:eastAsia="宋体"/>
          <w:color w:val="auto"/>
          <w:sz w:val="28"/>
          <w:szCs w:val="28"/>
        </w:rPr>
        <w:fldChar w:fldCharType="separate"/>
      </w:r>
      <w:r>
        <w:rPr>
          <w:rFonts w:ascii="宋体" w:hAnsi="宋体" w:eastAsia="宋体"/>
          <w:color w:val="auto"/>
          <w:sz w:val="28"/>
          <w:szCs w:val="28"/>
        </w:rPr>
        <w:t>55</w:t>
      </w:r>
      <w:r>
        <w:rPr>
          <w:rFonts w:ascii="宋体" w:hAnsi="宋体" w:eastAsia="宋体"/>
          <w:color w:val="auto"/>
          <w:sz w:val="28"/>
          <w:szCs w:val="28"/>
        </w:rPr>
        <w:fldChar w:fldCharType="end"/>
      </w:r>
    </w:p>
    <w:p>
      <w:pPr>
        <w:pStyle w:val="36"/>
        <w:tabs>
          <w:tab w:val="right" w:leader="dot" w:pos="9730"/>
        </w:tabs>
        <w:spacing w:line="560" w:lineRule="exact"/>
        <w:rPr>
          <w:rFonts w:ascii="宋体" w:hAnsi="宋体" w:eastAsia="宋体" w:cstheme="minorBidi"/>
          <w:smallCaps w:val="0"/>
          <w:color w:val="auto"/>
          <w:kern w:val="2"/>
          <w:sz w:val="28"/>
          <w:szCs w:val="28"/>
          <w:lang w:val="en-US" w:eastAsia="zh-CN" w:bidi="ar-SA"/>
        </w:rPr>
      </w:pPr>
      <w:r>
        <w:rPr>
          <w:rFonts w:ascii="宋体" w:hAnsi="宋体" w:eastAsia="宋体" w:cs="Times New Roman"/>
          <w:bCs/>
          <w:color w:val="auto"/>
          <w:kern w:val="2"/>
          <w:sz w:val="28"/>
          <w:szCs w:val="28"/>
          <w:lang w:val="en-US" w:eastAsia="zh-CN"/>
        </w:rPr>
        <w:t>9.5</w:t>
      </w:r>
      <w:r>
        <w:rPr>
          <w:rFonts w:hint="eastAsia" w:ascii="宋体" w:hAnsi="宋体" w:eastAsia="宋体" w:cs="Times New Roman"/>
          <w:bCs/>
          <w:color w:val="auto"/>
          <w:kern w:val="2"/>
          <w:sz w:val="28"/>
          <w:szCs w:val="28"/>
          <w:lang w:val="en-US" w:eastAsia="zh-CN"/>
        </w:rPr>
        <w:t>从业人员安全条件</w:t>
      </w:r>
      <w:r>
        <w:rPr>
          <w:rFonts w:ascii="宋体" w:hAnsi="宋体" w:eastAsia="宋体" w:cs="Times New Roman"/>
          <w:bCs/>
          <w:color w:val="auto"/>
          <w:kern w:val="2"/>
          <w:sz w:val="28"/>
          <w:szCs w:val="28"/>
          <w:lang w:val="en-US" w:eastAsia="zh-CN"/>
        </w:rPr>
        <w:t>(</w:t>
      </w:r>
      <w:r>
        <w:rPr>
          <w:rFonts w:hint="eastAsia" w:ascii="宋体" w:hAnsi="宋体" w:eastAsia="宋体" w:cs="Times New Roman"/>
          <w:bCs/>
          <w:color w:val="auto"/>
          <w:kern w:val="2"/>
          <w:sz w:val="28"/>
          <w:szCs w:val="28"/>
          <w:lang w:val="en-US" w:eastAsia="zh-CN"/>
        </w:rPr>
        <w:t>安全教育培训</w:t>
      </w:r>
      <w:r>
        <w:rPr>
          <w:rFonts w:ascii="宋体" w:hAnsi="宋体" w:eastAsia="宋体" w:cs="Times New Roman"/>
          <w:bCs/>
          <w:color w:val="auto"/>
          <w:kern w:val="2"/>
          <w:sz w:val="28"/>
          <w:szCs w:val="28"/>
          <w:lang w:val="en-US" w:eastAsia="zh-CN"/>
        </w:rPr>
        <w:t>)</w:t>
      </w:r>
      <w:r>
        <w:rPr>
          <w:rFonts w:hint="eastAsia" w:ascii="宋体" w:hAnsi="宋体" w:eastAsia="宋体" w:cs="Times New Roman"/>
          <w:bCs/>
          <w:color w:val="auto"/>
          <w:kern w:val="2"/>
          <w:sz w:val="28"/>
          <w:szCs w:val="28"/>
          <w:lang w:val="en-US" w:eastAsia="zh-CN"/>
        </w:rPr>
        <w:t>情况</w:t>
      </w:r>
      <w:r>
        <w:rPr>
          <w:rFonts w:ascii="宋体" w:hAnsi="宋体" w:eastAsia="宋体"/>
          <w:color w:val="auto"/>
          <w:sz w:val="28"/>
          <w:szCs w:val="28"/>
        </w:rPr>
        <w:tab/>
      </w:r>
      <w:r>
        <w:rPr>
          <w:rFonts w:ascii="宋体" w:hAnsi="宋体" w:eastAsia="宋体"/>
          <w:color w:val="auto"/>
          <w:sz w:val="28"/>
          <w:szCs w:val="28"/>
        </w:rPr>
        <w:fldChar w:fldCharType="begin"/>
      </w:r>
      <w:r>
        <w:rPr>
          <w:rFonts w:ascii="宋体" w:hAnsi="宋体" w:eastAsia="宋体"/>
          <w:color w:val="auto"/>
          <w:sz w:val="28"/>
          <w:szCs w:val="28"/>
        </w:rPr>
        <w:instrText xml:space="preserve"> PAGEREF _Toc40045922 \h </w:instrText>
      </w:r>
      <w:r>
        <w:rPr>
          <w:rFonts w:ascii="宋体" w:hAnsi="宋体" w:eastAsia="宋体"/>
          <w:color w:val="auto"/>
          <w:sz w:val="28"/>
          <w:szCs w:val="28"/>
        </w:rPr>
        <w:fldChar w:fldCharType="separate"/>
      </w:r>
      <w:r>
        <w:rPr>
          <w:rFonts w:ascii="宋体" w:hAnsi="宋体" w:eastAsia="宋体"/>
          <w:color w:val="auto"/>
          <w:sz w:val="28"/>
          <w:szCs w:val="28"/>
        </w:rPr>
        <w:t>56</w:t>
      </w:r>
      <w:r>
        <w:rPr>
          <w:rFonts w:ascii="宋体" w:hAnsi="宋体" w:eastAsia="宋体"/>
          <w:color w:val="auto"/>
          <w:sz w:val="28"/>
          <w:szCs w:val="28"/>
        </w:rPr>
        <w:fldChar w:fldCharType="end"/>
      </w:r>
    </w:p>
    <w:p>
      <w:pPr>
        <w:pStyle w:val="36"/>
        <w:tabs>
          <w:tab w:val="right" w:leader="dot" w:pos="9730"/>
        </w:tabs>
        <w:spacing w:line="560" w:lineRule="exact"/>
        <w:rPr>
          <w:rFonts w:ascii="宋体" w:hAnsi="宋体" w:eastAsia="宋体" w:cstheme="minorBidi"/>
          <w:smallCaps w:val="0"/>
          <w:color w:val="auto"/>
          <w:kern w:val="2"/>
          <w:sz w:val="28"/>
          <w:szCs w:val="28"/>
          <w:lang w:val="en-US" w:eastAsia="zh-CN" w:bidi="ar-SA"/>
        </w:rPr>
      </w:pPr>
      <w:r>
        <w:rPr>
          <w:rFonts w:ascii="宋体" w:hAnsi="宋体" w:eastAsia="宋体" w:cs="Times New Roman"/>
          <w:bCs/>
          <w:color w:val="auto"/>
          <w:kern w:val="2"/>
          <w:sz w:val="28"/>
          <w:szCs w:val="28"/>
          <w:lang w:val="en-US" w:eastAsia="zh-CN"/>
        </w:rPr>
        <w:t>9.6</w:t>
      </w:r>
      <w:r>
        <w:rPr>
          <w:rFonts w:hint="eastAsia" w:ascii="宋体" w:hAnsi="宋体" w:eastAsia="宋体" w:cs="Times New Roman"/>
          <w:bCs/>
          <w:color w:val="auto"/>
          <w:kern w:val="2"/>
          <w:sz w:val="28"/>
          <w:szCs w:val="28"/>
          <w:lang w:val="en-US" w:eastAsia="zh-CN"/>
        </w:rPr>
        <w:t>事故应急救援预案培训和演练情况</w:t>
      </w:r>
      <w:r>
        <w:rPr>
          <w:rFonts w:ascii="宋体" w:hAnsi="宋体" w:eastAsia="宋体"/>
          <w:color w:val="auto"/>
          <w:sz w:val="28"/>
          <w:szCs w:val="28"/>
        </w:rPr>
        <w:tab/>
      </w:r>
      <w:r>
        <w:rPr>
          <w:rFonts w:ascii="宋体" w:hAnsi="宋体" w:eastAsia="宋体"/>
          <w:color w:val="auto"/>
          <w:sz w:val="28"/>
          <w:szCs w:val="28"/>
        </w:rPr>
        <w:fldChar w:fldCharType="begin"/>
      </w:r>
      <w:r>
        <w:rPr>
          <w:rFonts w:ascii="宋体" w:hAnsi="宋体" w:eastAsia="宋体"/>
          <w:color w:val="auto"/>
          <w:sz w:val="28"/>
          <w:szCs w:val="28"/>
        </w:rPr>
        <w:instrText xml:space="preserve"> PAGEREF _Toc40045923 \h </w:instrText>
      </w:r>
      <w:r>
        <w:rPr>
          <w:rFonts w:ascii="宋体" w:hAnsi="宋体" w:eastAsia="宋体"/>
          <w:color w:val="auto"/>
          <w:sz w:val="28"/>
          <w:szCs w:val="28"/>
        </w:rPr>
        <w:fldChar w:fldCharType="separate"/>
      </w:r>
      <w:r>
        <w:rPr>
          <w:rFonts w:ascii="宋体" w:hAnsi="宋体" w:eastAsia="宋体"/>
          <w:color w:val="auto"/>
          <w:sz w:val="28"/>
          <w:szCs w:val="28"/>
        </w:rPr>
        <w:t>57</w:t>
      </w:r>
      <w:r>
        <w:rPr>
          <w:rFonts w:ascii="宋体" w:hAnsi="宋体" w:eastAsia="宋体"/>
          <w:color w:val="auto"/>
          <w:sz w:val="28"/>
          <w:szCs w:val="28"/>
        </w:rPr>
        <w:fldChar w:fldCharType="end"/>
      </w:r>
    </w:p>
    <w:p>
      <w:pPr>
        <w:pStyle w:val="36"/>
        <w:tabs>
          <w:tab w:val="right" w:leader="dot" w:pos="9730"/>
        </w:tabs>
        <w:spacing w:line="560" w:lineRule="exact"/>
        <w:rPr>
          <w:rFonts w:ascii="宋体" w:hAnsi="宋体" w:eastAsia="宋体" w:cstheme="minorBidi"/>
          <w:smallCaps w:val="0"/>
          <w:color w:val="auto"/>
          <w:kern w:val="2"/>
          <w:sz w:val="28"/>
          <w:szCs w:val="28"/>
          <w:lang w:val="en-US" w:eastAsia="zh-CN" w:bidi="ar-SA"/>
        </w:rPr>
      </w:pPr>
      <w:r>
        <w:rPr>
          <w:rFonts w:ascii="宋体" w:hAnsi="宋体" w:eastAsia="宋体" w:cs="Times New Roman"/>
          <w:bCs/>
          <w:color w:val="auto"/>
          <w:kern w:val="2"/>
          <w:sz w:val="28"/>
          <w:szCs w:val="28"/>
          <w:lang w:val="en-US" w:eastAsia="zh-CN"/>
        </w:rPr>
        <w:t>9.7</w:t>
      </w:r>
      <w:r>
        <w:rPr>
          <w:rFonts w:hint="eastAsia" w:ascii="宋体" w:hAnsi="宋体" w:eastAsia="宋体" w:cs="Times New Roman"/>
          <w:bCs/>
          <w:color w:val="auto"/>
          <w:kern w:val="2"/>
          <w:sz w:val="28"/>
          <w:szCs w:val="28"/>
          <w:lang w:val="en-US" w:eastAsia="zh-CN"/>
        </w:rPr>
        <w:t>生产范围、生产场所、生产装置、储存设施等发生变化情况</w:t>
      </w:r>
      <w:r>
        <w:rPr>
          <w:rFonts w:ascii="宋体" w:hAnsi="宋体" w:eastAsia="宋体"/>
          <w:color w:val="auto"/>
          <w:sz w:val="28"/>
          <w:szCs w:val="28"/>
        </w:rPr>
        <w:tab/>
      </w:r>
      <w:r>
        <w:rPr>
          <w:rFonts w:ascii="宋体" w:hAnsi="宋体" w:eastAsia="宋体"/>
          <w:color w:val="auto"/>
          <w:sz w:val="28"/>
          <w:szCs w:val="28"/>
        </w:rPr>
        <w:fldChar w:fldCharType="begin"/>
      </w:r>
      <w:r>
        <w:rPr>
          <w:rFonts w:ascii="宋体" w:hAnsi="宋体" w:eastAsia="宋体"/>
          <w:color w:val="auto"/>
          <w:sz w:val="28"/>
          <w:szCs w:val="28"/>
        </w:rPr>
        <w:instrText xml:space="preserve"> PAGEREF _Toc40045924 \h </w:instrText>
      </w:r>
      <w:r>
        <w:rPr>
          <w:rFonts w:ascii="宋体" w:hAnsi="宋体" w:eastAsia="宋体"/>
          <w:color w:val="auto"/>
          <w:sz w:val="28"/>
          <w:szCs w:val="28"/>
        </w:rPr>
        <w:fldChar w:fldCharType="separate"/>
      </w:r>
      <w:r>
        <w:rPr>
          <w:rFonts w:ascii="宋体" w:hAnsi="宋体" w:eastAsia="宋体"/>
          <w:color w:val="auto"/>
          <w:sz w:val="28"/>
          <w:szCs w:val="28"/>
        </w:rPr>
        <w:t>58</w:t>
      </w:r>
      <w:r>
        <w:rPr>
          <w:rFonts w:ascii="宋体" w:hAnsi="宋体" w:eastAsia="宋体"/>
          <w:color w:val="auto"/>
          <w:sz w:val="28"/>
          <w:szCs w:val="28"/>
        </w:rPr>
        <w:fldChar w:fldCharType="end"/>
      </w:r>
    </w:p>
    <w:p>
      <w:pPr>
        <w:pStyle w:val="36"/>
        <w:tabs>
          <w:tab w:val="right" w:leader="dot" w:pos="9730"/>
        </w:tabs>
        <w:spacing w:line="560" w:lineRule="exact"/>
        <w:rPr>
          <w:rFonts w:ascii="宋体" w:hAnsi="宋体" w:eastAsia="宋体" w:cstheme="minorBidi"/>
          <w:smallCaps w:val="0"/>
          <w:color w:val="auto"/>
          <w:kern w:val="2"/>
          <w:sz w:val="28"/>
          <w:szCs w:val="28"/>
          <w:lang w:val="en-US" w:eastAsia="zh-CN" w:bidi="ar-SA"/>
        </w:rPr>
      </w:pPr>
      <w:r>
        <w:rPr>
          <w:rFonts w:ascii="宋体" w:hAnsi="宋体" w:eastAsia="宋体" w:cs="Times New Roman"/>
          <w:bCs/>
          <w:color w:val="auto"/>
          <w:kern w:val="2"/>
          <w:sz w:val="28"/>
          <w:szCs w:val="28"/>
          <w:lang w:val="en-US" w:eastAsia="zh-CN"/>
        </w:rPr>
        <w:t>9.8</w:t>
      </w:r>
      <w:r>
        <w:rPr>
          <w:rFonts w:hint="eastAsia" w:ascii="宋体" w:hAnsi="宋体" w:eastAsia="宋体" w:cs="Times New Roman"/>
          <w:bCs/>
          <w:color w:val="auto"/>
          <w:kern w:val="2"/>
          <w:sz w:val="28"/>
          <w:szCs w:val="28"/>
          <w:lang w:val="en-US" w:eastAsia="zh-CN"/>
        </w:rPr>
        <w:t>重点监管的危险化学品采取的安全监控措施情况</w:t>
      </w:r>
      <w:r>
        <w:rPr>
          <w:rFonts w:ascii="宋体" w:hAnsi="宋体" w:eastAsia="宋体"/>
          <w:color w:val="auto"/>
          <w:sz w:val="28"/>
          <w:szCs w:val="28"/>
        </w:rPr>
        <w:tab/>
      </w:r>
      <w:r>
        <w:rPr>
          <w:rFonts w:ascii="宋体" w:hAnsi="宋体" w:eastAsia="宋体"/>
          <w:color w:val="auto"/>
          <w:sz w:val="28"/>
          <w:szCs w:val="28"/>
        </w:rPr>
        <w:fldChar w:fldCharType="begin"/>
      </w:r>
      <w:r>
        <w:rPr>
          <w:rFonts w:ascii="宋体" w:hAnsi="宋体" w:eastAsia="宋体"/>
          <w:color w:val="auto"/>
          <w:sz w:val="28"/>
          <w:szCs w:val="28"/>
        </w:rPr>
        <w:instrText xml:space="preserve"> PAGEREF _Toc40045925 \h </w:instrText>
      </w:r>
      <w:r>
        <w:rPr>
          <w:rFonts w:ascii="宋体" w:hAnsi="宋体" w:eastAsia="宋体"/>
          <w:color w:val="auto"/>
          <w:sz w:val="28"/>
          <w:szCs w:val="28"/>
        </w:rPr>
        <w:fldChar w:fldCharType="separate"/>
      </w:r>
      <w:r>
        <w:rPr>
          <w:rFonts w:ascii="宋体" w:hAnsi="宋体" w:eastAsia="宋体"/>
          <w:color w:val="auto"/>
          <w:sz w:val="28"/>
          <w:szCs w:val="28"/>
        </w:rPr>
        <w:t>58</w:t>
      </w:r>
      <w:r>
        <w:rPr>
          <w:rFonts w:ascii="宋体" w:hAnsi="宋体" w:eastAsia="宋体"/>
          <w:color w:val="auto"/>
          <w:sz w:val="28"/>
          <w:szCs w:val="28"/>
        </w:rPr>
        <w:fldChar w:fldCharType="end"/>
      </w:r>
    </w:p>
    <w:p>
      <w:pPr>
        <w:pStyle w:val="36"/>
        <w:tabs>
          <w:tab w:val="right" w:leader="dot" w:pos="9730"/>
        </w:tabs>
        <w:spacing w:line="560" w:lineRule="exact"/>
        <w:rPr>
          <w:rFonts w:ascii="宋体" w:hAnsi="宋体" w:eastAsia="宋体" w:cstheme="minorBidi"/>
          <w:smallCaps w:val="0"/>
          <w:color w:val="auto"/>
          <w:kern w:val="2"/>
          <w:sz w:val="28"/>
          <w:szCs w:val="28"/>
          <w:lang w:val="en-US" w:eastAsia="zh-CN" w:bidi="ar-SA"/>
        </w:rPr>
      </w:pPr>
      <w:r>
        <w:rPr>
          <w:rFonts w:ascii="宋体" w:hAnsi="宋体" w:eastAsia="宋体" w:cs="Times New Roman"/>
          <w:bCs/>
          <w:color w:val="auto"/>
          <w:kern w:val="2"/>
          <w:sz w:val="28"/>
          <w:szCs w:val="28"/>
          <w:lang w:val="en-US" w:eastAsia="zh-CN"/>
        </w:rPr>
        <w:t>9.9</w:t>
      </w:r>
      <w:r>
        <w:rPr>
          <w:rFonts w:hint="eastAsia" w:ascii="宋体" w:hAnsi="宋体" w:eastAsia="宋体" w:cs="Times New Roman"/>
          <w:bCs/>
          <w:color w:val="auto"/>
          <w:kern w:val="2"/>
          <w:sz w:val="28"/>
          <w:szCs w:val="28"/>
          <w:lang w:val="en-US" w:eastAsia="zh-CN"/>
        </w:rPr>
        <w:t>安全设施设备合规性专项评价</w:t>
      </w:r>
      <w:r>
        <w:rPr>
          <w:rFonts w:ascii="宋体" w:hAnsi="宋体" w:eastAsia="宋体"/>
          <w:color w:val="auto"/>
          <w:sz w:val="28"/>
          <w:szCs w:val="28"/>
        </w:rPr>
        <w:tab/>
      </w:r>
      <w:r>
        <w:rPr>
          <w:rFonts w:ascii="宋体" w:hAnsi="宋体" w:eastAsia="宋体"/>
          <w:color w:val="auto"/>
          <w:sz w:val="28"/>
          <w:szCs w:val="28"/>
        </w:rPr>
        <w:fldChar w:fldCharType="begin"/>
      </w:r>
      <w:r>
        <w:rPr>
          <w:rFonts w:ascii="宋体" w:hAnsi="宋体" w:eastAsia="宋体"/>
          <w:color w:val="auto"/>
          <w:sz w:val="28"/>
          <w:szCs w:val="28"/>
        </w:rPr>
        <w:instrText xml:space="preserve"> PAGEREF _Toc40045926 \h </w:instrText>
      </w:r>
      <w:r>
        <w:rPr>
          <w:rFonts w:ascii="宋体" w:hAnsi="宋体" w:eastAsia="宋体"/>
          <w:color w:val="auto"/>
          <w:sz w:val="28"/>
          <w:szCs w:val="28"/>
        </w:rPr>
        <w:fldChar w:fldCharType="separate"/>
      </w:r>
      <w:r>
        <w:rPr>
          <w:rFonts w:ascii="宋体" w:hAnsi="宋体" w:eastAsia="宋体"/>
          <w:color w:val="auto"/>
          <w:sz w:val="28"/>
          <w:szCs w:val="28"/>
        </w:rPr>
        <w:t>58</w:t>
      </w:r>
      <w:r>
        <w:rPr>
          <w:rFonts w:ascii="宋体" w:hAnsi="宋体" w:eastAsia="宋体"/>
          <w:color w:val="auto"/>
          <w:sz w:val="28"/>
          <w:szCs w:val="28"/>
        </w:rPr>
        <w:fldChar w:fldCharType="end"/>
      </w:r>
    </w:p>
    <w:p>
      <w:pPr>
        <w:pStyle w:val="31"/>
        <w:tabs>
          <w:tab w:val="right" w:leader="dot" w:pos="9730"/>
        </w:tabs>
        <w:spacing w:line="560" w:lineRule="exact"/>
        <w:rPr>
          <w:rFonts w:ascii="宋体" w:hAnsi="宋体" w:eastAsia="宋体" w:cstheme="minorBidi"/>
          <w:b w:val="0"/>
          <w:bCs w:val="0"/>
          <w:caps w:val="0"/>
          <w:color w:val="auto"/>
          <w:kern w:val="2"/>
          <w:sz w:val="28"/>
          <w:szCs w:val="28"/>
          <w:lang w:val="en-US" w:eastAsia="zh-CN" w:bidi="ar-SA"/>
        </w:rPr>
      </w:pPr>
      <w:r>
        <w:rPr>
          <w:rFonts w:ascii="宋体" w:hAnsi="宋体" w:eastAsia="宋体"/>
          <w:color w:val="auto"/>
          <w:sz w:val="28"/>
          <w:szCs w:val="28"/>
        </w:rPr>
        <w:t>10</w:t>
      </w:r>
      <w:r>
        <w:rPr>
          <w:rFonts w:hint="eastAsia" w:ascii="宋体" w:hAnsi="宋体" w:eastAsia="宋体"/>
          <w:color w:val="auto"/>
          <w:sz w:val="28"/>
          <w:szCs w:val="28"/>
        </w:rPr>
        <w:t>企业清净下水措施</w:t>
      </w:r>
      <w:r>
        <w:rPr>
          <w:rFonts w:ascii="宋体" w:hAnsi="宋体" w:eastAsia="宋体"/>
          <w:color w:val="auto"/>
          <w:sz w:val="28"/>
          <w:szCs w:val="28"/>
        </w:rPr>
        <w:tab/>
      </w:r>
      <w:r>
        <w:rPr>
          <w:rFonts w:ascii="宋体" w:hAnsi="宋体" w:eastAsia="宋体"/>
          <w:color w:val="auto"/>
          <w:sz w:val="28"/>
          <w:szCs w:val="28"/>
        </w:rPr>
        <w:fldChar w:fldCharType="begin"/>
      </w:r>
      <w:r>
        <w:rPr>
          <w:rFonts w:ascii="宋体" w:hAnsi="宋体" w:eastAsia="宋体"/>
          <w:color w:val="auto"/>
          <w:sz w:val="28"/>
          <w:szCs w:val="28"/>
        </w:rPr>
        <w:instrText xml:space="preserve"> PAGEREF _Toc40045927 \h </w:instrText>
      </w:r>
      <w:r>
        <w:rPr>
          <w:rFonts w:ascii="宋体" w:hAnsi="宋体" w:eastAsia="宋体"/>
          <w:color w:val="auto"/>
          <w:sz w:val="28"/>
          <w:szCs w:val="28"/>
        </w:rPr>
        <w:fldChar w:fldCharType="separate"/>
      </w:r>
      <w:r>
        <w:rPr>
          <w:rFonts w:ascii="宋体" w:hAnsi="宋体" w:eastAsia="宋体"/>
          <w:color w:val="auto"/>
          <w:sz w:val="28"/>
          <w:szCs w:val="28"/>
        </w:rPr>
        <w:t>61</w:t>
      </w:r>
      <w:r>
        <w:rPr>
          <w:rFonts w:ascii="宋体" w:hAnsi="宋体" w:eastAsia="宋体"/>
          <w:color w:val="auto"/>
          <w:sz w:val="28"/>
          <w:szCs w:val="28"/>
        </w:rPr>
        <w:fldChar w:fldCharType="end"/>
      </w:r>
    </w:p>
    <w:p>
      <w:pPr>
        <w:pStyle w:val="31"/>
        <w:tabs>
          <w:tab w:val="right" w:leader="dot" w:pos="9730"/>
        </w:tabs>
        <w:spacing w:line="560" w:lineRule="exact"/>
        <w:rPr>
          <w:rFonts w:ascii="宋体" w:hAnsi="宋体" w:eastAsia="宋体" w:cstheme="minorBidi"/>
          <w:b w:val="0"/>
          <w:bCs w:val="0"/>
          <w:caps w:val="0"/>
          <w:color w:val="auto"/>
          <w:kern w:val="2"/>
          <w:sz w:val="28"/>
          <w:szCs w:val="28"/>
          <w:lang w:val="en-US" w:eastAsia="zh-CN" w:bidi="ar-SA"/>
        </w:rPr>
      </w:pPr>
      <w:r>
        <w:rPr>
          <w:rFonts w:ascii="宋体" w:hAnsi="宋体" w:eastAsia="宋体"/>
          <w:color w:val="auto"/>
          <w:sz w:val="28"/>
          <w:szCs w:val="28"/>
        </w:rPr>
        <w:t>11</w:t>
      </w:r>
      <w:r>
        <w:rPr>
          <w:rFonts w:hint="eastAsia" w:ascii="宋体" w:hAnsi="宋体" w:eastAsia="宋体"/>
          <w:color w:val="auto"/>
          <w:sz w:val="28"/>
          <w:szCs w:val="28"/>
        </w:rPr>
        <w:t>对策措施与建议</w:t>
      </w:r>
      <w:r>
        <w:rPr>
          <w:rFonts w:ascii="宋体" w:hAnsi="宋体" w:eastAsia="宋体"/>
          <w:color w:val="auto"/>
          <w:sz w:val="28"/>
          <w:szCs w:val="28"/>
        </w:rPr>
        <w:tab/>
      </w:r>
      <w:r>
        <w:rPr>
          <w:rFonts w:ascii="宋体" w:hAnsi="宋体" w:eastAsia="宋体"/>
          <w:color w:val="auto"/>
          <w:sz w:val="28"/>
          <w:szCs w:val="28"/>
        </w:rPr>
        <w:fldChar w:fldCharType="begin"/>
      </w:r>
      <w:r>
        <w:rPr>
          <w:rFonts w:ascii="宋体" w:hAnsi="宋体" w:eastAsia="宋体"/>
          <w:color w:val="auto"/>
          <w:sz w:val="28"/>
          <w:szCs w:val="28"/>
        </w:rPr>
        <w:instrText xml:space="preserve"> PAGEREF _Toc40045928 \h </w:instrText>
      </w:r>
      <w:r>
        <w:rPr>
          <w:rFonts w:ascii="宋体" w:hAnsi="宋体" w:eastAsia="宋体"/>
          <w:color w:val="auto"/>
          <w:sz w:val="28"/>
          <w:szCs w:val="28"/>
        </w:rPr>
        <w:fldChar w:fldCharType="separate"/>
      </w:r>
      <w:r>
        <w:rPr>
          <w:rFonts w:ascii="宋体" w:hAnsi="宋体" w:eastAsia="宋体"/>
          <w:color w:val="auto"/>
          <w:sz w:val="28"/>
          <w:szCs w:val="28"/>
        </w:rPr>
        <w:t>62</w:t>
      </w:r>
      <w:r>
        <w:rPr>
          <w:rFonts w:ascii="宋体" w:hAnsi="宋体" w:eastAsia="宋体"/>
          <w:color w:val="auto"/>
          <w:sz w:val="28"/>
          <w:szCs w:val="28"/>
        </w:rPr>
        <w:fldChar w:fldCharType="end"/>
      </w:r>
    </w:p>
    <w:p>
      <w:pPr>
        <w:pStyle w:val="36"/>
        <w:tabs>
          <w:tab w:val="right" w:leader="dot" w:pos="9730"/>
        </w:tabs>
        <w:spacing w:line="560" w:lineRule="exact"/>
        <w:rPr>
          <w:rFonts w:ascii="宋体" w:hAnsi="宋体" w:eastAsia="宋体" w:cstheme="minorBidi"/>
          <w:smallCaps w:val="0"/>
          <w:color w:val="auto"/>
          <w:kern w:val="2"/>
          <w:sz w:val="28"/>
          <w:szCs w:val="28"/>
          <w:lang w:val="en-US" w:eastAsia="zh-CN" w:bidi="ar-SA"/>
        </w:rPr>
      </w:pPr>
      <w:r>
        <w:rPr>
          <w:rFonts w:ascii="宋体" w:hAnsi="宋体" w:eastAsia="宋体" w:cs="Times New Roman"/>
          <w:bCs/>
          <w:color w:val="auto"/>
          <w:kern w:val="2"/>
          <w:sz w:val="28"/>
          <w:szCs w:val="28"/>
          <w:lang w:val="en-US" w:eastAsia="zh-CN"/>
        </w:rPr>
        <w:t>11.1</w:t>
      </w:r>
      <w:r>
        <w:rPr>
          <w:rFonts w:hint="eastAsia" w:ascii="宋体" w:hAnsi="宋体" w:eastAsia="宋体" w:cs="Times New Roman"/>
          <w:bCs/>
          <w:color w:val="auto"/>
          <w:kern w:val="2"/>
          <w:sz w:val="28"/>
          <w:szCs w:val="28"/>
          <w:lang w:val="en-US" w:eastAsia="zh-CN"/>
        </w:rPr>
        <w:t>存在的事故隐患及整改措施</w:t>
      </w:r>
      <w:r>
        <w:rPr>
          <w:rFonts w:ascii="宋体" w:hAnsi="宋体" w:eastAsia="宋体"/>
          <w:color w:val="auto"/>
          <w:sz w:val="28"/>
          <w:szCs w:val="28"/>
        </w:rPr>
        <w:tab/>
      </w:r>
      <w:r>
        <w:rPr>
          <w:rFonts w:ascii="宋体" w:hAnsi="宋体" w:eastAsia="宋体"/>
          <w:color w:val="auto"/>
          <w:sz w:val="28"/>
          <w:szCs w:val="28"/>
        </w:rPr>
        <w:fldChar w:fldCharType="begin"/>
      </w:r>
      <w:r>
        <w:rPr>
          <w:rFonts w:ascii="宋体" w:hAnsi="宋体" w:eastAsia="宋体"/>
          <w:color w:val="auto"/>
          <w:sz w:val="28"/>
          <w:szCs w:val="28"/>
        </w:rPr>
        <w:instrText xml:space="preserve"> PAGEREF _Toc40045929 \h </w:instrText>
      </w:r>
      <w:r>
        <w:rPr>
          <w:rFonts w:ascii="宋体" w:hAnsi="宋体" w:eastAsia="宋体"/>
          <w:color w:val="auto"/>
          <w:sz w:val="28"/>
          <w:szCs w:val="28"/>
        </w:rPr>
        <w:fldChar w:fldCharType="separate"/>
      </w:r>
      <w:r>
        <w:rPr>
          <w:rFonts w:ascii="宋体" w:hAnsi="宋体" w:eastAsia="宋体"/>
          <w:color w:val="auto"/>
          <w:sz w:val="28"/>
          <w:szCs w:val="28"/>
        </w:rPr>
        <w:t>62</w:t>
      </w:r>
      <w:r>
        <w:rPr>
          <w:rFonts w:ascii="宋体" w:hAnsi="宋体" w:eastAsia="宋体"/>
          <w:color w:val="auto"/>
          <w:sz w:val="28"/>
          <w:szCs w:val="28"/>
        </w:rPr>
        <w:fldChar w:fldCharType="end"/>
      </w:r>
    </w:p>
    <w:p>
      <w:pPr>
        <w:pStyle w:val="36"/>
        <w:tabs>
          <w:tab w:val="right" w:leader="dot" w:pos="9730"/>
        </w:tabs>
        <w:spacing w:line="560" w:lineRule="exact"/>
        <w:rPr>
          <w:rFonts w:ascii="宋体" w:hAnsi="宋体" w:eastAsia="宋体" w:cstheme="minorBidi"/>
          <w:smallCaps w:val="0"/>
          <w:color w:val="auto"/>
          <w:kern w:val="2"/>
          <w:sz w:val="28"/>
          <w:szCs w:val="28"/>
          <w:lang w:val="en-US" w:eastAsia="zh-CN" w:bidi="ar-SA"/>
        </w:rPr>
      </w:pPr>
      <w:r>
        <w:rPr>
          <w:rFonts w:ascii="宋体" w:hAnsi="宋体" w:eastAsia="宋体" w:cs="Times New Roman"/>
          <w:bCs/>
          <w:color w:val="auto"/>
          <w:kern w:val="2"/>
          <w:sz w:val="28"/>
          <w:szCs w:val="28"/>
          <w:lang w:val="en-US" w:eastAsia="zh-CN"/>
        </w:rPr>
        <w:t>11.2</w:t>
      </w:r>
      <w:r>
        <w:rPr>
          <w:rFonts w:hint="eastAsia" w:ascii="宋体" w:hAnsi="宋体" w:eastAsia="宋体" w:cs="Times New Roman"/>
          <w:bCs/>
          <w:color w:val="auto"/>
          <w:kern w:val="2"/>
          <w:sz w:val="28"/>
          <w:szCs w:val="28"/>
          <w:lang w:val="en-US" w:eastAsia="zh-CN"/>
        </w:rPr>
        <w:t>建议补充的安全对策措施</w:t>
      </w:r>
      <w:r>
        <w:rPr>
          <w:rFonts w:ascii="宋体" w:hAnsi="宋体" w:eastAsia="宋体"/>
          <w:color w:val="auto"/>
          <w:sz w:val="28"/>
          <w:szCs w:val="28"/>
        </w:rPr>
        <w:tab/>
      </w:r>
      <w:r>
        <w:rPr>
          <w:rFonts w:ascii="宋体" w:hAnsi="宋体" w:eastAsia="宋体"/>
          <w:color w:val="auto"/>
          <w:sz w:val="28"/>
          <w:szCs w:val="28"/>
        </w:rPr>
        <w:fldChar w:fldCharType="begin"/>
      </w:r>
      <w:r>
        <w:rPr>
          <w:rFonts w:ascii="宋体" w:hAnsi="宋体" w:eastAsia="宋体"/>
          <w:color w:val="auto"/>
          <w:sz w:val="28"/>
          <w:szCs w:val="28"/>
        </w:rPr>
        <w:instrText xml:space="preserve"> PAGEREF _Toc40045930 \h </w:instrText>
      </w:r>
      <w:r>
        <w:rPr>
          <w:rFonts w:ascii="宋体" w:hAnsi="宋体" w:eastAsia="宋体"/>
          <w:color w:val="auto"/>
          <w:sz w:val="28"/>
          <w:szCs w:val="28"/>
        </w:rPr>
        <w:fldChar w:fldCharType="separate"/>
      </w:r>
      <w:r>
        <w:rPr>
          <w:rFonts w:ascii="宋体" w:hAnsi="宋体" w:eastAsia="宋体"/>
          <w:color w:val="auto"/>
          <w:sz w:val="28"/>
          <w:szCs w:val="28"/>
        </w:rPr>
        <w:t>62</w:t>
      </w:r>
      <w:r>
        <w:rPr>
          <w:rFonts w:ascii="宋体" w:hAnsi="宋体" w:eastAsia="宋体"/>
          <w:color w:val="auto"/>
          <w:sz w:val="28"/>
          <w:szCs w:val="28"/>
        </w:rPr>
        <w:fldChar w:fldCharType="end"/>
      </w:r>
    </w:p>
    <w:p>
      <w:pPr>
        <w:pStyle w:val="36"/>
        <w:tabs>
          <w:tab w:val="right" w:leader="dot" w:pos="9730"/>
        </w:tabs>
        <w:spacing w:line="560" w:lineRule="exact"/>
        <w:rPr>
          <w:rFonts w:ascii="宋体" w:hAnsi="宋体" w:eastAsia="宋体" w:cstheme="minorBidi"/>
          <w:smallCaps w:val="0"/>
          <w:color w:val="auto"/>
          <w:kern w:val="2"/>
          <w:sz w:val="28"/>
          <w:szCs w:val="28"/>
          <w:lang w:val="en-US" w:eastAsia="zh-CN" w:bidi="ar-SA"/>
        </w:rPr>
      </w:pPr>
      <w:r>
        <w:rPr>
          <w:rFonts w:ascii="宋体" w:hAnsi="宋体" w:eastAsia="宋体" w:cs="Times New Roman"/>
          <w:bCs/>
          <w:color w:val="auto"/>
          <w:kern w:val="2"/>
          <w:sz w:val="28"/>
          <w:szCs w:val="28"/>
          <w:lang w:val="en-US" w:eastAsia="zh-CN"/>
        </w:rPr>
        <w:t>11.3</w:t>
      </w:r>
      <w:r>
        <w:rPr>
          <w:rFonts w:hint="eastAsia" w:ascii="宋体" w:hAnsi="宋体" w:eastAsia="宋体" w:cs="Times New Roman"/>
          <w:bCs/>
          <w:color w:val="auto"/>
          <w:kern w:val="2"/>
          <w:sz w:val="28"/>
          <w:szCs w:val="28"/>
          <w:lang w:val="en-US" w:eastAsia="zh-CN"/>
        </w:rPr>
        <w:t>整改意见复查</w:t>
      </w:r>
      <w:r>
        <w:rPr>
          <w:rFonts w:ascii="宋体" w:hAnsi="宋体" w:eastAsia="宋体"/>
          <w:color w:val="auto"/>
          <w:sz w:val="28"/>
          <w:szCs w:val="28"/>
        </w:rPr>
        <w:tab/>
      </w:r>
      <w:r>
        <w:rPr>
          <w:rFonts w:ascii="宋体" w:hAnsi="宋体" w:eastAsia="宋体"/>
          <w:color w:val="auto"/>
          <w:sz w:val="28"/>
          <w:szCs w:val="28"/>
        </w:rPr>
        <w:fldChar w:fldCharType="begin"/>
      </w:r>
      <w:r>
        <w:rPr>
          <w:rFonts w:ascii="宋体" w:hAnsi="宋体" w:eastAsia="宋体"/>
          <w:color w:val="auto"/>
          <w:sz w:val="28"/>
          <w:szCs w:val="28"/>
        </w:rPr>
        <w:instrText xml:space="preserve"> PAGEREF _Toc40045931 \h </w:instrText>
      </w:r>
      <w:r>
        <w:rPr>
          <w:rFonts w:ascii="宋体" w:hAnsi="宋体" w:eastAsia="宋体"/>
          <w:color w:val="auto"/>
          <w:sz w:val="28"/>
          <w:szCs w:val="28"/>
        </w:rPr>
        <w:fldChar w:fldCharType="separate"/>
      </w:r>
      <w:r>
        <w:rPr>
          <w:rFonts w:ascii="宋体" w:hAnsi="宋体" w:eastAsia="宋体"/>
          <w:color w:val="auto"/>
          <w:sz w:val="28"/>
          <w:szCs w:val="28"/>
        </w:rPr>
        <w:t>65</w:t>
      </w:r>
      <w:r>
        <w:rPr>
          <w:rFonts w:ascii="宋体" w:hAnsi="宋体" w:eastAsia="宋体"/>
          <w:color w:val="auto"/>
          <w:sz w:val="28"/>
          <w:szCs w:val="28"/>
        </w:rPr>
        <w:fldChar w:fldCharType="end"/>
      </w:r>
    </w:p>
    <w:p>
      <w:pPr>
        <w:pStyle w:val="31"/>
        <w:tabs>
          <w:tab w:val="right" w:leader="dot" w:pos="9730"/>
        </w:tabs>
        <w:spacing w:line="560" w:lineRule="exact"/>
        <w:rPr>
          <w:rFonts w:ascii="宋体" w:hAnsi="宋体" w:eastAsia="宋体" w:cstheme="minorBidi"/>
          <w:b w:val="0"/>
          <w:bCs w:val="0"/>
          <w:caps w:val="0"/>
          <w:color w:val="auto"/>
          <w:kern w:val="2"/>
          <w:sz w:val="28"/>
          <w:szCs w:val="28"/>
          <w:lang w:val="en-US" w:eastAsia="zh-CN" w:bidi="ar-SA"/>
        </w:rPr>
      </w:pPr>
      <w:r>
        <w:rPr>
          <w:rFonts w:ascii="宋体" w:hAnsi="宋体" w:eastAsia="宋体"/>
          <w:color w:val="auto"/>
          <w:sz w:val="28"/>
          <w:szCs w:val="28"/>
        </w:rPr>
        <w:t>12</w:t>
      </w:r>
      <w:r>
        <w:rPr>
          <w:rFonts w:hint="eastAsia" w:ascii="宋体" w:hAnsi="宋体" w:eastAsia="宋体"/>
          <w:color w:val="auto"/>
          <w:sz w:val="28"/>
          <w:szCs w:val="28"/>
        </w:rPr>
        <w:t>安全评价结论</w:t>
      </w:r>
      <w:r>
        <w:rPr>
          <w:rFonts w:ascii="宋体" w:hAnsi="宋体" w:eastAsia="宋体"/>
          <w:color w:val="auto"/>
          <w:sz w:val="28"/>
          <w:szCs w:val="28"/>
        </w:rPr>
        <w:tab/>
      </w:r>
      <w:r>
        <w:rPr>
          <w:rFonts w:ascii="宋体" w:hAnsi="宋体" w:eastAsia="宋体"/>
          <w:color w:val="auto"/>
          <w:sz w:val="28"/>
          <w:szCs w:val="28"/>
        </w:rPr>
        <w:fldChar w:fldCharType="begin"/>
      </w:r>
      <w:r>
        <w:rPr>
          <w:rFonts w:ascii="宋体" w:hAnsi="宋体" w:eastAsia="宋体"/>
          <w:color w:val="auto"/>
          <w:sz w:val="28"/>
          <w:szCs w:val="28"/>
        </w:rPr>
        <w:instrText xml:space="preserve"> PAGEREF _Toc40045932 \h </w:instrText>
      </w:r>
      <w:r>
        <w:rPr>
          <w:rFonts w:ascii="宋体" w:hAnsi="宋体" w:eastAsia="宋体"/>
          <w:color w:val="auto"/>
          <w:sz w:val="28"/>
          <w:szCs w:val="28"/>
        </w:rPr>
        <w:fldChar w:fldCharType="separate"/>
      </w:r>
      <w:r>
        <w:rPr>
          <w:rFonts w:ascii="宋体" w:hAnsi="宋体" w:eastAsia="宋体"/>
          <w:color w:val="auto"/>
          <w:sz w:val="28"/>
          <w:szCs w:val="28"/>
        </w:rPr>
        <w:t>67</w:t>
      </w:r>
      <w:r>
        <w:rPr>
          <w:rFonts w:ascii="宋体" w:hAnsi="宋体" w:eastAsia="宋体"/>
          <w:color w:val="auto"/>
          <w:sz w:val="28"/>
          <w:szCs w:val="28"/>
        </w:rPr>
        <w:fldChar w:fldCharType="end"/>
      </w:r>
    </w:p>
    <w:p>
      <w:pPr>
        <w:pStyle w:val="36"/>
        <w:tabs>
          <w:tab w:val="right" w:leader="dot" w:pos="9730"/>
        </w:tabs>
        <w:spacing w:line="560" w:lineRule="exact"/>
        <w:rPr>
          <w:rFonts w:ascii="宋体" w:hAnsi="宋体" w:eastAsia="宋体" w:cstheme="minorBidi"/>
          <w:smallCaps w:val="0"/>
          <w:color w:val="auto"/>
          <w:kern w:val="2"/>
          <w:sz w:val="28"/>
          <w:szCs w:val="28"/>
          <w:lang w:val="en-US" w:eastAsia="zh-CN" w:bidi="ar-SA"/>
        </w:rPr>
      </w:pPr>
      <w:r>
        <w:rPr>
          <w:rFonts w:ascii="宋体" w:hAnsi="宋体" w:eastAsia="宋体" w:cs="Times New Roman"/>
          <w:bCs/>
          <w:color w:val="auto"/>
          <w:kern w:val="2"/>
          <w:sz w:val="28"/>
          <w:szCs w:val="28"/>
          <w:lang w:val="en-US" w:eastAsia="zh-CN"/>
        </w:rPr>
        <w:t>12.1</w:t>
      </w:r>
      <w:r>
        <w:rPr>
          <w:rFonts w:hint="eastAsia" w:ascii="宋体" w:hAnsi="宋体" w:eastAsia="宋体" w:cs="Times New Roman"/>
          <w:bCs/>
          <w:color w:val="auto"/>
          <w:kern w:val="2"/>
          <w:sz w:val="28"/>
          <w:szCs w:val="28"/>
          <w:lang w:val="en-US" w:eastAsia="zh-CN"/>
        </w:rPr>
        <w:t>归纳各部分危险分析结论</w:t>
      </w:r>
      <w:r>
        <w:rPr>
          <w:rFonts w:ascii="宋体" w:hAnsi="宋体" w:eastAsia="宋体"/>
          <w:color w:val="auto"/>
          <w:sz w:val="28"/>
          <w:szCs w:val="28"/>
        </w:rPr>
        <w:tab/>
      </w:r>
      <w:r>
        <w:rPr>
          <w:rFonts w:ascii="宋体" w:hAnsi="宋体" w:eastAsia="宋体"/>
          <w:color w:val="auto"/>
          <w:sz w:val="28"/>
          <w:szCs w:val="28"/>
        </w:rPr>
        <w:fldChar w:fldCharType="begin"/>
      </w:r>
      <w:r>
        <w:rPr>
          <w:rFonts w:ascii="宋体" w:hAnsi="宋体" w:eastAsia="宋体"/>
          <w:color w:val="auto"/>
          <w:sz w:val="28"/>
          <w:szCs w:val="28"/>
        </w:rPr>
        <w:instrText xml:space="preserve"> PAGEREF _Toc40045933 \h </w:instrText>
      </w:r>
      <w:r>
        <w:rPr>
          <w:rFonts w:ascii="宋体" w:hAnsi="宋体" w:eastAsia="宋体"/>
          <w:color w:val="auto"/>
          <w:sz w:val="28"/>
          <w:szCs w:val="28"/>
        </w:rPr>
        <w:fldChar w:fldCharType="separate"/>
      </w:r>
      <w:r>
        <w:rPr>
          <w:rFonts w:ascii="宋体" w:hAnsi="宋体" w:eastAsia="宋体"/>
          <w:color w:val="auto"/>
          <w:sz w:val="28"/>
          <w:szCs w:val="28"/>
        </w:rPr>
        <w:t>67</w:t>
      </w:r>
      <w:r>
        <w:rPr>
          <w:rFonts w:ascii="宋体" w:hAnsi="宋体" w:eastAsia="宋体"/>
          <w:color w:val="auto"/>
          <w:sz w:val="28"/>
          <w:szCs w:val="28"/>
        </w:rPr>
        <w:fldChar w:fldCharType="end"/>
      </w:r>
    </w:p>
    <w:p>
      <w:pPr>
        <w:pStyle w:val="36"/>
        <w:tabs>
          <w:tab w:val="right" w:leader="dot" w:pos="9730"/>
        </w:tabs>
        <w:spacing w:line="560" w:lineRule="exact"/>
        <w:rPr>
          <w:rFonts w:ascii="宋体" w:hAnsi="宋体" w:eastAsia="宋体" w:cstheme="minorBidi"/>
          <w:smallCaps w:val="0"/>
          <w:color w:val="auto"/>
          <w:kern w:val="2"/>
          <w:sz w:val="28"/>
          <w:szCs w:val="28"/>
          <w:lang w:val="en-US" w:eastAsia="zh-CN" w:bidi="ar-SA"/>
        </w:rPr>
      </w:pPr>
      <w:r>
        <w:rPr>
          <w:rFonts w:ascii="宋体" w:hAnsi="宋体" w:eastAsia="宋体" w:cs="Times New Roman"/>
          <w:bCs/>
          <w:color w:val="auto"/>
          <w:kern w:val="2"/>
          <w:sz w:val="28"/>
          <w:szCs w:val="28"/>
          <w:lang w:val="en-US" w:eastAsia="zh-CN"/>
        </w:rPr>
        <w:t>12.2</w:t>
      </w:r>
      <w:r>
        <w:rPr>
          <w:rFonts w:hint="eastAsia" w:ascii="宋体" w:hAnsi="宋体" w:eastAsia="宋体" w:cs="Times New Roman"/>
          <w:bCs/>
          <w:color w:val="auto"/>
          <w:kern w:val="2"/>
          <w:sz w:val="28"/>
          <w:szCs w:val="28"/>
          <w:lang w:val="en-US" w:eastAsia="zh-CN"/>
        </w:rPr>
        <w:t>安全评价结论</w:t>
      </w:r>
      <w:r>
        <w:rPr>
          <w:rFonts w:ascii="宋体" w:hAnsi="宋体" w:eastAsia="宋体"/>
          <w:color w:val="auto"/>
          <w:sz w:val="28"/>
          <w:szCs w:val="28"/>
        </w:rPr>
        <w:tab/>
      </w:r>
      <w:r>
        <w:rPr>
          <w:rFonts w:ascii="宋体" w:hAnsi="宋体" w:eastAsia="宋体"/>
          <w:color w:val="auto"/>
          <w:sz w:val="28"/>
          <w:szCs w:val="28"/>
        </w:rPr>
        <w:fldChar w:fldCharType="begin"/>
      </w:r>
      <w:r>
        <w:rPr>
          <w:rFonts w:ascii="宋体" w:hAnsi="宋体" w:eastAsia="宋体"/>
          <w:color w:val="auto"/>
          <w:sz w:val="28"/>
          <w:szCs w:val="28"/>
        </w:rPr>
        <w:instrText xml:space="preserve"> PAGEREF _Toc40045934 \h </w:instrText>
      </w:r>
      <w:r>
        <w:rPr>
          <w:rFonts w:ascii="宋体" w:hAnsi="宋体" w:eastAsia="宋体"/>
          <w:color w:val="auto"/>
          <w:sz w:val="28"/>
          <w:szCs w:val="28"/>
        </w:rPr>
        <w:fldChar w:fldCharType="separate"/>
      </w:r>
      <w:r>
        <w:rPr>
          <w:rFonts w:ascii="宋体" w:hAnsi="宋体" w:eastAsia="宋体"/>
          <w:color w:val="auto"/>
          <w:sz w:val="28"/>
          <w:szCs w:val="28"/>
        </w:rPr>
        <w:t>69</w:t>
      </w:r>
      <w:r>
        <w:rPr>
          <w:rFonts w:ascii="宋体" w:hAnsi="宋体" w:eastAsia="宋体"/>
          <w:color w:val="auto"/>
          <w:sz w:val="28"/>
          <w:szCs w:val="28"/>
        </w:rPr>
        <w:fldChar w:fldCharType="end"/>
      </w:r>
    </w:p>
    <w:p>
      <w:pPr>
        <w:pStyle w:val="31"/>
        <w:tabs>
          <w:tab w:val="right" w:leader="dot" w:pos="9730"/>
        </w:tabs>
        <w:spacing w:line="560" w:lineRule="exact"/>
        <w:rPr>
          <w:rFonts w:ascii="宋体" w:hAnsi="宋体" w:eastAsia="宋体" w:cstheme="minorBidi"/>
          <w:b w:val="0"/>
          <w:bCs w:val="0"/>
          <w:caps w:val="0"/>
          <w:color w:val="auto"/>
          <w:kern w:val="2"/>
          <w:sz w:val="28"/>
          <w:szCs w:val="28"/>
          <w:lang w:val="en-US" w:eastAsia="zh-CN" w:bidi="ar-SA"/>
        </w:rPr>
      </w:pPr>
      <w:r>
        <w:rPr>
          <w:rFonts w:hint="eastAsia" w:ascii="宋体" w:hAnsi="宋体" w:eastAsia="宋体"/>
          <w:color w:val="auto"/>
          <w:sz w:val="28"/>
          <w:szCs w:val="28"/>
        </w:rPr>
        <w:t>安全评价报告附件</w:t>
      </w:r>
      <w:r>
        <w:rPr>
          <w:rFonts w:ascii="宋体" w:hAnsi="宋体" w:eastAsia="宋体"/>
          <w:color w:val="auto"/>
          <w:sz w:val="28"/>
          <w:szCs w:val="28"/>
        </w:rPr>
        <w:tab/>
      </w:r>
      <w:r>
        <w:rPr>
          <w:rFonts w:ascii="宋体" w:hAnsi="宋体" w:eastAsia="宋体"/>
          <w:color w:val="auto"/>
          <w:sz w:val="28"/>
          <w:szCs w:val="28"/>
        </w:rPr>
        <w:fldChar w:fldCharType="begin"/>
      </w:r>
      <w:r>
        <w:rPr>
          <w:rFonts w:ascii="宋体" w:hAnsi="宋体" w:eastAsia="宋体"/>
          <w:color w:val="auto"/>
          <w:sz w:val="28"/>
          <w:szCs w:val="28"/>
        </w:rPr>
        <w:instrText xml:space="preserve"> PAGEREF _Toc40045935 \h </w:instrText>
      </w:r>
      <w:r>
        <w:rPr>
          <w:rFonts w:ascii="宋体" w:hAnsi="宋体" w:eastAsia="宋体"/>
          <w:color w:val="auto"/>
          <w:sz w:val="28"/>
          <w:szCs w:val="28"/>
        </w:rPr>
        <w:fldChar w:fldCharType="separate"/>
      </w:r>
      <w:r>
        <w:rPr>
          <w:rFonts w:ascii="宋体" w:hAnsi="宋体" w:eastAsia="宋体"/>
          <w:color w:val="auto"/>
          <w:sz w:val="28"/>
          <w:szCs w:val="28"/>
        </w:rPr>
        <w:t>70</w:t>
      </w:r>
      <w:r>
        <w:rPr>
          <w:rFonts w:ascii="宋体" w:hAnsi="宋体" w:eastAsia="宋体"/>
          <w:color w:val="auto"/>
          <w:sz w:val="28"/>
          <w:szCs w:val="28"/>
        </w:rPr>
        <w:fldChar w:fldCharType="end"/>
      </w:r>
    </w:p>
    <w:p>
      <w:pPr>
        <w:pStyle w:val="31"/>
        <w:tabs>
          <w:tab w:val="right" w:leader="dot" w:pos="9730"/>
        </w:tabs>
        <w:spacing w:line="560" w:lineRule="exact"/>
        <w:rPr>
          <w:rFonts w:ascii="宋体" w:hAnsi="宋体" w:eastAsia="宋体" w:cstheme="minorBidi"/>
          <w:b w:val="0"/>
          <w:bCs w:val="0"/>
          <w:caps w:val="0"/>
          <w:color w:val="auto"/>
          <w:kern w:val="2"/>
          <w:sz w:val="28"/>
          <w:szCs w:val="28"/>
          <w:lang w:val="en-US" w:eastAsia="zh-CN" w:bidi="ar-SA"/>
        </w:rPr>
      </w:pPr>
      <w:r>
        <w:rPr>
          <w:rFonts w:hint="eastAsia" w:ascii="宋体" w:hAnsi="宋体" w:eastAsia="宋体"/>
          <w:color w:val="auto"/>
          <w:sz w:val="28"/>
          <w:szCs w:val="28"/>
        </w:rPr>
        <w:t>附件</w:t>
      </w:r>
      <w:r>
        <w:rPr>
          <w:rFonts w:ascii="宋体" w:hAnsi="宋体" w:eastAsia="宋体"/>
          <w:color w:val="auto"/>
          <w:sz w:val="28"/>
          <w:szCs w:val="28"/>
        </w:rPr>
        <w:t>1</w:t>
      </w:r>
      <w:r>
        <w:rPr>
          <w:rFonts w:hint="eastAsia" w:ascii="宋体" w:hAnsi="宋体" w:eastAsia="宋体"/>
          <w:color w:val="auto"/>
          <w:sz w:val="28"/>
          <w:szCs w:val="28"/>
        </w:rPr>
        <w:t>危险、有害因素的分析过程</w:t>
      </w:r>
      <w:r>
        <w:rPr>
          <w:rFonts w:ascii="宋体" w:hAnsi="宋体" w:eastAsia="宋体"/>
          <w:color w:val="auto"/>
          <w:sz w:val="28"/>
          <w:szCs w:val="28"/>
        </w:rPr>
        <w:tab/>
      </w:r>
      <w:r>
        <w:rPr>
          <w:rFonts w:ascii="宋体" w:hAnsi="宋体" w:eastAsia="宋体"/>
          <w:color w:val="auto"/>
          <w:sz w:val="28"/>
          <w:szCs w:val="28"/>
        </w:rPr>
        <w:fldChar w:fldCharType="begin"/>
      </w:r>
      <w:r>
        <w:rPr>
          <w:rFonts w:ascii="宋体" w:hAnsi="宋体" w:eastAsia="宋体"/>
          <w:color w:val="auto"/>
          <w:sz w:val="28"/>
          <w:szCs w:val="28"/>
        </w:rPr>
        <w:instrText xml:space="preserve"> PAGEREF _Toc40045936 \h </w:instrText>
      </w:r>
      <w:r>
        <w:rPr>
          <w:rFonts w:ascii="宋体" w:hAnsi="宋体" w:eastAsia="宋体"/>
          <w:color w:val="auto"/>
          <w:sz w:val="28"/>
          <w:szCs w:val="28"/>
        </w:rPr>
        <w:fldChar w:fldCharType="separate"/>
      </w:r>
      <w:r>
        <w:rPr>
          <w:rFonts w:ascii="宋体" w:hAnsi="宋体" w:eastAsia="宋体"/>
          <w:color w:val="auto"/>
          <w:sz w:val="28"/>
          <w:szCs w:val="28"/>
        </w:rPr>
        <w:t>70</w:t>
      </w:r>
      <w:r>
        <w:rPr>
          <w:rFonts w:ascii="宋体" w:hAnsi="宋体" w:eastAsia="宋体"/>
          <w:color w:val="auto"/>
          <w:sz w:val="28"/>
          <w:szCs w:val="28"/>
        </w:rPr>
        <w:fldChar w:fldCharType="end"/>
      </w:r>
    </w:p>
    <w:p>
      <w:pPr>
        <w:pStyle w:val="36"/>
        <w:tabs>
          <w:tab w:val="right" w:leader="dot" w:pos="9730"/>
        </w:tabs>
        <w:spacing w:line="560" w:lineRule="exact"/>
        <w:rPr>
          <w:rFonts w:ascii="宋体" w:hAnsi="宋体" w:eastAsia="宋体" w:cstheme="minorBidi"/>
          <w:smallCaps w:val="0"/>
          <w:color w:val="auto"/>
          <w:kern w:val="2"/>
          <w:sz w:val="28"/>
          <w:szCs w:val="28"/>
          <w:lang w:val="en-US" w:eastAsia="zh-CN" w:bidi="ar-SA"/>
        </w:rPr>
      </w:pPr>
      <w:r>
        <w:rPr>
          <w:rFonts w:hint="eastAsia" w:ascii="宋体" w:hAnsi="宋体" w:eastAsia="宋体" w:cs="Times New Roman"/>
          <w:bCs/>
          <w:color w:val="auto"/>
          <w:kern w:val="2"/>
          <w:sz w:val="28"/>
          <w:szCs w:val="28"/>
          <w:lang w:val="en-US" w:eastAsia="zh-CN"/>
        </w:rPr>
        <w:t>附件</w:t>
      </w:r>
      <w:r>
        <w:rPr>
          <w:rFonts w:ascii="宋体" w:hAnsi="宋体" w:eastAsia="宋体" w:cs="Times New Roman"/>
          <w:bCs/>
          <w:color w:val="auto"/>
          <w:kern w:val="2"/>
          <w:sz w:val="28"/>
          <w:szCs w:val="28"/>
          <w:lang w:val="en-US" w:eastAsia="zh-CN"/>
        </w:rPr>
        <w:t>1.1</w:t>
      </w:r>
      <w:r>
        <w:rPr>
          <w:rFonts w:hint="eastAsia" w:ascii="宋体" w:hAnsi="宋体" w:eastAsia="宋体" w:cs="Times New Roman"/>
          <w:bCs/>
          <w:color w:val="auto"/>
          <w:kern w:val="2"/>
          <w:sz w:val="28"/>
          <w:szCs w:val="28"/>
          <w:lang w:val="en-US" w:eastAsia="zh-CN"/>
        </w:rPr>
        <w:t>危险化学品危险特性分析</w:t>
      </w:r>
      <w:r>
        <w:rPr>
          <w:rFonts w:ascii="宋体" w:hAnsi="宋体" w:eastAsia="宋体"/>
          <w:color w:val="auto"/>
          <w:sz w:val="28"/>
          <w:szCs w:val="28"/>
        </w:rPr>
        <w:tab/>
      </w:r>
      <w:r>
        <w:rPr>
          <w:rFonts w:ascii="宋体" w:hAnsi="宋体" w:eastAsia="宋体"/>
          <w:color w:val="auto"/>
          <w:sz w:val="28"/>
          <w:szCs w:val="28"/>
        </w:rPr>
        <w:fldChar w:fldCharType="begin"/>
      </w:r>
      <w:r>
        <w:rPr>
          <w:rFonts w:ascii="宋体" w:hAnsi="宋体" w:eastAsia="宋体"/>
          <w:color w:val="auto"/>
          <w:sz w:val="28"/>
          <w:szCs w:val="28"/>
        </w:rPr>
        <w:instrText xml:space="preserve"> PAGEREF _Toc40045937 \h </w:instrText>
      </w:r>
      <w:r>
        <w:rPr>
          <w:rFonts w:ascii="宋体" w:hAnsi="宋体" w:eastAsia="宋体"/>
          <w:color w:val="auto"/>
          <w:sz w:val="28"/>
          <w:szCs w:val="28"/>
        </w:rPr>
        <w:fldChar w:fldCharType="separate"/>
      </w:r>
      <w:r>
        <w:rPr>
          <w:rFonts w:ascii="宋体" w:hAnsi="宋体" w:eastAsia="宋体"/>
          <w:color w:val="auto"/>
          <w:sz w:val="28"/>
          <w:szCs w:val="28"/>
        </w:rPr>
        <w:t>70</w:t>
      </w:r>
      <w:r>
        <w:rPr>
          <w:rFonts w:ascii="宋体" w:hAnsi="宋体" w:eastAsia="宋体"/>
          <w:color w:val="auto"/>
          <w:sz w:val="28"/>
          <w:szCs w:val="28"/>
        </w:rPr>
        <w:fldChar w:fldCharType="end"/>
      </w:r>
    </w:p>
    <w:p>
      <w:pPr>
        <w:pStyle w:val="36"/>
        <w:tabs>
          <w:tab w:val="right" w:leader="dot" w:pos="9730"/>
        </w:tabs>
        <w:spacing w:line="560" w:lineRule="exact"/>
        <w:rPr>
          <w:rFonts w:ascii="宋体" w:hAnsi="宋体" w:eastAsia="宋体" w:cstheme="minorBidi"/>
          <w:smallCaps w:val="0"/>
          <w:color w:val="auto"/>
          <w:kern w:val="2"/>
          <w:sz w:val="28"/>
          <w:szCs w:val="28"/>
          <w:lang w:val="en-US" w:eastAsia="zh-CN" w:bidi="ar-SA"/>
        </w:rPr>
      </w:pPr>
      <w:r>
        <w:rPr>
          <w:rFonts w:hint="eastAsia" w:ascii="宋体" w:hAnsi="宋体" w:eastAsia="宋体" w:cs="Times New Roman"/>
          <w:bCs/>
          <w:color w:val="auto"/>
          <w:kern w:val="2"/>
          <w:sz w:val="28"/>
          <w:szCs w:val="28"/>
          <w:lang w:val="en-US" w:eastAsia="zh-CN"/>
        </w:rPr>
        <w:t>附件</w:t>
      </w:r>
      <w:r>
        <w:rPr>
          <w:rFonts w:ascii="宋体" w:hAnsi="宋体" w:eastAsia="宋体" w:cs="Times New Roman"/>
          <w:bCs/>
          <w:color w:val="auto"/>
          <w:kern w:val="2"/>
          <w:sz w:val="28"/>
          <w:szCs w:val="28"/>
          <w:lang w:val="en-US" w:eastAsia="zh-CN"/>
        </w:rPr>
        <w:t>1.2</w:t>
      </w:r>
      <w:r>
        <w:rPr>
          <w:rFonts w:hint="eastAsia" w:ascii="宋体" w:hAnsi="宋体" w:eastAsia="宋体" w:cs="Times New Roman"/>
          <w:bCs/>
          <w:color w:val="auto"/>
          <w:kern w:val="2"/>
          <w:sz w:val="28"/>
          <w:szCs w:val="28"/>
          <w:lang w:val="en-US" w:eastAsia="zh-CN"/>
        </w:rPr>
        <w:t>重点监管的危险化学品辨识</w:t>
      </w:r>
      <w:r>
        <w:rPr>
          <w:rFonts w:ascii="宋体" w:hAnsi="宋体" w:eastAsia="宋体"/>
          <w:color w:val="auto"/>
          <w:sz w:val="28"/>
          <w:szCs w:val="28"/>
        </w:rPr>
        <w:tab/>
      </w:r>
      <w:r>
        <w:rPr>
          <w:rFonts w:ascii="宋体" w:hAnsi="宋体" w:eastAsia="宋体"/>
          <w:color w:val="auto"/>
          <w:sz w:val="28"/>
          <w:szCs w:val="28"/>
        </w:rPr>
        <w:fldChar w:fldCharType="begin"/>
      </w:r>
      <w:r>
        <w:rPr>
          <w:rFonts w:ascii="宋体" w:hAnsi="宋体" w:eastAsia="宋体"/>
          <w:color w:val="auto"/>
          <w:sz w:val="28"/>
          <w:szCs w:val="28"/>
        </w:rPr>
        <w:instrText xml:space="preserve"> PAGEREF _Toc40045938 \h </w:instrText>
      </w:r>
      <w:r>
        <w:rPr>
          <w:rFonts w:ascii="宋体" w:hAnsi="宋体" w:eastAsia="宋体"/>
          <w:color w:val="auto"/>
          <w:sz w:val="28"/>
          <w:szCs w:val="28"/>
        </w:rPr>
        <w:fldChar w:fldCharType="separate"/>
      </w:r>
      <w:r>
        <w:rPr>
          <w:rFonts w:ascii="宋体" w:hAnsi="宋体" w:eastAsia="宋体"/>
          <w:color w:val="auto"/>
          <w:sz w:val="28"/>
          <w:szCs w:val="28"/>
        </w:rPr>
        <w:t>95</w:t>
      </w:r>
      <w:r>
        <w:rPr>
          <w:rFonts w:ascii="宋体" w:hAnsi="宋体" w:eastAsia="宋体"/>
          <w:color w:val="auto"/>
          <w:sz w:val="28"/>
          <w:szCs w:val="28"/>
        </w:rPr>
        <w:fldChar w:fldCharType="end"/>
      </w:r>
    </w:p>
    <w:p>
      <w:pPr>
        <w:pStyle w:val="36"/>
        <w:tabs>
          <w:tab w:val="right" w:leader="dot" w:pos="9730"/>
        </w:tabs>
        <w:spacing w:line="560" w:lineRule="exact"/>
        <w:rPr>
          <w:rFonts w:ascii="宋体" w:hAnsi="宋体" w:eastAsia="宋体" w:cstheme="minorBidi"/>
          <w:smallCaps w:val="0"/>
          <w:color w:val="auto"/>
          <w:kern w:val="2"/>
          <w:sz w:val="28"/>
          <w:szCs w:val="28"/>
          <w:lang w:val="en-US" w:eastAsia="zh-CN" w:bidi="ar-SA"/>
        </w:rPr>
      </w:pPr>
      <w:r>
        <w:rPr>
          <w:rFonts w:hint="eastAsia" w:ascii="宋体" w:hAnsi="宋体" w:eastAsia="宋体" w:cs="Times New Roman"/>
          <w:bCs/>
          <w:color w:val="auto"/>
          <w:kern w:val="2"/>
          <w:sz w:val="28"/>
          <w:szCs w:val="28"/>
          <w:lang w:val="en-US" w:eastAsia="zh-CN"/>
        </w:rPr>
        <w:t>附件</w:t>
      </w:r>
      <w:r>
        <w:rPr>
          <w:rFonts w:ascii="宋体" w:hAnsi="宋体" w:eastAsia="宋体" w:cs="Times New Roman"/>
          <w:bCs/>
          <w:color w:val="auto"/>
          <w:kern w:val="2"/>
          <w:sz w:val="28"/>
          <w:szCs w:val="28"/>
          <w:lang w:val="en-US" w:eastAsia="zh-CN"/>
        </w:rPr>
        <w:t>1.3</w:t>
      </w:r>
      <w:r>
        <w:rPr>
          <w:rFonts w:hint="eastAsia" w:ascii="宋体" w:hAnsi="宋体" w:eastAsia="宋体" w:cs="Times New Roman"/>
          <w:bCs/>
          <w:color w:val="auto"/>
          <w:kern w:val="2"/>
          <w:sz w:val="28"/>
          <w:szCs w:val="28"/>
          <w:lang w:val="en-US" w:eastAsia="zh-CN"/>
        </w:rPr>
        <w:t>生产、储存过程危险、有害因素辨识</w:t>
      </w:r>
      <w:r>
        <w:rPr>
          <w:rFonts w:ascii="宋体" w:hAnsi="宋体" w:eastAsia="宋体"/>
          <w:color w:val="auto"/>
          <w:sz w:val="28"/>
          <w:szCs w:val="28"/>
        </w:rPr>
        <w:tab/>
      </w:r>
      <w:r>
        <w:rPr>
          <w:rFonts w:ascii="宋体" w:hAnsi="宋体" w:eastAsia="宋体"/>
          <w:color w:val="auto"/>
          <w:sz w:val="28"/>
          <w:szCs w:val="28"/>
        </w:rPr>
        <w:fldChar w:fldCharType="begin"/>
      </w:r>
      <w:r>
        <w:rPr>
          <w:rFonts w:ascii="宋体" w:hAnsi="宋体" w:eastAsia="宋体"/>
          <w:color w:val="auto"/>
          <w:sz w:val="28"/>
          <w:szCs w:val="28"/>
        </w:rPr>
        <w:instrText xml:space="preserve"> PAGEREF _Toc40045939 \h </w:instrText>
      </w:r>
      <w:r>
        <w:rPr>
          <w:rFonts w:ascii="宋体" w:hAnsi="宋体" w:eastAsia="宋体"/>
          <w:color w:val="auto"/>
          <w:sz w:val="28"/>
          <w:szCs w:val="28"/>
        </w:rPr>
        <w:fldChar w:fldCharType="separate"/>
      </w:r>
      <w:r>
        <w:rPr>
          <w:rFonts w:ascii="宋体" w:hAnsi="宋体" w:eastAsia="宋体"/>
          <w:color w:val="auto"/>
          <w:sz w:val="28"/>
          <w:szCs w:val="28"/>
        </w:rPr>
        <w:t>103</w:t>
      </w:r>
      <w:r>
        <w:rPr>
          <w:rFonts w:ascii="宋体" w:hAnsi="宋体" w:eastAsia="宋体"/>
          <w:color w:val="auto"/>
          <w:sz w:val="28"/>
          <w:szCs w:val="28"/>
        </w:rPr>
        <w:fldChar w:fldCharType="end"/>
      </w:r>
    </w:p>
    <w:p>
      <w:pPr>
        <w:pStyle w:val="36"/>
        <w:tabs>
          <w:tab w:val="right" w:leader="dot" w:pos="9730"/>
        </w:tabs>
        <w:spacing w:line="560" w:lineRule="exact"/>
        <w:rPr>
          <w:rFonts w:ascii="宋体" w:hAnsi="宋体" w:eastAsia="宋体" w:cstheme="minorBidi"/>
          <w:smallCaps w:val="0"/>
          <w:color w:val="auto"/>
          <w:kern w:val="2"/>
          <w:sz w:val="28"/>
          <w:szCs w:val="28"/>
          <w:lang w:val="en-US" w:eastAsia="zh-CN" w:bidi="ar-SA"/>
        </w:rPr>
      </w:pPr>
      <w:r>
        <w:rPr>
          <w:rFonts w:hint="eastAsia" w:ascii="宋体" w:hAnsi="宋体" w:eastAsia="宋体" w:cs="Times New Roman"/>
          <w:bCs/>
          <w:color w:val="auto"/>
          <w:kern w:val="2"/>
          <w:sz w:val="28"/>
          <w:szCs w:val="28"/>
          <w:lang w:val="en-US" w:eastAsia="zh-CN"/>
        </w:rPr>
        <w:t>附件</w:t>
      </w:r>
      <w:r>
        <w:rPr>
          <w:rFonts w:ascii="宋体" w:hAnsi="宋体" w:eastAsia="宋体" w:cs="Times New Roman"/>
          <w:bCs/>
          <w:color w:val="auto"/>
          <w:kern w:val="2"/>
          <w:sz w:val="28"/>
          <w:szCs w:val="28"/>
          <w:lang w:val="en-US" w:eastAsia="zh-CN"/>
        </w:rPr>
        <w:t>1.4</w:t>
      </w:r>
      <w:r>
        <w:rPr>
          <w:rFonts w:hint="eastAsia" w:ascii="宋体" w:hAnsi="宋体" w:eastAsia="宋体" w:cs="Times New Roman"/>
          <w:bCs/>
          <w:color w:val="auto"/>
          <w:kern w:val="2"/>
          <w:sz w:val="28"/>
          <w:szCs w:val="28"/>
          <w:lang w:val="en-US" w:eastAsia="zh-CN"/>
        </w:rPr>
        <w:t>工艺过程危险有害因素辨识</w:t>
      </w:r>
      <w:r>
        <w:rPr>
          <w:rFonts w:ascii="宋体" w:hAnsi="宋体" w:eastAsia="宋体"/>
          <w:color w:val="auto"/>
          <w:sz w:val="28"/>
          <w:szCs w:val="28"/>
        </w:rPr>
        <w:tab/>
      </w:r>
      <w:r>
        <w:rPr>
          <w:rFonts w:ascii="宋体" w:hAnsi="宋体" w:eastAsia="宋体"/>
          <w:color w:val="auto"/>
          <w:sz w:val="28"/>
          <w:szCs w:val="28"/>
        </w:rPr>
        <w:fldChar w:fldCharType="begin"/>
      </w:r>
      <w:r>
        <w:rPr>
          <w:rFonts w:ascii="宋体" w:hAnsi="宋体" w:eastAsia="宋体"/>
          <w:color w:val="auto"/>
          <w:sz w:val="28"/>
          <w:szCs w:val="28"/>
        </w:rPr>
        <w:instrText xml:space="preserve"> PAGEREF _Toc40045940 \h </w:instrText>
      </w:r>
      <w:r>
        <w:rPr>
          <w:rFonts w:ascii="宋体" w:hAnsi="宋体" w:eastAsia="宋体"/>
          <w:color w:val="auto"/>
          <w:sz w:val="28"/>
          <w:szCs w:val="28"/>
        </w:rPr>
        <w:fldChar w:fldCharType="separate"/>
      </w:r>
      <w:r>
        <w:rPr>
          <w:rFonts w:ascii="宋体" w:hAnsi="宋体" w:eastAsia="宋体"/>
          <w:color w:val="auto"/>
          <w:sz w:val="28"/>
          <w:szCs w:val="28"/>
        </w:rPr>
        <w:t>108</w:t>
      </w:r>
      <w:r>
        <w:rPr>
          <w:rFonts w:ascii="宋体" w:hAnsi="宋体" w:eastAsia="宋体"/>
          <w:color w:val="auto"/>
          <w:sz w:val="28"/>
          <w:szCs w:val="28"/>
        </w:rPr>
        <w:fldChar w:fldCharType="end"/>
      </w:r>
    </w:p>
    <w:p>
      <w:pPr>
        <w:pStyle w:val="36"/>
        <w:tabs>
          <w:tab w:val="right" w:leader="dot" w:pos="9730"/>
        </w:tabs>
        <w:spacing w:line="560" w:lineRule="exact"/>
        <w:rPr>
          <w:rFonts w:ascii="宋体" w:hAnsi="宋体" w:eastAsia="宋体" w:cstheme="minorBidi"/>
          <w:smallCaps w:val="0"/>
          <w:color w:val="auto"/>
          <w:kern w:val="2"/>
          <w:sz w:val="28"/>
          <w:szCs w:val="28"/>
          <w:lang w:val="en-US" w:eastAsia="zh-CN" w:bidi="ar-SA"/>
        </w:rPr>
      </w:pPr>
      <w:r>
        <w:rPr>
          <w:rFonts w:hint="eastAsia" w:ascii="宋体" w:hAnsi="宋体" w:eastAsia="宋体" w:cs="Times New Roman"/>
          <w:bCs/>
          <w:color w:val="auto"/>
          <w:kern w:val="2"/>
          <w:sz w:val="28"/>
          <w:szCs w:val="28"/>
          <w:lang w:val="en-US" w:eastAsia="zh-CN"/>
        </w:rPr>
        <w:t>附件</w:t>
      </w:r>
      <w:r>
        <w:rPr>
          <w:rFonts w:ascii="宋体" w:hAnsi="宋体" w:eastAsia="宋体" w:cs="Times New Roman"/>
          <w:bCs/>
          <w:color w:val="auto"/>
          <w:kern w:val="2"/>
          <w:sz w:val="28"/>
          <w:szCs w:val="28"/>
          <w:lang w:val="en-US" w:eastAsia="zh-CN"/>
        </w:rPr>
        <w:t>1.5</w:t>
      </w:r>
      <w:r>
        <w:rPr>
          <w:rFonts w:hint="eastAsia" w:ascii="宋体" w:hAnsi="宋体" w:eastAsia="宋体" w:cs="Times New Roman"/>
          <w:bCs/>
          <w:color w:val="auto"/>
          <w:kern w:val="2"/>
          <w:sz w:val="28"/>
          <w:szCs w:val="28"/>
          <w:lang w:val="en-US" w:eastAsia="zh-CN"/>
        </w:rPr>
        <w:t>危险化学品重大危险源辨识</w:t>
      </w:r>
      <w:r>
        <w:rPr>
          <w:rFonts w:ascii="宋体" w:hAnsi="宋体" w:eastAsia="宋体"/>
          <w:color w:val="auto"/>
          <w:sz w:val="28"/>
          <w:szCs w:val="28"/>
        </w:rPr>
        <w:tab/>
      </w:r>
      <w:r>
        <w:rPr>
          <w:rFonts w:ascii="宋体" w:hAnsi="宋体" w:eastAsia="宋体"/>
          <w:color w:val="auto"/>
          <w:sz w:val="28"/>
          <w:szCs w:val="28"/>
        </w:rPr>
        <w:fldChar w:fldCharType="begin"/>
      </w:r>
      <w:r>
        <w:rPr>
          <w:rFonts w:ascii="宋体" w:hAnsi="宋体" w:eastAsia="宋体"/>
          <w:color w:val="auto"/>
          <w:sz w:val="28"/>
          <w:szCs w:val="28"/>
        </w:rPr>
        <w:instrText xml:space="preserve"> PAGEREF _Toc40045941 \h </w:instrText>
      </w:r>
      <w:r>
        <w:rPr>
          <w:rFonts w:ascii="宋体" w:hAnsi="宋体" w:eastAsia="宋体"/>
          <w:color w:val="auto"/>
          <w:sz w:val="28"/>
          <w:szCs w:val="28"/>
        </w:rPr>
        <w:fldChar w:fldCharType="separate"/>
      </w:r>
      <w:r>
        <w:rPr>
          <w:rFonts w:ascii="宋体" w:hAnsi="宋体" w:eastAsia="宋体"/>
          <w:color w:val="auto"/>
          <w:sz w:val="28"/>
          <w:szCs w:val="28"/>
        </w:rPr>
        <w:t>110</w:t>
      </w:r>
      <w:r>
        <w:rPr>
          <w:rFonts w:ascii="宋体" w:hAnsi="宋体" w:eastAsia="宋体"/>
          <w:color w:val="auto"/>
          <w:sz w:val="28"/>
          <w:szCs w:val="28"/>
        </w:rPr>
        <w:fldChar w:fldCharType="end"/>
      </w:r>
    </w:p>
    <w:p>
      <w:pPr>
        <w:pStyle w:val="31"/>
        <w:tabs>
          <w:tab w:val="right" w:leader="dot" w:pos="9730"/>
        </w:tabs>
        <w:spacing w:line="560" w:lineRule="exact"/>
        <w:rPr>
          <w:rFonts w:ascii="宋体" w:hAnsi="宋体" w:eastAsia="宋体" w:cstheme="minorBidi"/>
          <w:b w:val="0"/>
          <w:bCs w:val="0"/>
          <w:caps w:val="0"/>
          <w:color w:val="auto"/>
          <w:kern w:val="2"/>
          <w:sz w:val="28"/>
          <w:szCs w:val="28"/>
          <w:lang w:val="en-US" w:eastAsia="zh-CN" w:bidi="ar-SA"/>
        </w:rPr>
      </w:pPr>
      <w:r>
        <w:rPr>
          <w:rFonts w:hint="eastAsia" w:ascii="宋体" w:hAnsi="宋体" w:eastAsia="宋体"/>
          <w:color w:val="auto"/>
          <w:sz w:val="28"/>
          <w:szCs w:val="28"/>
        </w:rPr>
        <w:t>附件</w:t>
      </w:r>
      <w:r>
        <w:rPr>
          <w:rFonts w:ascii="宋体" w:hAnsi="宋体" w:eastAsia="宋体"/>
          <w:color w:val="auto"/>
          <w:sz w:val="28"/>
          <w:szCs w:val="28"/>
        </w:rPr>
        <w:t>2</w:t>
      </w:r>
      <w:r>
        <w:rPr>
          <w:rFonts w:hint="eastAsia" w:ascii="宋体" w:hAnsi="宋体" w:eastAsia="宋体"/>
          <w:color w:val="auto"/>
          <w:sz w:val="28"/>
          <w:szCs w:val="28"/>
        </w:rPr>
        <w:t>定性、定量分析过程</w:t>
      </w:r>
      <w:r>
        <w:rPr>
          <w:rFonts w:ascii="宋体" w:hAnsi="宋体" w:eastAsia="宋体"/>
          <w:color w:val="auto"/>
          <w:sz w:val="28"/>
          <w:szCs w:val="28"/>
        </w:rPr>
        <w:tab/>
      </w:r>
      <w:r>
        <w:rPr>
          <w:rFonts w:ascii="宋体" w:hAnsi="宋体" w:eastAsia="宋体"/>
          <w:color w:val="auto"/>
          <w:sz w:val="28"/>
          <w:szCs w:val="28"/>
        </w:rPr>
        <w:fldChar w:fldCharType="begin"/>
      </w:r>
      <w:r>
        <w:rPr>
          <w:rFonts w:ascii="宋体" w:hAnsi="宋体" w:eastAsia="宋体"/>
          <w:color w:val="auto"/>
          <w:sz w:val="28"/>
          <w:szCs w:val="28"/>
        </w:rPr>
        <w:instrText xml:space="preserve"> PAGEREF _Toc40045942 \h </w:instrText>
      </w:r>
      <w:r>
        <w:rPr>
          <w:rFonts w:ascii="宋体" w:hAnsi="宋体" w:eastAsia="宋体"/>
          <w:color w:val="auto"/>
          <w:sz w:val="28"/>
          <w:szCs w:val="28"/>
        </w:rPr>
        <w:fldChar w:fldCharType="separate"/>
      </w:r>
      <w:r>
        <w:rPr>
          <w:rFonts w:ascii="宋体" w:hAnsi="宋体" w:eastAsia="宋体"/>
          <w:color w:val="auto"/>
          <w:sz w:val="28"/>
          <w:szCs w:val="28"/>
        </w:rPr>
        <w:t>114</w:t>
      </w:r>
      <w:r>
        <w:rPr>
          <w:rFonts w:ascii="宋体" w:hAnsi="宋体" w:eastAsia="宋体"/>
          <w:color w:val="auto"/>
          <w:sz w:val="28"/>
          <w:szCs w:val="28"/>
        </w:rPr>
        <w:fldChar w:fldCharType="end"/>
      </w:r>
    </w:p>
    <w:p>
      <w:pPr>
        <w:pStyle w:val="36"/>
        <w:tabs>
          <w:tab w:val="right" w:leader="dot" w:pos="9730"/>
        </w:tabs>
        <w:spacing w:line="560" w:lineRule="exact"/>
        <w:rPr>
          <w:rFonts w:ascii="宋体" w:hAnsi="宋体" w:eastAsia="宋体" w:cstheme="minorBidi"/>
          <w:smallCaps w:val="0"/>
          <w:color w:val="auto"/>
          <w:kern w:val="2"/>
          <w:sz w:val="28"/>
          <w:szCs w:val="28"/>
          <w:lang w:val="en-US" w:eastAsia="zh-CN" w:bidi="ar-SA"/>
        </w:rPr>
      </w:pPr>
      <w:r>
        <w:rPr>
          <w:rFonts w:hint="eastAsia" w:ascii="宋体" w:hAnsi="宋体" w:eastAsia="宋体" w:cs="Times New Roman"/>
          <w:bCs/>
          <w:color w:val="auto"/>
          <w:kern w:val="2"/>
          <w:sz w:val="28"/>
          <w:szCs w:val="28"/>
          <w:lang w:val="en-US" w:eastAsia="zh-CN"/>
        </w:rPr>
        <w:t>附件</w:t>
      </w:r>
      <w:r>
        <w:rPr>
          <w:rFonts w:ascii="宋体" w:hAnsi="宋体" w:eastAsia="宋体" w:cs="Times New Roman"/>
          <w:bCs/>
          <w:color w:val="auto"/>
          <w:kern w:val="2"/>
          <w:sz w:val="28"/>
          <w:szCs w:val="28"/>
          <w:lang w:val="en-US" w:eastAsia="zh-CN"/>
        </w:rPr>
        <w:t>2.1</w:t>
      </w:r>
      <w:r>
        <w:rPr>
          <w:rFonts w:hint="eastAsia" w:ascii="宋体" w:hAnsi="宋体" w:eastAsia="宋体" w:cs="Times New Roman"/>
          <w:bCs/>
          <w:color w:val="auto"/>
          <w:kern w:val="2"/>
          <w:sz w:val="28"/>
          <w:szCs w:val="28"/>
          <w:lang w:val="en-US" w:eastAsia="zh-CN"/>
        </w:rPr>
        <w:t>安全检查表</w:t>
      </w:r>
      <w:r>
        <w:rPr>
          <w:rFonts w:ascii="宋体" w:hAnsi="宋体" w:eastAsia="宋体"/>
          <w:color w:val="auto"/>
          <w:sz w:val="28"/>
          <w:szCs w:val="28"/>
        </w:rPr>
        <w:tab/>
      </w:r>
      <w:r>
        <w:rPr>
          <w:rFonts w:ascii="宋体" w:hAnsi="宋体" w:eastAsia="宋体"/>
          <w:color w:val="auto"/>
          <w:sz w:val="28"/>
          <w:szCs w:val="28"/>
        </w:rPr>
        <w:fldChar w:fldCharType="begin"/>
      </w:r>
      <w:r>
        <w:rPr>
          <w:rFonts w:ascii="宋体" w:hAnsi="宋体" w:eastAsia="宋体"/>
          <w:color w:val="auto"/>
          <w:sz w:val="28"/>
          <w:szCs w:val="28"/>
        </w:rPr>
        <w:instrText xml:space="preserve"> PAGEREF _Toc40045943 \h </w:instrText>
      </w:r>
      <w:r>
        <w:rPr>
          <w:rFonts w:ascii="宋体" w:hAnsi="宋体" w:eastAsia="宋体"/>
          <w:color w:val="auto"/>
          <w:sz w:val="28"/>
          <w:szCs w:val="28"/>
        </w:rPr>
        <w:fldChar w:fldCharType="separate"/>
      </w:r>
      <w:r>
        <w:rPr>
          <w:rFonts w:ascii="宋体" w:hAnsi="宋体" w:eastAsia="宋体"/>
          <w:color w:val="auto"/>
          <w:sz w:val="28"/>
          <w:szCs w:val="28"/>
        </w:rPr>
        <w:t>114</w:t>
      </w:r>
      <w:r>
        <w:rPr>
          <w:rFonts w:ascii="宋体" w:hAnsi="宋体" w:eastAsia="宋体"/>
          <w:color w:val="auto"/>
          <w:sz w:val="28"/>
          <w:szCs w:val="28"/>
        </w:rPr>
        <w:fldChar w:fldCharType="end"/>
      </w:r>
    </w:p>
    <w:p>
      <w:pPr>
        <w:pStyle w:val="36"/>
        <w:tabs>
          <w:tab w:val="right" w:leader="dot" w:pos="9730"/>
        </w:tabs>
        <w:spacing w:line="560" w:lineRule="exact"/>
        <w:rPr>
          <w:rFonts w:ascii="宋体" w:hAnsi="宋体" w:eastAsia="宋体" w:cstheme="minorBidi"/>
          <w:smallCaps w:val="0"/>
          <w:color w:val="auto"/>
          <w:kern w:val="2"/>
          <w:sz w:val="28"/>
          <w:szCs w:val="28"/>
          <w:lang w:val="en-US" w:eastAsia="zh-CN" w:bidi="ar-SA"/>
        </w:rPr>
      </w:pPr>
      <w:r>
        <w:rPr>
          <w:rFonts w:hint="eastAsia" w:ascii="宋体" w:hAnsi="宋体" w:eastAsia="宋体" w:cs="Times New Roman"/>
          <w:bCs/>
          <w:color w:val="auto"/>
          <w:kern w:val="2"/>
          <w:sz w:val="28"/>
          <w:szCs w:val="28"/>
          <w:lang w:val="en-US" w:eastAsia="zh-CN"/>
        </w:rPr>
        <w:t>附件</w:t>
      </w:r>
      <w:r>
        <w:rPr>
          <w:rFonts w:ascii="宋体" w:hAnsi="宋体" w:eastAsia="宋体" w:cs="Times New Roman"/>
          <w:bCs/>
          <w:color w:val="auto"/>
          <w:kern w:val="2"/>
          <w:sz w:val="28"/>
          <w:szCs w:val="28"/>
          <w:lang w:val="en-US" w:eastAsia="zh-CN"/>
        </w:rPr>
        <w:t>2.2</w:t>
      </w:r>
      <w:r>
        <w:rPr>
          <w:rFonts w:hint="eastAsia" w:ascii="宋体" w:hAnsi="宋体" w:eastAsia="宋体" w:cs="Times New Roman"/>
          <w:bCs/>
          <w:color w:val="auto"/>
          <w:kern w:val="2"/>
          <w:sz w:val="28"/>
          <w:szCs w:val="28"/>
          <w:lang w:val="en-US" w:eastAsia="zh-CN"/>
        </w:rPr>
        <w:t>事故树分析法评价法</w:t>
      </w:r>
      <w:r>
        <w:rPr>
          <w:rFonts w:ascii="宋体" w:hAnsi="宋体" w:eastAsia="宋体"/>
          <w:color w:val="auto"/>
          <w:sz w:val="28"/>
          <w:szCs w:val="28"/>
        </w:rPr>
        <w:tab/>
      </w:r>
      <w:r>
        <w:rPr>
          <w:rFonts w:ascii="宋体" w:hAnsi="宋体" w:eastAsia="宋体"/>
          <w:color w:val="auto"/>
          <w:sz w:val="28"/>
          <w:szCs w:val="28"/>
        </w:rPr>
        <w:fldChar w:fldCharType="begin"/>
      </w:r>
      <w:r>
        <w:rPr>
          <w:rFonts w:ascii="宋体" w:hAnsi="宋体" w:eastAsia="宋体"/>
          <w:color w:val="auto"/>
          <w:sz w:val="28"/>
          <w:szCs w:val="28"/>
        </w:rPr>
        <w:instrText xml:space="preserve"> PAGEREF _Toc40045944 \h </w:instrText>
      </w:r>
      <w:r>
        <w:rPr>
          <w:rFonts w:ascii="宋体" w:hAnsi="宋体" w:eastAsia="宋体"/>
          <w:color w:val="auto"/>
          <w:sz w:val="28"/>
          <w:szCs w:val="28"/>
        </w:rPr>
        <w:fldChar w:fldCharType="separate"/>
      </w:r>
      <w:r>
        <w:rPr>
          <w:rFonts w:ascii="宋体" w:hAnsi="宋体" w:eastAsia="宋体"/>
          <w:color w:val="auto"/>
          <w:sz w:val="28"/>
          <w:szCs w:val="28"/>
        </w:rPr>
        <w:t>142</w:t>
      </w:r>
      <w:r>
        <w:rPr>
          <w:rFonts w:ascii="宋体" w:hAnsi="宋体" w:eastAsia="宋体"/>
          <w:color w:val="auto"/>
          <w:sz w:val="28"/>
          <w:szCs w:val="28"/>
        </w:rPr>
        <w:fldChar w:fldCharType="end"/>
      </w:r>
    </w:p>
    <w:p>
      <w:pPr>
        <w:pStyle w:val="36"/>
        <w:tabs>
          <w:tab w:val="right" w:leader="dot" w:pos="9730"/>
        </w:tabs>
        <w:spacing w:line="560" w:lineRule="exact"/>
        <w:rPr>
          <w:rFonts w:ascii="宋体" w:hAnsi="宋体" w:eastAsia="宋体" w:cstheme="minorBidi"/>
          <w:smallCaps w:val="0"/>
          <w:color w:val="auto"/>
          <w:kern w:val="2"/>
          <w:sz w:val="28"/>
          <w:szCs w:val="28"/>
          <w:lang w:val="en-US" w:eastAsia="zh-CN" w:bidi="ar-SA"/>
        </w:rPr>
      </w:pPr>
      <w:r>
        <w:rPr>
          <w:rFonts w:hint="eastAsia" w:ascii="宋体" w:hAnsi="宋体" w:eastAsia="宋体" w:cs="Times New Roman"/>
          <w:bCs/>
          <w:color w:val="auto"/>
          <w:kern w:val="2"/>
          <w:sz w:val="28"/>
          <w:szCs w:val="28"/>
          <w:lang w:val="en-US" w:eastAsia="zh-CN"/>
        </w:rPr>
        <w:t>附件</w:t>
      </w:r>
      <w:r>
        <w:rPr>
          <w:rFonts w:ascii="宋体" w:hAnsi="宋体" w:eastAsia="宋体" w:cs="Times New Roman"/>
          <w:bCs/>
          <w:color w:val="auto"/>
          <w:kern w:val="2"/>
          <w:sz w:val="28"/>
          <w:szCs w:val="28"/>
          <w:lang w:val="en-US" w:eastAsia="zh-CN"/>
        </w:rPr>
        <w:t>2.3</w:t>
      </w:r>
      <w:r>
        <w:rPr>
          <w:rFonts w:hint="eastAsia" w:ascii="宋体" w:hAnsi="宋体" w:eastAsia="宋体" w:cs="Times New Roman"/>
          <w:bCs/>
          <w:color w:val="auto"/>
          <w:kern w:val="2"/>
          <w:sz w:val="28"/>
          <w:szCs w:val="28"/>
          <w:lang w:val="en-US" w:eastAsia="zh-CN"/>
        </w:rPr>
        <w:t>道化学火灾爆炸指数评价法</w:t>
      </w:r>
      <w:r>
        <w:rPr>
          <w:rFonts w:ascii="宋体" w:hAnsi="宋体" w:eastAsia="宋体"/>
          <w:color w:val="auto"/>
          <w:sz w:val="28"/>
          <w:szCs w:val="28"/>
        </w:rPr>
        <w:tab/>
      </w:r>
      <w:r>
        <w:rPr>
          <w:rFonts w:ascii="宋体" w:hAnsi="宋体" w:eastAsia="宋体"/>
          <w:color w:val="auto"/>
          <w:sz w:val="28"/>
          <w:szCs w:val="28"/>
        </w:rPr>
        <w:fldChar w:fldCharType="begin"/>
      </w:r>
      <w:r>
        <w:rPr>
          <w:rFonts w:ascii="宋体" w:hAnsi="宋体" w:eastAsia="宋体"/>
          <w:color w:val="auto"/>
          <w:sz w:val="28"/>
          <w:szCs w:val="28"/>
        </w:rPr>
        <w:instrText xml:space="preserve"> PAGEREF _Toc40045945 \h </w:instrText>
      </w:r>
      <w:r>
        <w:rPr>
          <w:rFonts w:ascii="宋体" w:hAnsi="宋体" w:eastAsia="宋体"/>
          <w:color w:val="auto"/>
          <w:sz w:val="28"/>
          <w:szCs w:val="28"/>
        </w:rPr>
        <w:fldChar w:fldCharType="separate"/>
      </w:r>
      <w:r>
        <w:rPr>
          <w:rFonts w:ascii="宋体" w:hAnsi="宋体" w:eastAsia="宋体"/>
          <w:color w:val="auto"/>
          <w:sz w:val="28"/>
          <w:szCs w:val="28"/>
        </w:rPr>
        <w:t>150</w:t>
      </w:r>
      <w:r>
        <w:rPr>
          <w:rFonts w:ascii="宋体" w:hAnsi="宋体" w:eastAsia="宋体"/>
          <w:color w:val="auto"/>
          <w:sz w:val="28"/>
          <w:szCs w:val="28"/>
        </w:rPr>
        <w:fldChar w:fldCharType="end"/>
      </w:r>
    </w:p>
    <w:p>
      <w:pPr>
        <w:pStyle w:val="36"/>
        <w:tabs>
          <w:tab w:val="right" w:leader="dot" w:pos="9730"/>
        </w:tabs>
        <w:spacing w:line="560" w:lineRule="exact"/>
        <w:rPr>
          <w:rFonts w:ascii="宋体" w:hAnsi="宋体" w:eastAsia="宋体" w:cstheme="minorBidi"/>
          <w:smallCaps w:val="0"/>
          <w:color w:val="auto"/>
          <w:kern w:val="2"/>
          <w:sz w:val="28"/>
          <w:szCs w:val="28"/>
          <w:lang w:val="en-US" w:eastAsia="zh-CN" w:bidi="ar-SA"/>
        </w:rPr>
      </w:pPr>
      <w:r>
        <w:rPr>
          <w:rFonts w:hint="eastAsia" w:ascii="宋体" w:hAnsi="宋体" w:eastAsia="宋体" w:cs="Times New Roman"/>
          <w:bCs/>
          <w:color w:val="auto"/>
          <w:kern w:val="2"/>
          <w:sz w:val="28"/>
          <w:szCs w:val="28"/>
          <w:lang w:val="en-US" w:eastAsia="zh-CN"/>
        </w:rPr>
        <w:t>附件</w:t>
      </w:r>
      <w:r>
        <w:rPr>
          <w:rFonts w:ascii="宋体" w:hAnsi="宋体" w:eastAsia="宋体" w:cs="Times New Roman"/>
          <w:bCs/>
          <w:color w:val="auto"/>
          <w:kern w:val="2"/>
          <w:sz w:val="28"/>
          <w:szCs w:val="28"/>
          <w:lang w:val="en-US" w:eastAsia="zh-CN"/>
        </w:rPr>
        <w:t>2.4</w:t>
      </w:r>
      <w:r>
        <w:rPr>
          <w:rFonts w:hint="eastAsia" w:ascii="宋体" w:hAnsi="宋体" w:eastAsia="宋体" w:cs="Times New Roman"/>
          <w:bCs/>
          <w:color w:val="auto"/>
          <w:kern w:val="2"/>
          <w:sz w:val="28"/>
          <w:szCs w:val="28"/>
          <w:lang w:val="en-US" w:eastAsia="zh-CN"/>
        </w:rPr>
        <w:t>危险度评价法</w:t>
      </w:r>
      <w:r>
        <w:rPr>
          <w:rFonts w:ascii="宋体" w:hAnsi="宋体" w:eastAsia="宋体"/>
          <w:color w:val="auto"/>
          <w:sz w:val="28"/>
          <w:szCs w:val="28"/>
        </w:rPr>
        <w:tab/>
      </w:r>
      <w:r>
        <w:rPr>
          <w:rFonts w:ascii="宋体" w:hAnsi="宋体" w:eastAsia="宋体"/>
          <w:color w:val="auto"/>
          <w:sz w:val="28"/>
          <w:szCs w:val="28"/>
        </w:rPr>
        <w:fldChar w:fldCharType="begin"/>
      </w:r>
      <w:r>
        <w:rPr>
          <w:rFonts w:ascii="宋体" w:hAnsi="宋体" w:eastAsia="宋体"/>
          <w:color w:val="auto"/>
          <w:sz w:val="28"/>
          <w:szCs w:val="28"/>
        </w:rPr>
        <w:instrText xml:space="preserve"> PAGEREF _Toc40045946 \h </w:instrText>
      </w:r>
      <w:r>
        <w:rPr>
          <w:rFonts w:ascii="宋体" w:hAnsi="宋体" w:eastAsia="宋体"/>
          <w:color w:val="auto"/>
          <w:sz w:val="28"/>
          <w:szCs w:val="28"/>
        </w:rPr>
        <w:fldChar w:fldCharType="separate"/>
      </w:r>
      <w:r>
        <w:rPr>
          <w:rFonts w:ascii="宋体" w:hAnsi="宋体" w:eastAsia="宋体"/>
          <w:color w:val="auto"/>
          <w:sz w:val="28"/>
          <w:szCs w:val="28"/>
        </w:rPr>
        <w:t>158</w:t>
      </w:r>
      <w:r>
        <w:rPr>
          <w:rFonts w:ascii="宋体" w:hAnsi="宋体" w:eastAsia="宋体"/>
          <w:color w:val="auto"/>
          <w:sz w:val="28"/>
          <w:szCs w:val="28"/>
        </w:rPr>
        <w:fldChar w:fldCharType="end"/>
      </w:r>
    </w:p>
    <w:p>
      <w:pPr>
        <w:pStyle w:val="31"/>
        <w:tabs>
          <w:tab w:val="right" w:leader="dot" w:pos="9730"/>
        </w:tabs>
        <w:spacing w:line="560" w:lineRule="exact"/>
        <w:rPr>
          <w:rFonts w:ascii="宋体" w:hAnsi="宋体" w:eastAsia="宋体" w:cstheme="minorBidi"/>
          <w:b w:val="0"/>
          <w:bCs w:val="0"/>
          <w:caps w:val="0"/>
          <w:color w:val="auto"/>
          <w:kern w:val="2"/>
          <w:sz w:val="28"/>
          <w:szCs w:val="28"/>
          <w:lang w:val="en-US" w:eastAsia="zh-CN" w:bidi="ar-SA"/>
        </w:rPr>
      </w:pPr>
      <w:r>
        <w:rPr>
          <w:rFonts w:hint="eastAsia" w:ascii="宋体" w:hAnsi="宋体" w:eastAsia="宋体"/>
          <w:color w:val="auto"/>
          <w:sz w:val="28"/>
          <w:szCs w:val="28"/>
        </w:rPr>
        <w:t>附件</w:t>
      </w:r>
      <w:r>
        <w:rPr>
          <w:rFonts w:ascii="宋体" w:hAnsi="宋体" w:eastAsia="宋体"/>
          <w:color w:val="auto"/>
          <w:sz w:val="28"/>
          <w:szCs w:val="28"/>
        </w:rPr>
        <w:t>3</w:t>
      </w:r>
      <w:r>
        <w:rPr>
          <w:rFonts w:hint="eastAsia" w:ascii="宋体" w:hAnsi="宋体" w:eastAsia="宋体"/>
          <w:color w:val="auto"/>
          <w:sz w:val="28"/>
          <w:szCs w:val="28"/>
        </w:rPr>
        <w:t>可能发生的危险化学品事故的后果预测</w:t>
      </w:r>
      <w:r>
        <w:rPr>
          <w:rFonts w:ascii="宋体" w:hAnsi="宋体" w:eastAsia="宋体"/>
          <w:color w:val="auto"/>
          <w:sz w:val="28"/>
          <w:szCs w:val="28"/>
        </w:rPr>
        <w:tab/>
      </w:r>
      <w:r>
        <w:rPr>
          <w:rFonts w:ascii="宋体" w:hAnsi="宋体" w:eastAsia="宋体"/>
          <w:color w:val="auto"/>
          <w:sz w:val="28"/>
          <w:szCs w:val="28"/>
        </w:rPr>
        <w:fldChar w:fldCharType="begin"/>
      </w:r>
      <w:r>
        <w:rPr>
          <w:rFonts w:ascii="宋体" w:hAnsi="宋体" w:eastAsia="宋体"/>
          <w:color w:val="auto"/>
          <w:sz w:val="28"/>
          <w:szCs w:val="28"/>
        </w:rPr>
        <w:instrText xml:space="preserve"> PAGEREF _Toc40045947 \h </w:instrText>
      </w:r>
      <w:r>
        <w:rPr>
          <w:rFonts w:ascii="宋体" w:hAnsi="宋体" w:eastAsia="宋体"/>
          <w:color w:val="auto"/>
          <w:sz w:val="28"/>
          <w:szCs w:val="28"/>
        </w:rPr>
        <w:fldChar w:fldCharType="separate"/>
      </w:r>
      <w:r>
        <w:rPr>
          <w:rFonts w:ascii="宋体" w:hAnsi="宋体" w:eastAsia="宋体"/>
          <w:color w:val="auto"/>
          <w:sz w:val="28"/>
          <w:szCs w:val="28"/>
        </w:rPr>
        <w:t>160</w:t>
      </w:r>
      <w:r>
        <w:rPr>
          <w:rFonts w:ascii="宋体" w:hAnsi="宋体" w:eastAsia="宋体"/>
          <w:color w:val="auto"/>
          <w:sz w:val="28"/>
          <w:szCs w:val="28"/>
        </w:rPr>
        <w:fldChar w:fldCharType="end"/>
      </w:r>
    </w:p>
    <w:p>
      <w:pPr>
        <w:pStyle w:val="31"/>
        <w:tabs>
          <w:tab w:val="right" w:leader="dot" w:pos="9730"/>
        </w:tabs>
        <w:spacing w:line="560" w:lineRule="exact"/>
        <w:rPr>
          <w:rFonts w:ascii="宋体" w:hAnsi="宋体" w:eastAsia="宋体" w:cstheme="minorBidi"/>
          <w:b w:val="0"/>
          <w:bCs w:val="0"/>
          <w:caps w:val="0"/>
          <w:color w:val="auto"/>
          <w:kern w:val="2"/>
          <w:sz w:val="28"/>
          <w:szCs w:val="28"/>
          <w:lang w:val="en-US" w:eastAsia="zh-CN" w:bidi="ar-SA"/>
        </w:rPr>
      </w:pPr>
      <w:r>
        <w:rPr>
          <w:rFonts w:hint="eastAsia" w:ascii="宋体" w:hAnsi="宋体" w:eastAsia="宋体"/>
          <w:color w:val="auto"/>
          <w:sz w:val="28"/>
          <w:szCs w:val="28"/>
        </w:rPr>
        <w:t>附件</w:t>
      </w:r>
      <w:r>
        <w:rPr>
          <w:rFonts w:ascii="宋体" w:hAnsi="宋体" w:eastAsia="宋体"/>
          <w:color w:val="auto"/>
          <w:sz w:val="28"/>
          <w:szCs w:val="28"/>
        </w:rPr>
        <w:t>4</w:t>
      </w:r>
      <w:r>
        <w:rPr>
          <w:rFonts w:hint="eastAsia" w:ascii="宋体" w:hAnsi="宋体" w:eastAsia="宋体"/>
          <w:color w:val="auto"/>
          <w:sz w:val="28"/>
          <w:szCs w:val="28"/>
        </w:rPr>
        <w:t>企业平面布置及四至图、工艺流程图、防爆区域划分图</w:t>
      </w:r>
      <w:r>
        <w:rPr>
          <w:rFonts w:ascii="宋体" w:hAnsi="宋体" w:eastAsia="宋体"/>
          <w:color w:val="auto"/>
          <w:sz w:val="28"/>
          <w:szCs w:val="28"/>
        </w:rPr>
        <w:tab/>
      </w:r>
      <w:r>
        <w:rPr>
          <w:rFonts w:ascii="宋体" w:hAnsi="宋体" w:eastAsia="宋体"/>
          <w:color w:val="auto"/>
          <w:sz w:val="28"/>
          <w:szCs w:val="28"/>
        </w:rPr>
        <w:fldChar w:fldCharType="begin"/>
      </w:r>
      <w:r>
        <w:rPr>
          <w:rFonts w:ascii="宋体" w:hAnsi="宋体" w:eastAsia="宋体"/>
          <w:color w:val="auto"/>
          <w:sz w:val="28"/>
          <w:szCs w:val="28"/>
        </w:rPr>
        <w:instrText xml:space="preserve"> PAGEREF _Toc40045948 \h </w:instrText>
      </w:r>
      <w:r>
        <w:rPr>
          <w:rFonts w:ascii="宋体" w:hAnsi="宋体" w:eastAsia="宋体"/>
          <w:color w:val="auto"/>
          <w:sz w:val="28"/>
          <w:szCs w:val="28"/>
        </w:rPr>
        <w:fldChar w:fldCharType="separate"/>
      </w:r>
      <w:r>
        <w:rPr>
          <w:rFonts w:ascii="宋体" w:hAnsi="宋体" w:eastAsia="宋体"/>
          <w:color w:val="auto"/>
          <w:sz w:val="28"/>
          <w:szCs w:val="28"/>
        </w:rPr>
        <w:t>162</w:t>
      </w:r>
      <w:r>
        <w:rPr>
          <w:rFonts w:ascii="宋体" w:hAnsi="宋体" w:eastAsia="宋体"/>
          <w:color w:val="auto"/>
          <w:sz w:val="28"/>
          <w:szCs w:val="28"/>
        </w:rPr>
        <w:fldChar w:fldCharType="end"/>
      </w:r>
    </w:p>
    <w:p>
      <w:pPr>
        <w:pStyle w:val="36"/>
        <w:tabs>
          <w:tab w:val="right" w:leader="dot" w:pos="9730"/>
        </w:tabs>
        <w:spacing w:line="560" w:lineRule="exact"/>
        <w:rPr>
          <w:rFonts w:ascii="宋体" w:hAnsi="宋体" w:eastAsia="宋体" w:cstheme="minorBidi"/>
          <w:smallCaps w:val="0"/>
          <w:color w:val="auto"/>
          <w:kern w:val="2"/>
          <w:sz w:val="28"/>
          <w:szCs w:val="28"/>
          <w:lang w:val="en-US" w:eastAsia="zh-CN" w:bidi="ar-SA"/>
        </w:rPr>
      </w:pPr>
      <w:r>
        <w:rPr>
          <w:rFonts w:ascii="宋体" w:hAnsi="宋体" w:eastAsia="宋体" w:cs="Times New Roman"/>
          <w:bCs/>
          <w:color w:val="auto"/>
          <w:kern w:val="2"/>
          <w:sz w:val="28"/>
          <w:szCs w:val="28"/>
          <w:lang w:val="en-US" w:eastAsia="zh-CN"/>
        </w:rPr>
        <w:t>4.1</w:t>
      </w:r>
      <w:r>
        <w:rPr>
          <w:rFonts w:hint="eastAsia" w:ascii="宋体" w:hAnsi="宋体" w:eastAsia="宋体" w:cs="Times New Roman"/>
          <w:bCs/>
          <w:color w:val="auto"/>
          <w:kern w:val="2"/>
          <w:sz w:val="28"/>
          <w:szCs w:val="28"/>
          <w:lang w:val="en-US" w:eastAsia="zh-CN"/>
        </w:rPr>
        <w:t>被评价单位平面布置图及四至图、防爆区域划分图</w:t>
      </w:r>
      <w:r>
        <w:rPr>
          <w:rFonts w:ascii="宋体" w:hAnsi="宋体" w:eastAsia="宋体"/>
          <w:color w:val="auto"/>
          <w:sz w:val="28"/>
          <w:szCs w:val="28"/>
        </w:rPr>
        <w:tab/>
      </w:r>
      <w:r>
        <w:rPr>
          <w:rFonts w:ascii="宋体" w:hAnsi="宋体" w:eastAsia="宋体"/>
          <w:color w:val="auto"/>
          <w:sz w:val="28"/>
          <w:szCs w:val="28"/>
        </w:rPr>
        <w:fldChar w:fldCharType="begin"/>
      </w:r>
      <w:r>
        <w:rPr>
          <w:rFonts w:ascii="宋体" w:hAnsi="宋体" w:eastAsia="宋体"/>
          <w:color w:val="auto"/>
          <w:sz w:val="28"/>
          <w:szCs w:val="28"/>
        </w:rPr>
        <w:instrText xml:space="preserve"> PAGEREF _Toc40045949 \h </w:instrText>
      </w:r>
      <w:r>
        <w:rPr>
          <w:rFonts w:ascii="宋体" w:hAnsi="宋体" w:eastAsia="宋体"/>
          <w:color w:val="auto"/>
          <w:sz w:val="28"/>
          <w:szCs w:val="28"/>
        </w:rPr>
        <w:fldChar w:fldCharType="separate"/>
      </w:r>
      <w:r>
        <w:rPr>
          <w:rFonts w:ascii="宋体" w:hAnsi="宋体" w:eastAsia="宋体"/>
          <w:color w:val="auto"/>
          <w:sz w:val="28"/>
          <w:szCs w:val="28"/>
        </w:rPr>
        <w:t>162</w:t>
      </w:r>
      <w:r>
        <w:rPr>
          <w:rFonts w:ascii="宋体" w:hAnsi="宋体" w:eastAsia="宋体"/>
          <w:color w:val="auto"/>
          <w:sz w:val="28"/>
          <w:szCs w:val="28"/>
        </w:rPr>
        <w:fldChar w:fldCharType="end"/>
      </w:r>
    </w:p>
    <w:p>
      <w:pPr>
        <w:pStyle w:val="36"/>
        <w:tabs>
          <w:tab w:val="right" w:leader="dot" w:pos="9730"/>
        </w:tabs>
        <w:spacing w:line="560" w:lineRule="exact"/>
        <w:rPr>
          <w:rFonts w:ascii="宋体" w:hAnsi="宋体" w:eastAsia="宋体" w:cstheme="minorBidi"/>
          <w:smallCaps w:val="0"/>
          <w:color w:val="auto"/>
          <w:kern w:val="2"/>
          <w:sz w:val="28"/>
          <w:szCs w:val="28"/>
          <w:lang w:val="en-US" w:eastAsia="zh-CN" w:bidi="ar-SA"/>
        </w:rPr>
      </w:pPr>
      <w:r>
        <w:rPr>
          <w:rFonts w:ascii="宋体" w:hAnsi="宋体" w:eastAsia="宋体" w:cs="Times New Roman"/>
          <w:bCs/>
          <w:color w:val="auto"/>
          <w:kern w:val="2"/>
          <w:sz w:val="28"/>
          <w:szCs w:val="28"/>
          <w:lang w:val="en-US" w:eastAsia="zh-CN"/>
        </w:rPr>
        <w:t>4.2</w:t>
      </w:r>
      <w:r>
        <w:rPr>
          <w:rFonts w:hint="eastAsia" w:ascii="宋体" w:hAnsi="宋体" w:eastAsia="宋体" w:cs="Times New Roman"/>
          <w:bCs/>
          <w:color w:val="auto"/>
          <w:kern w:val="2"/>
          <w:sz w:val="28"/>
          <w:szCs w:val="28"/>
          <w:lang w:val="en-US" w:eastAsia="zh-CN"/>
        </w:rPr>
        <w:t>工艺流程图</w:t>
      </w:r>
      <w:r>
        <w:rPr>
          <w:rFonts w:ascii="宋体" w:hAnsi="宋体" w:eastAsia="宋体"/>
          <w:color w:val="auto"/>
          <w:sz w:val="28"/>
          <w:szCs w:val="28"/>
        </w:rPr>
        <w:tab/>
      </w:r>
      <w:r>
        <w:rPr>
          <w:rFonts w:ascii="宋体" w:hAnsi="宋体" w:eastAsia="宋体"/>
          <w:color w:val="auto"/>
          <w:sz w:val="28"/>
          <w:szCs w:val="28"/>
        </w:rPr>
        <w:fldChar w:fldCharType="begin"/>
      </w:r>
      <w:r>
        <w:rPr>
          <w:rFonts w:ascii="宋体" w:hAnsi="宋体" w:eastAsia="宋体"/>
          <w:color w:val="auto"/>
          <w:sz w:val="28"/>
          <w:szCs w:val="28"/>
        </w:rPr>
        <w:instrText xml:space="preserve"> PAGEREF _Toc40045950 \h </w:instrText>
      </w:r>
      <w:r>
        <w:rPr>
          <w:rFonts w:ascii="宋体" w:hAnsi="宋体" w:eastAsia="宋体"/>
          <w:color w:val="auto"/>
          <w:sz w:val="28"/>
          <w:szCs w:val="28"/>
        </w:rPr>
        <w:fldChar w:fldCharType="separate"/>
      </w:r>
      <w:r>
        <w:rPr>
          <w:rFonts w:ascii="宋体" w:hAnsi="宋体" w:eastAsia="宋体"/>
          <w:color w:val="auto"/>
          <w:sz w:val="28"/>
          <w:szCs w:val="28"/>
        </w:rPr>
        <w:t>162</w:t>
      </w:r>
      <w:r>
        <w:rPr>
          <w:rFonts w:ascii="宋体" w:hAnsi="宋体" w:eastAsia="宋体"/>
          <w:color w:val="auto"/>
          <w:sz w:val="28"/>
          <w:szCs w:val="28"/>
        </w:rPr>
        <w:fldChar w:fldCharType="end"/>
      </w:r>
    </w:p>
    <w:p>
      <w:pPr>
        <w:pStyle w:val="36"/>
        <w:tabs>
          <w:tab w:val="right" w:leader="dot" w:pos="9730"/>
        </w:tabs>
        <w:spacing w:line="560" w:lineRule="exact"/>
        <w:rPr>
          <w:rFonts w:ascii="宋体" w:hAnsi="宋体" w:eastAsia="宋体" w:cstheme="minorBidi"/>
          <w:smallCaps w:val="0"/>
          <w:color w:val="auto"/>
          <w:kern w:val="2"/>
          <w:sz w:val="28"/>
          <w:szCs w:val="28"/>
          <w:lang w:val="en-US" w:eastAsia="zh-CN" w:bidi="ar-SA"/>
        </w:rPr>
      </w:pPr>
      <w:r>
        <w:rPr>
          <w:rFonts w:ascii="宋体" w:hAnsi="宋体" w:eastAsia="宋体" w:cs="Times New Roman"/>
          <w:bCs/>
          <w:color w:val="auto"/>
          <w:kern w:val="2"/>
          <w:sz w:val="28"/>
          <w:szCs w:val="28"/>
          <w:lang w:val="en-US" w:eastAsia="zh-CN"/>
        </w:rPr>
        <w:t>4.3</w:t>
      </w:r>
      <w:r>
        <w:rPr>
          <w:rFonts w:hint="eastAsia" w:ascii="宋体" w:hAnsi="宋体" w:eastAsia="宋体" w:cs="Times New Roman"/>
          <w:bCs/>
          <w:color w:val="auto"/>
          <w:kern w:val="2"/>
          <w:sz w:val="28"/>
          <w:szCs w:val="28"/>
          <w:lang w:val="en-US" w:eastAsia="zh-CN"/>
        </w:rPr>
        <w:t>安全评价流程图</w:t>
      </w:r>
      <w:r>
        <w:rPr>
          <w:rFonts w:ascii="宋体" w:hAnsi="宋体" w:eastAsia="宋体"/>
          <w:color w:val="auto"/>
          <w:sz w:val="28"/>
          <w:szCs w:val="28"/>
        </w:rPr>
        <w:tab/>
      </w:r>
      <w:r>
        <w:rPr>
          <w:rFonts w:ascii="宋体" w:hAnsi="宋体" w:eastAsia="宋体"/>
          <w:color w:val="auto"/>
          <w:sz w:val="28"/>
          <w:szCs w:val="28"/>
        </w:rPr>
        <w:fldChar w:fldCharType="begin"/>
      </w:r>
      <w:r>
        <w:rPr>
          <w:rFonts w:ascii="宋体" w:hAnsi="宋体" w:eastAsia="宋体"/>
          <w:color w:val="auto"/>
          <w:sz w:val="28"/>
          <w:szCs w:val="28"/>
        </w:rPr>
        <w:instrText xml:space="preserve"> PAGEREF _Toc40045951 \h </w:instrText>
      </w:r>
      <w:r>
        <w:rPr>
          <w:rFonts w:ascii="宋体" w:hAnsi="宋体" w:eastAsia="宋体"/>
          <w:color w:val="auto"/>
          <w:sz w:val="28"/>
          <w:szCs w:val="28"/>
        </w:rPr>
        <w:fldChar w:fldCharType="separate"/>
      </w:r>
      <w:r>
        <w:rPr>
          <w:rFonts w:ascii="宋体" w:hAnsi="宋体" w:eastAsia="宋体"/>
          <w:color w:val="auto"/>
          <w:sz w:val="28"/>
          <w:szCs w:val="28"/>
        </w:rPr>
        <w:t>164</w:t>
      </w:r>
      <w:r>
        <w:rPr>
          <w:rFonts w:ascii="宋体" w:hAnsi="宋体" w:eastAsia="宋体"/>
          <w:color w:val="auto"/>
          <w:sz w:val="28"/>
          <w:szCs w:val="28"/>
        </w:rPr>
        <w:fldChar w:fldCharType="end"/>
      </w:r>
    </w:p>
    <w:p>
      <w:pPr>
        <w:pStyle w:val="31"/>
        <w:tabs>
          <w:tab w:val="right" w:leader="dot" w:pos="9730"/>
        </w:tabs>
        <w:spacing w:line="560" w:lineRule="exact"/>
        <w:rPr>
          <w:rFonts w:ascii="宋体" w:hAnsi="宋体" w:eastAsia="宋体" w:cstheme="minorBidi"/>
          <w:b w:val="0"/>
          <w:bCs w:val="0"/>
          <w:caps w:val="0"/>
          <w:color w:val="auto"/>
          <w:kern w:val="2"/>
          <w:sz w:val="28"/>
          <w:szCs w:val="28"/>
          <w:lang w:val="en-US" w:eastAsia="zh-CN" w:bidi="ar-SA"/>
        </w:rPr>
      </w:pPr>
      <w:r>
        <w:rPr>
          <w:rFonts w:hint="eastAsia" w:ascii="宋体" w:hAnsi="宋体" w:eastAsia="宋体"/>
          <w:color w:val="auto"/>
          <w:sz w:val="28"/>
          <w:szCs w:val="28"/>
        </w:rPr>
        <w:t>附件</w:t>
      </w:r>
      <w:r>
        <w:rPr>
          <w:rFonts w:ascii="宋体" w:hAnsi="宋体" w:eastAsia="宋体"/>
          <w:color w:val="auto"/>
          <w:sz w:val="28"/>
          <w:szCs w:val="28"/>
        </w:rPr>
        <w:t>5</w:t>
      </w:r>
      <w:r>
        <w:rPr>
          <w:rFonts w:hint="eastAsia" w:ascii="宋体" w:hAnsi="宋体" w:eastAsia="宋体"/>
          <w:color w:val="auto"/>
          <w:sz w:val="28"/>
          <w:szCs w:val="28"/>
        </w:rPr>
        <w:t>安全评价方法简介</w:t>
      </w:r>
      <w:r>
        <w:rPr>
          <w:rFonts w:ascii="宋体" w:hAnsi="宋体" w:eastAsia="宋体"/>
          <w:color w:val="auto"/>
          <w:sz w:val="28"/>
          <w:szCs w:val="28"/>
        </w:rPr>
        <w:tab/>
      </w:r>
      <w:r>
        <w:rPr>
          <w:rFonts w:ascii="宋体" w:hAnsi="宋体" w:eastAsia="宋体"/>
          <w:color w:val="auto"/>
          <w:sz w:val="28"/>
          <w:szCs w:val="28"/>
        </w:rPr>
        <w:fldChar w:fldCharType="begin"/>
      </w:r>
      <w:r>
        <w:rPr>
          <w:rFonts w:ascii="宋体" w:hAnsi="宋体" w:eastAsia="宋体"/>
          <w:color w:val="auto"/>
          <w:sz w:val="28"/>
          <w:szCs w:val="28"/>
        </w:rPr>
        <w:instrText xml:space="preserve"> PAGEREF _Toc40045952 \h </w:instrText>
      </w:r>
      <w:r>
        <w:rPr>
          <w:rFonts w:ascii="宋体" w:hAnsi="宋体" w:eastAsia="宋体"/>
          <w:color w:val="auto"/>
          <w:sz w:val="28"/>
          <w:szCs w:val="28"/>
        </w:rPr>
        <w:fldChar w:fldCharType="separate"/>
      </w:r>
      <w:r>
        <w:rPr>
          <w:rFonts w:ascii="宋体" w:hAnsi="宋体" w:eastAsia="宋体"/>
          <w:color w:val="auto"/>
          <w:sz w:val="28"/>
          <w:szCs w:val="28"/>
        </w:rPr>
        <w:t>165</w:t>
      </w:r>
      <w:r>
        <w:rPr>
          <w:rFonts w:ascii="宋体" w:hAnsi="宋体" w:eastAsia="宋体"/>
          <w:color w:val="auto"/>
          <w:sz w:val="28"/>
          <w:szCs w:val="28"/>
        </w:rPr>
        <w:fldChar w:fldCharType="end"/>
      </w:r>
    </w:p>
    <w:p>
      <w:pPr>
        <w:pStyle w:val="36"/>
        <w:tabs>
          <w:tab w:val="right" w:leader="dot" w:pos="9730"/>
        </w:tabs>
        <w:spacing w:line="560" w:lineRule="exact"/>
        <w:rPr>
          <w:rFonts w:ascii="宋体" w:hAnsi="宋体" w:eastAsia="宋体" w:cstheme="minorBidi"/>
          <w:smallCaps w:val="0"/>
          <w:color w:val="auto"/>
          <w:kern w:val="2"/>
          <w:sz w:val="28"/>
          <w:szCs w:val="28"/>
          <w:lang w:val="en-US" w:eastAsia="zh-CN" w:bidi="ar-SA"/>
        </w:rPr>
      </w:pPr>
      <w:r>
        <w:rPr>
          <w:rFonts w:hint="eastAsia" w:ascii="宋体" w:hAnsi="宋体" w:eastAsia="宋体" w:cs="Times New Roman"/>
          <w:bCs/>
          <w:color w:val="auto"/>
          <w:kern w:val="2"/>
          <w:sz w:val="28"/>
          <w:szCs w:val="28"/>
          <w:lang w:val="en-US" w:eastAsia="zh-CN"/>
        </w:rPr>
        <w:t>附件</w:t>
      </w:r>
      <w:r>
        <w:rPr>
          <w:rFonts w:ascii="宋体" w:hAnsi="宋体" w:eastAsia="宋体" w:cs="Times New Roman"/>
          <w:bCs/>
          <w:color w:val="auto"/>
          <w:kern w:val="2"/>
          <w:sz w:val="28"/>
          <w:szCs w:val="28"/>
          <w:lang w:val="en-US" w:eastAsia="zh-CN"/>
        </w:rPr>
        <w:t>5.1</w:t>
      </w:r>
      <w:r>
        <w:rPr>
          <w:rFonts w:hint="eastAsia" w:ascii="宋体" w:hAnsi="宋体" w:eastAsia="宋体" w:cs="Times New Roman"/>
          <w:bCs/>
          <w:color w:val="auto"/>
          <w:kern w:val="2"/>
          <w:sz w:val="28"/>
          <w:szCs w:val="28"/>
          <w:lang w:val="en-US" w:eastAsia="zh-CN"/>
        </w:rPr>
        <w:t>安全检查表法简介</w:t>
      </w:r>
      <w:r>
        <w:rPr>
          <w:rFonts w:ascii="宋体" w:hAnsi="宋体" w:eastAsia="宋体"/>
          <w:color w:val="auto"/>
          <w:sz w:val="28"/>
          <w:szCs w:val="28"/>
        </w:rPr>
        <w:tab/>
      </w:r>
      <w:r>
        <w:rPr>
          <w:rFonts w:ascii="宋体" w:hAnsi="宋体" w:eastAsia="宋体"/>
          <w:color w:val="auto"/>
          <w:sz w:val="28"/>
          <w:szCs w:val="28"/>
        </w:rPr>
        <w:fldChar w:fldCharType="begin"/>
      </w:r>
      <w:r>
        <w:rPr>
          <w:rFonts w:ascii="宋体" w:hAnsi="宋体" w:eastAsia="宋体"/>
          <w:color w:val="auto"/>
          <w:sz w:val="28"/>
          <w:szCs w:val="28"/>
        </w:rPr>
        <w:instrText xml:space="preserve"> PAGEREF _Toc40045953 \h </w:instrText>
      </w:r>
      <w:r>
        <w:rPr>
          <w:rFonts w:ascii="宋体" w:hAnsi="宋体" w:eastAsia="宋体"/>
          <w:color w:val="auto"/>
          <w:sz w:val="28"/>
          <w:szCs w:val="28"/>
        </w:rPr>
        <w:fldChar w:fldCharType="separate"/>
      </w:r>
      <w:r>
        <w:rPr>
          <w:rFonts w:ascii="宋体" w:hAnsi="宋体" w:eastAsia="宋体"/>
          <w:color w:val="auto"/>
          <w:sz w:val="28"/>
          <w:szCs w:val="28"/>
        </w:rPr>
        <w:t>165</w:t>
      </w:r>
      <w:r>
        <w:rPr>
          <w:rFonts w:ascii="宋体" w:hAnsi="宋体" w:eastAsia="宋体"/>
          <w:color w:val="auto"/>
          <w:sz w:val="28"/>
          <w:szCs w:val="28"/>
        </w:rPr>
        <w:fldChar w:fldCharType="end"/>
      </w:r>
    </w:p>
    <w:p>
      <w:pPr>
        <w:pStyle w:val="36"/>
        <w:tabs>
          <w:tab w:val="right" w:leader="dot" w:pos="9730"/>
        </w:tabs>
        <w:spacing w:line="560" w:lineRule="exact"/>
        <w:rPr>
          <w:rFonts w:ascii="宋体" w:hAnsi="宋体" w:eastAsia="宋体" w:cstheme="minorBidi"/>
          <w:smallCaps w:val="0"/>
          <w:color w:val="auto"/>
          <w:kern w:val="2"/>
          <w:sz w:val="28"/>
          <w:szCs w:val="28"/>
          <w:lang w:val="en-US" w:eastAsia="zh-CN" w:bidi="ar-SA"/>
        </w:rPr>
      </w:pPr>
      <w:r>
        <w:rPr>
          <w:rFonts w:hint="eastAsia" w:ascii="宋体" w:hAnsi="宋体" w:eastAsia="宋体" w:cs="Times New Roman"/>
          <w:bCs/>
          <w:color w:val="auto"/>
          <w:kern w:val="2"/>
          <w:sz w:val="28"/>
          <w:szCs w:val="28"/>
          <w:lang w:val="en-US" w:eastAsia="zh-CN"/>
        </w:rPr>
        <w:t>附件</w:t>
      </w:r>
      <w:r>
        <w:rPr>
          <w:rFonts w:ascii="宋体" w:hAnsi="宋体" w:eastAsia="宋体" w:cs="Times New Roman"/>
          <w:bCs/>
          <w:color w:val="auto"/>
          <w:kern w:val="2"/>
          <w:sz w:val="28"/>
          <w:szCs w:val="28"/>
          <w:lang w:val="en-US" w:eastAsia="zh-CN"/>
        </w:rPr>
        <w:t>5.2</w:t>
      </w:r>
      <w:r>
        <w:rPr>
          <w:rFonts w:hint="eastAsia" w:ascii="宋体" w:hAnsi="宋体" w:eastAsia="宋体" w:cs="Times New Roman"/>
          <w:bCs/>
          <w:color w:val="auto"/>
          <w:kern w:val="2"/>
          <w:sz w:val="28"/>
          <w:szCs w:val="28"/>
          <w:lang w:val="en-US" w:eastAsia="zh-CN"/>
        </w:rPr>
        <w:t>道化学火灾、爆炸指数评价法介绍</w:t>
      </w:r>
      <w:r>
        <w:rPr>
          <w:rFonts w:ascii="宋体" w:hAnsi="宋体" w:eastAsia="宋体"/>
          <w:color w:val="auto"/>
          <w:sz w:val="28"/>
          <w:szCs w:val="28"/>
        </w:rPr>
        <w:tab/>
      </w:r>
      <w:r>
        <w:rPr>
          <w:rFonts w:ascii="宋体" w:hAnsi="宋体" w:eastAsia="宋体"/>
          <w:color w:val="auto"/>
          <w:sz w:val="28"/>
          <w:szCs w:val="28"/>
        </w:rPr>
        <w:fldChar w:fldCharType="begin"/>
      </w:r>
      <w:r>
        <w:rPr>
          <w:rFonts w:ascii="宋体" w:hAnsi="宋体" w:eastAsia="宋体"/>
          <w:color w:val="auto"/>
          <w:sz w:val="28"/>
          <w:szCs w:val="28"/>
        </w:rPr>
        <w:instrText xml:space="preserve"> PAGEREF _Toc40045954 \h </w:instrText>
      </w:r>
      <w:r>
        <w:rPr>
          <w:rFonts w:ascii="宋体" w:hAnsi="宋体" w:eastAsia="宋体"/>
          <w:color w:val="auto"/>
          <w:sz w:val="28"/>
          <w:szCs w:val="28"/>
        </w:rPr>
        <w:fldChar w:fldCharType="separate"/>
      </w:r>
      <w:r>
        <w:rPr>
          <w:rFonts w:ascii="宋体" w:hAnsi="宋体" w:eastAsia="宋体"/>
          <w:color w:val="auto"/>
          <w:sz w:val="28"/>
          <w:szCs w:val="28"/>
        </w:rPr>
        <w:t>165</w:t>
      </w:r>
      <w:r>
        <w:rPr>
          <w:rFonts w:ascii="宋体" w:hAnsi="宋体" w:eastAsia="宋体"/>
          <w:color w:val="auto"/>
          <w:sz w:val="28"/>
          <w:szCs w:val="28"/>
        </w:rPr>
        <w:fldChar w:fldCharType="end"/>
      </w:r>
    </w:p>
    <w:p>
      <w:pPr>
        <w:pStyle w:val="36"/>
        <w:tabs>
          <w:tab w:val="right" w:leader="dot" w:pos="9730"/>
        </w:tabs>
        <w:spacing w:line="560" w:lineRule="exact"/>
        <w:rPr>
          <w:rFonts w:ascii="宋体" w:hAnsi="宋体" w:eastAsia="宋体" w:cstheme="minorBidi"/>
          <w:smallCaps w:val="0"/>
          <w:color w:val="auto"/>
          <w:kern w:val="2"/>
          <w:sz w:val="28"/>
          <w:szCs w:val="28"/>
          <w:lang w:val="en-US" w:eastAsia="zh-CN" w:bidi="ar-SA"/>
        </w:rPr>
      </w:pPr>
      <w:r>
        <w:rPr>
          <w:rFonts w:hint="eastAsia" w:ascii="宋体" w:hAnsi="宋体" w:eastAsia="宋体" w:cs="Times New Roman"/>
          <w:bCs/>
          <w:color w:val="auto"/>
          <w:kern w:val="2"/>
          <w:sz w:val="28"/>
          <w:szCs w:val="28"/>
          <w:lang w:val="en-US" w:eastAsia="zh-CN"/>
        </w:rPr>
        <w:t>附件</w:t>
      </w:r>
      <w:r>
        <w:rPr>
          <w:rFonts w:ascii="宋体" w:hAnsi="宋体" w:eastAsia="宋体" w:cs="Times New Roman"/>
          <w:bCs/>
          <w:color w:val="auto"/>
          <w:kern w:val="2"/>
          <w:sz w:val="28"/>
          <w:szCs w:val="28"/>
          <w:lang w:val="en-US" w:eastAsia="zh-CN"/>
        </w:rPr>
        <w:t>5.3</w:t>
      </w:r>
      <w:r>
        <w:rPr>
          <w:rFonts w:hint="eastAsia" w:ascii="宋体" w:hAnsi="宋体" w:eastAsia="宋体" w:cs="Times New Roman"/>
          <w:bCs/>
          <w:color w:val="auto"/>
          <w:kern w:val="2"/>
          <w:sz w:val="28"/>
          <w:szCs w:val="28"/>
          <w:lang w:val="en-US" w:eastAsia="zh-CN"/>
        </w:rPr>
        <w:t>危险度评价法介绍</w:t>
      </w:r>
      <w:r>
        <w:rPr>
          <w:rFonts w:ascii="宋体" w:hAnsi="宋体" w:eastAsia="宋体"/>
          <w:color w:val="auto"/>
          <w:sz w:val="28"/>
          <w:szCs w:val="28"/>
        </w:rPr>
        <w:tab/>
      </w:r>
      <w:r>
        <w:rPr>
          <w:rFonts w:ascii="宋体" w:hAnsi="宋体" w:eastAsia="宋体"/>
          <w:color w:val="auto"/>
          <w:sz w:val="28"/>
          <w:szCs w:val="28"/>
        </w:rPr>
        <w:fldChar w:fldCharType="begin"/>
      </w:r>
      <w:r>
        <w:rPr>
          <w:rFonts w:ascii="宋体" w:hAnsi="宋体" w:eastAsia="宋体"/>
          <w:color w:val="auto"/>
          <w:sz w:val="28"/>
          <w:szCs w:val="28"/>
        </w:rPr>
        <w:instrText xml:space="preserve"> PAGEREF _Toc40045955 \h </w:instrText>
      </w:r>
      <w:r>
        <w:rPr>
          <w:rFonts w:ascii="宋体" w:hAnsi="宋体" w:eastAsia="宋体"/>
          <w:color w:val="auto"/>
          <w:sz w:val="28"/>
          <w:szCs w:val="28"/>
        </w:rPr>
        <w:fldChar w:fldCharType="separate"/>
      </w:r>
      <w:r>
        <w:rPr>
          <w:rFonts w:ascii="宋体" w:hAnsi="宋体" w:eastAsia="宋体"/>
          <w:color w:val="auto"/>
          <w:sz w:val="28"/>
          <w:szCs w:val="28"/>
        </w:rPr>
        <w:t>167</w:t>
      </w:r>
      <w:r>
        <w:rPr>
          <w:rFonts w:ascii="宋体" w:hAnsi="宋体" w:eastAsia="宋体"/>
          <w:color w:val="auto"/>
          <w:sz w:val="28"/>
          <w:szCs w:val="28"/>
        </w:rPr>
        <w:fldChar w:fldCharType="end"/>
      </w:r>
    </w:p>
    <w:p>
      <w:pPr>
        <w:pStyle w:val="36"/>
        <w:tabs>
          <w:tab w:val="right" w:leader="dot" w:pos="9730"/>
        </w:tabs>
        <w:spacing w:line="560" w:lineRule="exact"/>
        <w:rPr>
          <w:rFonts w:ascii="宋体" w:hAnsi="宋体" w:eastAsia="宋体" w:cstheme="minorBidi"/>
          <w:smallCaps w:val="0"/>
          <w:color w:val="auto"/>
          <w:kern w:val="2"/>
          <w:sz w:val="28"/>
          <w:szCs w:val="28"/>
          <w:lang w:val="en-US" w:eastAsia="zh-CN" w:bidi="ar-SA"/>
        </w:rPr>
      </w:pPr>
      <w:r>
        <w:rPr>
          <w:rFonts w:hint="eastAsia" w:ascii="宋体" w:hAnsi="宋体" w:eastAsia="宋体" w:cs="Times New Roman"/>
          <w:bCs/>
          <w:color w:val="auto"/>
          <w:kern w:val="2"/>
          <w:sz w:val="28"/>
          <w:szCs w:val="28"/>
          <w:lang w:val="en-US" w:eastAsia="zh-CN"/>
        </w:rPr>
        <w:t>附件</w:t>
      </w:r>
      <w:r>
        <w:rPr>
          <w:rFonts w:ascii="宋体" w:hAnsi="宋体" w:eastAsia="宋体" w:cs="Times New Roman"/>
          <w:bCs/>
          <w:color w:val="auto"/>
          <w:kern w:val="2"/>
          <w:sz w:val="28"/>
          <w:szCs w:val="28"/>
          <w:lang w:val="en-US" w:eastAsia="zh-CN"/>
        </w:rPr>
        <w:t>5.4</w:t>
      </w:r>
      <w:r>
        <w:rPr>
          <w:rFonts w:hint="eastAsia" w:ascii="宋体" w:hAnsi="宋体" w:eastAsia="宋体" w:cs="Times New Roman"/>
          <w:bCs/>
          <w:color w:val="auto"/>
          <w:kern w:val="2"/>
          <w:sz w:val="28"/>
          <w:szCs w:val="28"/>
          <w:lang w:val="en-US" w:eastAsia="zh-CN"/>
        </w:rPr>
        <w:t>事故树分析法简介</w:t>
      </w:r>
      <w:r>
        <w:rPr>
          <w:rFonts w:ascii="宋体" w:hAnsi="宋体" w:eastAsia="宋体"/>
          <w:color w:val="auto"/>
          <w:sz w:val="28"/>
          <w:szCs w:val="28"/>
        </w:rPr>
        <w:tab/>
      </w:r>
      <w:r>
        <w:rPr>
          <w:rFonts w:ascii="宋体" w:hAnsi="宋体" w:eastAsia="宋体"/>
          <w:color w:val="auto"/>
          <w:sz w:val="28"/>
          <w:szCs w:val="28"/>
        </w:rPr>
        <w:fldChar w:fldCharType="begin"/>
      </w:r>
      <w:r>
        <w:rPr>
          <w:rFonts w:ascii="宋体" w:hAnsi="宋体" w:eastAsia="宋体"/>
          <w:color w:val="auto"/>
          <w:sz w:val="28"/>
          <w:szCs w:val="28"/>
        </w:rPr>
        <w:instrText xml:space="preserve"> PAGEREF _Toc40045956 \h </w:instrText>
      </w:r>
      <w:r>
        <w:rPr>
          <w:rFonts w:ascii="宋体" w:hAnsi="宋体" w:eastAsia="宋体"/>
          <w:color w:val="auto"/>
          <w:sz w:val="28"/>
          <w:szCs w:val="28"/>
        </w:rPr>
        <w:fldChar w:fldCharType="separate"/>
      </w:r>
      <w:r>
        <w:rPr>
          <w:rFonts w:ascii="宋体" w:hAnsi="宋体" w:eastAsia="宋体"/>
          <w:color w:val="auto"/>
          <w:sz w:val="28"/>
          <w:szCs w:val="28"/>
        </w:rPr>
        <w:t>167</w:t>
      </w:r>
      <w:r>
        <w:rPr>
          <w:rFonts w:ascii="宋体" w:hAnsi="宋体" w:eastAsia="宋体"/>
          <w:color w:val="auto"/>
          <w:sz w:val="28"/>
          <w:szCs w:val="28"/>
        </w:rPr>
        <w:fldChar w:fldCharType="end"/>
      </w:r>
    </w:p>
    <w:p>
      <w:pPr>
        <w:pStyle w:val="31"/>
        <w:tabs>
          <w:tab w:val="right" w:leader="dot" w:pos="9730"/>
        </w:tabs>
        <w:spacing w:line="560" w:lineRule="exact"/>
        <w:rPr>
          <w:rFonts w:ascii="宋体" w:hAnsi="宋体" w:eastAsia="宋体" w:cstheme="minorBidi"/>
          <w:b w:val="0"/>
          <w:bCs w:val="0"/>
          <w:caps w:val="0"/>
          <w:color w:val="auto"/>
          <w:kern w:val="2"/>
          <w:sz w:val="28"/>
          <w:szCs w:val="28"/>
          <w:lang w:val="en-US" w:eastAsia="zh-CN" w:bidi="ar-SA"/>
        </w:rPr>
      </w:pPr>
      <w:r>
        <w:rPr>
          <w:rFonts w:hint="eastAsia" w:ascii="宋体" w:hAnsi="宋体" w:eastAsia="宋体"/>
          <w:color w:val="auto"/>
          <w:sz w:val="28"/>
          <w:szCs w:val="28"/>
        </w:rPr>
        <w:t>附件</w:t>
      </w:r>
      <w:r>
        <w:rPr>
          <w:rFonts w:ascii="宋体" w:hAnsi="宋体" w:eastAsia="宋体"/>
          <w:color w:val="auto"/>
          <w:sz w:val="28"/>
          <w:szCs w:val="28"/>
        </w:rPr>
        <w:t>6</w:t>
      </w:r>
      <w:r>
        <w:rPr>
          <w:rFonts w:hint="eastAsia" w:ascii="宋体" w:hAnsi="宋体" w:eastAsia="宋体"/>
          <w:color w:val="auto"/>
          <w:sz w:val="28"/>
          <w:szCs w:val="28"/>
        </w:rPr>
        <w:t>法定检测情况汇总</w:t>
      </w:r>
      <w:r>
        <w:rPr>
          <w:rFonts w:ascii="宋体" w:hAnsi="宋体" w:eastAsia="宋体"/>
          <w:color w:val="auto"/>
          <w:sz w:val="28"/>
          <w:szCs w:val="28"/>
        </w:rPr>
        <w:tab/>
      </w:r>
      <w:r>
        <w:rPr>
          <w:rFonts w:ascii="宋体" w:hAnsi="宋体" w:eastAsia="宋体"/>
          <w:color w:val="auto"/>
          <w:sz w:val="28"/>
          <w:szCs w:val="28"/>
        </w:rPr>
        <w:fldChar w:fldCharType="begin"/>
      </w:r>
      <w:r>
        <w:rPr>
          <w:rFonts w:ascii="宋体" w:hAnsi="宋体" w:eastAsia="宋体"/>
          <w:color w:val="auto"/>
          <w:sz w:val="28"/>
          <w:szCs w:val="28"/>
        </w:rPr>
        <w:instrText xml:space="preserve"> PAGEREF _Toc40045957 \h </w:instrText>
      </w:r>
      <w:r>
        <w:rPr>
          <w:rFonts w:ascii="宋体" w:hAnsi="宋体" w:eastAsia="宋体"/>
          <w:color w:val="auto"/>
          <w:sz w:val="28"/>
          <w:szCs w:val="28"/>
        </w:rPr>
        <w:fldChar w:fldCharType="separate"/>
      </w:r>
      <w:r>
        <w:rPr>
          <w:rFonts w:ascii="宋体" w:hAnsi="宋体" w:eastAsia="宋体"/>
          <w:color w:val="auto"/>
          <w:sz w:val="28"/>
          <w:szCs w:val="28"/>
        </w:rPr>
        <w:t>170</w:t>
      </w:r>
      <w:r>
        <w:rPr>
          <w:rFonts w:ascii="宋体" w:hAnsi="宋体" w:eastAsia="宋体"/>
          <w:color w:val="auto"/>
          <w:sz w:val="28"/>
          <w:szCs w:val="28"/>
        </w:rPr>
        <w:fldChar w:fldCharType="end"/>
      </w:r>
    </w:p>
    <w:p>
      <w:pPr>
        <w:pStyle w:val="31"/>
        <w:tabs>
          <w:tab w:val="right" w:leader="dot" w:pos="9730"/>
        </w:tabs>
        <w:spacing w:line="560" w:lineRule="exact"/>
        <w:rPr>
          <w:rFonts w:ascii="宋体" w:hAnsi="宋体" w:eastAsia="宋体" w:cstheme="minorBidi"/>
          <w:b w:val="0"/>
          <w:bCs w:val="0"/>
          <w:caps w:val="0"/>
          <w:color w:val="auto"/>
          <w:kern w:val="2"/>
          <w:sz w:val="28"/>
          <w:szCs w:val="28"/>
          <w:lang w:val="en-US" w:eastAsia="zh-CN" w:bidi="ar-SA"/>
        </w:rPr>
      </w:pPr>
      <w:r>
        <w:rPr>
          <w:rFonts w:hint="eastAsia" w:ascii="宋体" w:hAnsi="宋体" w:eastAsia="宋体"/>
          <w:color w:val="auto"/>
          <w:sz w:val="28"/>
          <w:szCs w:val="28"/>
        </w:rPr>
        <w:t>附件</w:t>
      </w:r>
      <w:r>
        <w:rPr>
          <w:rFonts w:ascii="宋体" w:hAnsi="宋体" w:eastAsia="宋体"/>
          <w:color w:val="auto"/>
          <w:sz w:val="28"/>
          <w:szCs w:val="28"/>
        </w:rPr>
        <w:t>7</w:t>
      </w:r>
      <w:r>
        <w:rPr>
          <w:rFonts w:hint="eastAsia" w:ascii="宋体" w:hAnsi="宋体" w:eastAsia="宋体"/>
          <w:color w:val="auto"/>
          <w:sz w:val="28"/>
          <w:szCs w:val="28"/>
        </w:rPr>
        <w:t>被评价单位提供的原始资料</w:t>
      </w:r>
      <w:r>
        <w:rPr>
          <w:rFonts w:ascii="宋体" w:hAnsi="宋体" w:eastAsia="宋体"/>
          <w:color w:val="auto"/>
          <w:sz w:val="28"/>
          <w:szCs w:val="28"/>
        </w:rPr>
        <w:tab/>
      </w:r>
      <w:r>
        <w:rPr>
          <w:rFonts w:ascii="宋体" w:hAnsi="宋体" w:eastAsia="宋体"/>
          <w:color w:val="auto"/>
          <w:sz w:val="28"/>
          <w:szCs w:val="28"/>
        </w:rPr>
        <w:fldChar w:fldCharType="begin"/>
      </w:r>
      <w:r>
        <w:rPr>
          <w:rFonts w:ascii="宋体" w:hAnsi="宋体" w:eastAsia="宋体"/>
          <w:color w:val="auto"/>
          <w:sz w:val="28"/>
          <w:szCs w:val="28"/>
        </w:rPr>
        <w:instrText xml:space="preserve"> PAGEREF _Toc40045958 \h </w:instrText>
      </w:r>
      <w:r>
        <w:rPr>
          <w:rFonts w:ascii="宋体" w:hAnsi="宋体" w:eastAsia="宋体"/>
          <w:color w:val="auto"/>
          <w:sz w:val="28"/>
          <w:szCs w:val="28"/>
        </w:rPr>
        <w:fldChar w:fldCharType="separate"/>
      </w:r>
      <w:r>
        <w:rPr>
          <w:rFonts w:ascii="宋体" w:hAnsi="宋体" w:eastAsia="宋体"/>
          <w:color w:val="auto"/>
          <w:sz w:val="28"/>
          <w:szCs w:val="28"/>
        </w:rPr>
        <w:t>171</w:t>
      </w:r>
      <w:r>
        <w:rPr>
          <w:rFonts w:ascii="宋体" w:hAnsi="宋体" w:eastAsia="宋体"/>
          <w:color w:val="auto"/>
          <w:sz w:val="28"/>
          <w:szCs w:val="28"/>
        </w:rPr>
        <w:fldChar w:fldCharType="end"/>
      </w:r>
    </w:p>
    <w:p>
      <w:pPr>
        <w:pStyle w:val="31"/>
        <w:tabs>
          <w:tab w:val="right" w:leader="dot" w:pos="9730"/>
        </w:tabs>
        <w:spacing w:line="560" w:lineRule="exact"/>
        <w:rPr>
          <w:color w:val="auto"/>
        </w:rPr>
      </w:pPr>
      <w:r>
        <w:rPr>
          <w:rFonts w:ascii="宋体" w:hAnsi="宋体" w:eastAsia="宋体"/>
          <w:color w:val="auto"/>
          <w:sz w:val="28"/>
          <w:szCs w:val="28"/>
        </w:rPr>
        <w:fldChar w:fldCharType="end"/>
      </w:r>
    </w:p>
    <w:p>
      <w:pPr>
        <w:spacing w:line="600" w:lineRule="exact"/>
        <w:rPr>
          <w:color w:val="auto"/>
        </w:rPr>
      </w:pPr>
    </w:p>
    <w:p>
      <w:pPr>
        <w:spacing w:line="600" w:lineRule="exact"/>
        <w:rPr>
          <w:color w:val="auto"/>
        </w:rPr>
      </w:pPr>
    </w:p>
    <w:p>
      <w:pPr>
        <w:spacing w:line="600" w:lineRule="exact"/>
        <w:rPr>
          <w:color w:val="auto"/>
        </w:rPr>
      </w:pPr>
    </w:p>
    <w:p>
      <w:pPr>
        <w:spacing w:line="600" w:lineRule="exact"/>
        <w:jc w:val="center"/>
        <w:rPr>
          <w:rFonts w:ascii="宋体" w:hAnsi="宋体" w:eastAsia="宋体"/>
          <w:b/>
          <w:color w:val="auto"/>
          <w:sz w:val="32"/>
          <w:szCs w:val="32"/>
        </w:rPr>
        <w:sectPr>
          <w:pgSz w:w="11900" w:h="16840"/>
          <w:pgMar w:top="1560" w:right="1080" w:bottom="1440" w:left="1080" w:header="851" w:footer="376" w:gutter="0"/>
          <w:cols w:space="720" w:num="1"/>
          <w:docGrid w:linePitch="360" w:charSpace="0"/>
        </w:sectPr>
      </w:pPr>
    </w:p>
    <w:p>
      <w:pPr>
        <w:pStyle w:val="3"/>
        <w:spacing w:after="120"/>
        <w:rPr>
          <w:snapToGrid/>
          <w:color w:val="auto"/>
        </w:rPr>
      </w:pPr>
      <w:bookmarkStart w:id="4" w:name="_Toc40045881"/>
      <w:r>
        <w:rPr>
          <w:snapToGrid/>
          <w:color w:val="auto"/>
        </w:rPr>
        <w:t>1编制说明</w:t>
      </w:r>
      <w:bookmarkEnd w:id="2"/>
      <w:bookmarkEnd w:id="3"/>
      <w:bookmarkEnd w:id="4"/>
    </w:p>
    <w:p>
      <w:pPr>
        <w:spacing w:line="560" w:lineRule="exact"/>
        <w:jc w:val="both"/>
        <w:outlineLvl w:val="1"/>
        <w:rPr>
          <w:rFonts w:ascii="楷体_GB2312" w:hAnsi="Times New Roman" w:eastAsia="楷体_GB2312" w:cs="Times New Roman"/>
          <w:bCs/>
          <w:color w:val="auto"/>
          <w:kern w:val="2"/>
          <w:sz w:val="32"/>
          <w:lang w:val="en-US" w:eastAsia="zh-CN" w:bidi="ar-SA"/>
        </w:rPr>
      </w:pPr>
      <w:bookmarkStart w:id="5" w:name="bookmark6"/>
      <w:bookmarkStart w:id="6" w:name="bookmark5"/>
      <w:bookmarkStart w:id="7" w:name="_Toc40045882"/>
      <w:r>
        <w:rPr>
          <w:rFonts w:ascii="楷体_GB2312" w:hAnsi="Times New Roman" w:eastAsia="楷体_GB2312" w:cs="Times New Roman"/>
          <w:bCs/>
          <w:color w:val="auto"/>
          <w:kern w:val="2"/>
          <w:sz w:val="32"/>
          <w:lang w:val="en-US" w:eastAsia="zh-CN" w:bidi="ar-SA"/>
        </w:rPr>
        <w:t>1.1评价目的</w:t>
      </w:r>
      <w:bookmarkEnd w:id="5"/>
      <w:bookmarkEnd w:id="6"/>
      <w:bookmarkEnd w:id="7"/>
    </w:p>
    <w:p>
      <w:pPr>
        <w:spacing w:line="560" w:lineRule="exact"/>
        <w:ind w:firstLine="565" w:firstLineChars="202"/>
        <w:rPr>
          <w:rFonts w:ascii="宋体" w:hAnsi="宋体" w:eastAsia="宋体"/>
          <w:color w:val="auto"/>
          <w:sz w:val="28"/>
          <w:szCs w:val="28"/>
        </w:rPr>
      </w:pPr>
      <w:r>
        <w:rPr>
          <w:rFonts w:hint="eastAsia" w:ascii="宋体" w:hAnsi="宋体" w:eastAsia="宋体"/>
          <w:color w:val="auto"/>
          <w:sz w:val="28"/>
          <w:szCs w:val="28"/>
          <w:lang w:eastAsia="zh-CN"/>
        </w:rPr>
        <w:t>(1)</w:t>
      </w:r>
      <w:r>
        <w:rPr>
          <w:rFonts w:ascii="宋体" w:hAnsi="宋体" w:eastAsia="宋体"/>
          <w:color w:val="auto"/>
          <w:sz w:val="28"/>
          <w:szCs w:val="28"/>
        </w:rPr>
        <w:t>查找企业正常经营活动时存在的主要危险、有害因素及其产生危险、有害后果的主要条件。</w:t>
      </w:r>
    </w:p>
    <w:p>
      <w:pPr>
        <w:spacing w:line="560" w:lineRule="exact"/>
        <w:ind w:firstLine="565" w:firstLineChars="202"/>
        <w:rPr>
          <w:rFonts w:ascii="宋体" w:hAnsi="宋体" w:eastAsia="宋体"/>
          <w:color w:val="auto"/>
          <w:sz w:val="28"/>
          <w:szCs w:val="28"/>
        </w:rPr>
      </w:pPr>
      <w:r>
        <w:rPr>
          <w:rFonts w:hint="eastAsia" w:ascii="宋体" w:hAnsi="宋体" w:eastAsia="宋体"/>
          <w:color w:val="auto"/>
          <w:sz w:val="28"/>
          <w:szCs w:val="28"/>
          <w:lang w:eastAsia="zh-CN"/>
        </w:rPr>
        <w:t>(2)</w:t>
      </w:r>
      <w:r>
        <w:rPr>
          <w:rFonts w:ascii="宋体" w:hAnsi="宋体" w:eastAsia="宋体"/>
          <w:color w:val="auto"/>
          <w:sz w:val="28"/>
          <w:szCs w:val="28"/>
        </w:rPr>
        <w:t>对企业正常经营活动过程中固有危险、有害因素进行评价和科学分析。</w:t>
      </w:r>
    </w:p>
    <w:p>
      <w:pPr>
        <w:spacing w:line="560" w:lineRule="exact"/>
        <w:ind w:firstLine="565" w:firstLineChars="202"/>
        <w:rPr>
          <w:rFonts w:ascii="宋体" w:hAnsi="宋体" w:eastAsia="宋体"/>
          <w:color w:val="auto"/>
          <w:sz w:val="28"/>
          <w:szCs w:val="28"/>
        </w:rPr>
      </w:pPr>
      <w:r>
        <w:rPr>
          <w:rFonts w:hint="eastAsia" w:ascii="宋体" w:hAnsi="宋体" w:eastAsia="宋体"/>
          <w:color w:val="auto"/>
          <w:sz w:val="28"/>
          <w:szCs w:val="28"/>
          <w:lang w:eastAsia="zh-CN"/>
        </w:rPr>
        <w:t>(3)</w:t>
      </w:r>
      <w:r>
        <w:rPr>
          <w:rFonts w:ascii="宋体" w:hAnsi="宋体" w:eastAsia="宋体"/>
          <w:color w:val="auto"/>
          <w:sz w:val="28"/>
          <w:szCs w:val="28"/>
        </w:rPr>
        <w:t>提出消除、预防及降低企业正常经营活动时的危险性，提出企业正常经营活动时的安全卫生对策措施，为企业正常经营活动以及日常管理提供依据，并为政府安全生产监督管理部门和上级主管部门实行安全监察提供依据，以利于提高企业正常经营活动的本质安全程度，同时，也为安全生产许可证换证提供重要依据。</w:t>
      </w:r>
    </w:p>
    <w:p>
      <w:pPr>
        <w:spacing w:line="560" w:lineRule="exact"/>
        <w:jc w:val="both"/>
        <w:outlineLvl w:val="1"/>
        <w:rPr>
          <w:rFonts w:ascii="楷体_GB2312" w:hAnsi="Times New Roman" w:eastAsia="楷体_GB2312" w:cs="Times New Roman"/>
          <w:bCs/>
          <w:color w:val="auto"/>
          <w:kern w:val="2"/>
          <w:sz w:val="32"/>
          <w:lang w:val="en-US" w:eastAsia="zh-CN" w:bidi="ar-SA"/>
        </w:rPr>
      </w:pPr>
      <w:bookmarkStart w:id="8" w:name="_Toc40045883"/>
      <w:bookmarkStart w:id="9" w:name="bookmark7"/>
      <w:r>
        <w:rPr>
          <w:rFonts w:ascii="楷体_GB2312" w:hAnsi="Times New Roman" w:eastAsia="楷体_GB2312" w:cs="Times New Roman"/>
          <w:bCs/>
          <w:color w:val="auto"/>
          <w:kern w:val="2"/>
          <w:sz w:val="32"/>
          <w:lang w:val="en-US" w:eastAsia="zh-CN" w:bidi="ar-SA"/>
        </w:rPr>
        <w:t>1.2评价依据</w:t>
      </w:r>
      <w:bookmarkEnd w:id="8"/>
    </w:p>
    <w:p>
      <w:pPr>
        <w:spacing w:line="560" w:lineRule="exact"/>
        <w:jc w:val="both"/>
        <w:outlineLvl w:val="2"/>
        <w:rPr>
          <w:rFonts w:ascii="宋体" w:hAnsi="宋体" w:eastAsia="宋体" w:cs="Times New Roman"/>
          <w:bCs/>
          <w:color w:val="auto"/>
          <w:kern w:val="2"/>
          <w:sz w:val="28"/>
          <w:szCs w:val="28"/>
          <w:lang w:val="en-US" w:eastAsia="zh-CN" w:bidi="ar-SA"/>
        </w:rPr>
      </w:pPr>
      <w:r>
        <w:rPr>
          <w:rFonts w:ascii="宋体" w:hAnsi="宋体" w:eastAsia="宋体" w:cs="Times New Roman"/>
          <w:bCs/>
          <w:color w:val="auto"/>
          <w:kern w:val="2"/>
          <w:sz w:val="28"/>
          <w:szCs w:val="28"/>
          <w:lang w:val="en-US" w:eastAsia="zh-CN" w:bidi="ar-SA"/>
        </w:rPr>
        <w:t>1.2.1法律、法规依据</w:t>
      </w:r>
      <w:bookmarkEnd w:id="9"/>
    </w:p>
    <w:p>
      <w:pPr>
        <w:spacing w:line="560" w:lineRule="exact"/>
        <w:ind w:firstLine="565" w:firstLineChars="202"/>
        <w:rPr>
          <w:rFonts w:ascii="宋体" w:hAnsi="宋体" w:eastAsia="宋体"/>
          <w:color w:val="auto"/>
          <w:sz w:val="28"/>
          <w:szCs w:val="28"/>
          <w:lang w:eastAsia="zh-CN"/>
        </w:rPr>
      </w:pPr>
      <w:r>
        <w:rPr>
          <w:rFonts w:ascii="宋体" w:hAnsi="宋体" w:eastAsia="宋体"/>
          <w:color w:val="auto"/>
          <w:sz w:val="28"/>
          <w:szCs w:val="28"/>
          <w:lang w:eastAsia="zh-CN"/>
        </w:rPr>
        <w:t>《中华人民共和国安全生产法》(中华人民共和国主席令第13号)</w:t>
      </w:r>
    </w:p>
    <w:p>
      <w:pPr>
        <w:spacing w:line="560" w:lineRule="exact"/>
        <w:ind w:firstLine="565" w:firstLineChars="202"/>
        <w:rPr>
          <w:rFonts w:ascii="宋体" w:hAnsi="宋体" w:eastAsia="宋体"/>
          <w:color w:val="auto"/>
          <w:sz w:val="28"/>
          <w:szCs w:val="28"/>
          <w:lang w:eastAsia="zh-CN"/>
        </w:rPr>
      </w:pPr>
      <w:r>
        <w:rPr>
          <w:rFonts w:ascii="宋体" w:hAnsi="宋体" w:eastAsia="宋体"/>
          <w:color w:val="auto"/>
          <w:sz w:val="28"/>
          <w:szCs w:val="28"/>
          <w:lang w:eastAsia="zh-CN"/>
        </w:rPr>
        <w:t>《中华人民共和国消防法》(</w:t>
      </w:r>
      <w:r>
        <w:rPr>
          <w:rFonts w:hint="eastAsia" w:ascii="宋体" w:hAnsi="宋体" w:eastAsia="宋体"/>
          <w:color w:val="auto"/>
          <w:sz w:val="28"/>
          <w:szCs w:val="28"/>
          <w:lang w:eastAsia="zh-CN"/>
        </w:rPr>
        <w:t>中华人民共和国主席令第二十九号</w:t>
      </w:r>
      <w:r>
        <w:rPr>
          <w:rFonts w:ascii="宋体" w:hAnsi="宋体" w:eastAsia="宋体"/>
          <w:color w:val="auto"/>
          <w:sz w:val="28"/>
          <w:szCs w:val="28"/>
          <w:lang w:eastAsia="zh-CN"/>
        </w:rPr>
        <w:t>)</w:t>
      </w:r>
    </w:p>
    <w:p>
      <w:pPr>
        <w:spacing w:line="560" w:lineRule="exact"/>
        <w:ind w:firstLine="565" w:firstLineChars="202"/>
        <w:rPr>
          <w:rFonts w:ascii="宋体" w:hAnsi="宋体" w:eastAsia="宋体"/>
          <w:color w:val="auto"/>
          <w:sz w:val="28"/>
          <w:szCs w:val="28"/>
          <w:lang w:eastAsia="zh-CN"/>
        </w:rPr>
      </w:pPr>
      <w:r>
        <w:rPr>
          <w:rFonts w:ascii="宋体" w:hAnsi="宋体" w:eastAsia="宋体"/>
          <w:color w:val="auto"/>
          <w:sz w:val="28"/>
          <w:szCs w:val="28"/>
          <w:lang w:eastAsia="zh-CN"/>
        </w:rPr>
        <w:t>《中华人民共和国职业病防治法》(</w:t>
      </w:r>
      <w:r>
        <w:rPr>
          <w:rFonts w:hint="eastAsia" w:ascii="宋体" w:hAnsi="宋体" w:eastAsia="宋体"/>
          <w:color w:val="auto"/>
          <w:sz w:val="28"/>
          <w:szCs w:val="28"/>
          <w:lang w:eastAsia="zh-CN"/>
        </w:rPr>
        <w:t>根据</w:t>
      </w:r>
      <w:r>
        <w:rPr>
          <w:rFonts w:ascii="宋体" w:hAnsi="宋体" w:eastAsia="宋体"/>
          <w:color w:val="auto"/>
          <w:sz w:val="28"/>
          <w:szCs w:val="28"/>
          <w:lang w:eastAsia="zh-CN"/>
        </w:rPr>
        <w:t>2011年12月31日主席令第52</w:t>
      </w:r>
      <w:r>
        <w:rPr>
          <w:rFonts w:hint="eastAsia" w:ascii="宋体" w:hAnsi="宋体" w:eastAsia="宋体"/>
          <w:color w:val="auto"/>
          <w:sz w:val="28"/>
          <w:szCs w:val="28"/>
          <w:lang w:eastAsia="zh-CN"/>
        </w:rPr>
        <w:t>号第一次修正，根据</w:t>
      </w:r>
      <w:r>
        <w:rPr>
          <w:rFonts w:ascii="宋体" w:hAnsi="宋体" w:eastAsia="宋体"/>
          <w:color w:val="auto"/>
          <w:sz w:val="28"/>
          <w:szCs w:val="28"/>
          <w:lang w:eastAsia="zh-CN"/>
        </w:rPr>
        <w:t>2016年7月2日主席令第48</w:t>
      </w:r>
      <w:r>
        <w:rPr>
          <w:rFonts w:hint="eastAsia" w:ascii="宋体" w:hAnsi="宋体" w:eastAsia="宋体"/>
          <w:color w:val="auto"/>
          <w:sz w:val="28"/>
          <w:szCs w:val="28"/>
          <w:lang w:eastAsia="zh-CN"/>
        </w:rPr>
        <w:t>号第二次修正，根据</w:t>
      </w:r>
      <w:r>
        <w:rPr>
          <w:rFonts w:ascii="宋体" w:hAnsi="宋体" w:eastAsia="宋体"/>
          <w:color w:val="auto"/>
          <w:sz w:val="28"/>
          <w:szCs w:val="28"/>
          <w:lang w:eastAsia="zh-CN"/>
        </w:rPr>
        <w:t>2017年11月4日主席令第81</w:t>
      </w:r>
      <w:r>
        <w:rPr>
          <w:rFonts w:hint="eastAsia" w:ascii="宋体" w:hAnsi="宋体" w:eastAsia="宋体"/>
          <w:color w:val="auto"/>
          <w:sz w:val="28"/>
          <w:szCs w:val="28"/>
          <w:lang w:eastAsia="zh-CN"/>
        </w:rPr>
        <w:t>号第三次修正，根据</w:t>
      </w:r>
      <w:r>
        <w:rPr>
          <w:rFonts w:ascii="宋体" w:hAnsi="宋体" w:eastAsia="宋体"/>
          <w:color w:val="auto"/>
          <w:sz w:val="28"/>
          <w:szCs w:val="28"/>
          <w:lang w:eastAsia="zh-CN"/>
        </w:rPr>
        <w:t>2018年12月29日主席令第24</w:t>
      </w:r>
      <w:r>
        <w:rPr>
          <w:rFonts w:hint="eastAsia" w:ascii="宋体" w:hAnsi="宋体" w:eastAsia="宋体"/>
          <w:color w:val="auto"/>
          <w:sz w:val="28"/>
          <w:szCs w:val="28"/>
          <w:lang w:eastAsia="zh-CN"/>
        </w:rPr>
        <w:t>号第四次修正</w:t>
      </w:r>
      <w:r>
        <w:rPr>
          <w:rFonts w:ascii="宋体" w:hAnsi="宋体" w:eastAsia="宋体"/>
          <w:color w:val="auto"/>
          <w:sz w:val="28"/>
          <w:szCs w:val="28"/>
          <w:lang w:eastAsia="zh-CN"/>
        </w:rPr>
        <w:t>)；</w:t>
      </w:r>
    </w:p>
    <w:p>
      <w:pPr>
        <w:spacing w:line="560" w:lineRule="exact"/>
        <w:ind w:firstLine="565" w:firstLineChars="202"/>
        <w:rPr>
          <w:rFonts w:ascii="宋体" w:hAnsi="宋体" w:eastAsia="宋体"/>
          <w:color w:val="auto"/>
          <w:sz w:val="28"/>
          <w:szCs w:val="28"/>
          <w:lang w:eastAsia="zh-CN"/>
        </w:rPr>
      </w:pPr>
      <w:r>
        <w:rPr>
          <w:rFonts w:ascii="宋体" w:hAnsi="宋体" w:eastAsia="宋体"/>
          <w:color w:val="auto"/>
          <w:sz w:val="28"/>
          <w:szCs w:val="28"/>
          <w:lang w:eastAsia="zh-CN"/>
        </w:rPr>
        <w:t>《中华人民共和国劳动法》(中华人民共和国主席令第28号)</w:t>
      </w:r>
    </w:p>
    <w:p>
      <w:pPr>
        <w:spacing w:line="560" w:lineRule="exact"/>
        <w:ind w:firstLine="565" w:firstLineChars="202"/>
        <w:rPr>
          <w:rFonts w:ascii="宋体" w:hAnsi="宋体" w:eastAsia="宋体"/>
          <w:color w:val="auto"/>
          <w:sz w:val="28"/>
          <w:szCs w:val="28"/>
          <w:lang w:eastAsia="zh-CN"/>
        </w:rPr>
      </w:pPr>
      <w:r>
        <w:rPr>
          <w:rFonts w:ascii="宋体" w:hAnsi="宋体" w:eastAsia="宋体"/>
          <w:color w:val="auto"/>
          <w:sz w:val="28"/>
          <w:szCs w:val="28"/>
          <w:lang w:eastAsia="zh-CN"/>
        </w:rPr>
        <w:t>《中华人民共和国特种设备安全法》(中华人民共和国主席令第4号)；</w:t>
      </w:r>
    </w:p>
    <w:p>
      <w:pPr>
        <w:spacing w:line="560" w:lineRule="exact"/>
        <w:ind w:firstLine="565" w:firstLineChars="202"/>
        <w:rPr>
          <w:rFonts w:ascii="宋体" w:hAnsi="宋体" w:eastAsia="宋体"/>
          <w:color w:val="auto"/>
          <w:sz w:val="28"/>
          <w:szCs w:val="28"/>
          <w:lang w:eastAsia="zh-CN"/>
        </w:rPr>
      </w:pPr>
      <w:r>
        <w:rPr>
          <w:rFonts w:ascii="宋体" w:hAnsi="宋体" w:eastAsia="宋体"/>
          <w:color w:val="auto"/>
          <w:sz w:val="28"/>
          <w:szCs w:val="28"/>
          <w:lang w:eastAsia="zh-CN"/>
        </w:rPr>
        <w:t>《特种设备安全监察条例》(中华人民共和国国务院令第549号)</w:t>
      </w:r>
    </w:p>
    <w:p>
      <w:pPr>
        <w:spacing w:line="560" w:lineRule="exact"/>
        <w:ind w:firstLine="565" w:firstLineChars="202"/>
        <w:rPr>
          <w:rFonts w:ascii="宋体" w:hAnsi="宋体" w:eastAsia="宋体"/>
          <w:color w:val="auto"/>
          <w:sz w:val="28"/>
          <w:szCs w:val="28"/>
          <w:lang w:eastAsia="zh-CN"/>
        </w:rPr>
      </w:pPr>
      <w:r>
        <w:rPr>
          <w:rFonts w:ascii="宋体" w:hAnsi="宋体" w:eastAsia="宋体"/>
          <w:color w:val="auto"/>
          <w:sz w:val="28"/>
          <w:szCs w:val="28"/>
          <w:lang w:eastAsia="zh-CN"/>
        </w:rPr>
        <w:t>《使用有毒物品作业场所劳动保护条例》(中华人民共和国国务院令第352号)；</w:t>
      </w:r>
    </w:p>
    <w:p>
      <w:pPr>
        <w:spacing w:line="560" w:lineRule="exact"/>
        <w:ind w:firstLine="565" w:firstLineChars="202"/>
        <w:rPr>
          <w:rFonts w:ascii="宋体" w:hAnsi="宋体" w:eastAsia="宋体"/>
          <w:color w:val="auto"/>
          <w:sz w:val="28"/>
          <w:szCs w:val="28"/>
          <w:lang w:eastAsia="zh-CN"/>
        </w:rPr>
      </w:pPr>
      <w:r>
        <w:rPr>
          <w:rFonts w:ascii="宋体" w:hAnsi="宋体" w:eastAsia="宋体"/>
          <w:color w:val="auto"/>
          <w:sz w:val="28"/>
          <w:szCs w:val="28"/>
          <w:lang w:eastAsia="zh-CN"/>
        </w:rPr>
        <w:t>《工伤保险条例》(中华人民共和国国务院令第586号)；</w:t>
      </w:r>
    </w:p>
    <w:p>
      <w:pPr>
        <w:spacing w:line="560" w:lineRule="exact"/>
        <w:ind w:firstLine="565" w:firstLineChars="202"/>
        <w:rPr>
          <w:rFonts w:ascii="宋体" w:hAnsi="宋体" w:eastAsia="宋体"/>
          <w:color w:val="auto"/>
          <w:sz w:val="28"/>
          <w:szCs w:val="28"/>
          <w:lang w:eastAsia="zh-CN"/>
        </w:rPr>
      </w:pPr>
      <w:r>
        <w:rPr>
          <w:rFonts w:ascii="宋体" w:hAnsi="宋体" w:eastAsia="宋体"/>
          <w:color w:val="auto"/>
          <w:sz w:val="28"/>
          <w:szCs w:val="28"/>
          <w:lang w:eastAsia="zh-CN"/>
        </w:rPr>
        <w:t>《安全生产许可证条例》(中华人民共和国国务院令第397号，2013年7月18日国务院令第638号令第一次修订；2014年7月29日国务院令第653号令第二次修订)；</w:t>
      </w:r>
    </w:p>
    <w:p>
      <w:pPr>
        <w:spacing w:line="560" w:lineRule="exact"/>
        <w:ind w:firstLine="565" w:firstLineChars="202"/>
        <w:rPr>
          <w:rFonts w:ascii="宋体" w:hAnsi="宋体" w:eastAsia="宋体"/>
          <w:color w:val="auto"/>
          <w:sz w:val="28"/>
          <w:szCs w:val="28"/>
          <w:lang w:eastAsia="zh-CN"/>
        </w:rPr>
      </w:pPr>
      <w:r>
        <w:rPr>
          <w:rFonts w:ascii="宋体" w:hAnsi="宋体" w:eastAsia="宋体"/>
          <w:color w:val="auto"/>
          <w:sz w:val="28"/>
          <w:szCs w:val="28"/>
          <w:lang w:eastAsia="zh-CN"/>
        </w:rPr>
        <w:t>《危险化学品安全管理条例》(国务院令第591号，2013年12月，国务院令645号修订)；</w:t>
      </w:r>
    </w:p>
    <w:p>
      <w:pPr>
        <w:spacing w:line="560" w:lineRule="exact"/>
        <w:ind w:firstLine="565" w:firstLineChars="202"/>
        <w:rPr>
          <w:rFonts w:ascii="宋体" w:hAnsi="宋体" w:eastAsia="宋体"/>
          <w:color w:val="auto"/>
          <w:sz w:val="28"/>
          <w:szCs w:val="28"/>
          <w:lang w:eastAsia="zh-CN"/>
        </w:rPr>
      </w:pPr>
      <w:r>
        <w:rPr>
          <w:rFonts w:ascii="宋体" w:hAnsi="宋体" w:eastAsia="宋体"/>
          <w:color w:val="auto"/>
          <w:sz w:val="28"/>
          <w:szCs w:val="28"/>
          <w:lang w:eastAsia="zh-CN"/>
        </w:rPr>
        <w:t>《易制毒化学品管理条例》(中华人民共和国国务院令第445号；2014年7月29日国务院令第653号令第一次修订；2016年2月6日国务院令第666号令第二次修订)；</w:t>
      </w:r>
    </w:p>
    <w:p>
      <w:pPr>
        <w:spacing w:line="560" w:lineRule="exact"/>
        <w:ind w:firstLine="565" w:firstLineChars="202"/>
        <w:rPr>
          <w:rFonts w:ascii="宋体" w:hAnsi="宋体" w:eastAsia="宋体"/>
          <w:color w:val="auto"/>
          <w:sz w:val="28"/>
          <w:szCs w:val="28"/>
          <w:lang w:eastAsia="zh-CN"/>
        </w:rPr>
      </w:pPr>
      <w:r>
        <w:rPr>
          <w:rFonts w:ascii="宋体" w:hAnsi="宋体" w:eastAsia="宋体"/>
          <w:color w:val="auto"/>
          <w:sz w:val="28"/>
          <w:szCs w:val="28"/>
          <w:lang w:eastAsia="zh-CN"/>
        </w:rPr>
        <w:t>《关于进一步加强企业安全生产工作的通知》(国发〔2010〕23号)；</w:t>
      </w:r>
    </w:p>
    <w:p>
      <w:pPr>
        <w:spacing w:line="560" w:lineRule="exact"/>
        <w:ind w:firstLine="565" w:firstLineChars="202"/>
        <w:rPr>
          <w:rFonts w:ascii="宋体" w:hAnsi="宋体" w:eastAsia="宋体"/>
          <w:color w:val="auto"/>
          <w:sz w:val="28"/>
          <w:szCs w:val="28"/>
          <w:lang w:eastAsia="zh-CN"/>
        </w:rPr>
      </w:pPr>
      <w:r>
        <w:rPr>
          <w:rFonts w:ascii="宋体" w:hAnsi="宋体" w:eastAsia="宋体"/>
          <w:color w:val="auto"/>
          <w:sz w:val="28"/>
          <w:szCs w:val="28"/>
          <w:lang w:eastAsia="zh-CN"/>
        </w:rPr>
        <w:t>《危险化学品生产企业安全生产许可证实施办法》(安监总局令第41号，安监总局令第79号修订)；</w:t>
      </w:r>
    </w:p>
    <w:p>
      <w:pPr>
        <w:spacing w:line="560" w:lineRule="exact"/>
        <w:ind w:firstLine="565" w:firstLineChars="202"/>
        <w:rPr>
          <w:rFonts w:ascii="宋体" w:hAnsi="宋体" w:eastAsia="宋体"/>
          <w:color w:val="auto"/>
          <w:sz w:val="28"/>
          <w:szCs w:val="28"/>
          <w:lang w:eastAsia="zh-CN"/>
        </w:rPr>
      </w:pPr>
      <w:r>
        <w:rPr>
          <w:rFonts w:ascii="宋体" w:hAnsi="宋体" w:eastAsia="宋体"/>
          <w:color w:val="auto"/>
          <w:sz w:val="28"/>
          <w:szCs w:val="28"/>
          <w:lang w:eastAsia="zh-CN"/>
        </w:rPr>
        <w:t>《安全生产事故隐患排查治理暂行规定》(安监总局令第16号)；</w:t>
      </w:r>
    </w:p>
    <w:p>
      <w:pPr>
        <w:spacing w:line="560" w:lineRule="exact"/>
        <w:ind w:firstLine="565" w:firstLineChars="202"/>
        <w:rPr>
          <w:rFonts w:ascii="宋体" w:hAnsi="宋体" w:eastAsia="宋体"/>
          <w:color w:val="auto"/>
          <w:sz w:val="28"/>
          <w:szCs w:val="28"/>
          <w:lang w:eastAsia="zh-CN"/>
        </w:rPr>
      </w:pPr>
      <w:r>
        <w:rPr>
          <w:rFonts w:ascii="宋体" w:hAnsi="宋体" w:eastAsia="宋体"/>
          <w:color w:val="auto"/>
          <w:sz w:val="28"/>
          <w:szCs w:val="28"/>
          <w:lang w:eastAsia="zh-CN"/>
        </w:rPr>
        <w:t>《生产安全事故应急预案管理办法》(</w:t>
      </w:r>
      <w:r>
        <w:rPr>
          <w:rFonts w:hint="eastAsia" w:ascii="宋体" w:hAnsi="宋体" w:eastAsia="宋体"/>
          <w:color w:val="auto"/>
          <w:sz w:val="28"/>
          <w:szCs w:val="28"/>
          <w:lang w:eastAsia="zh-CN"/>
        </w:rPr>
        <w:t>应急管理局令第2号</w:t>
      </w:r>
      <w:r>
        <w:rPr>
          <w:rFonts w:ascii="宋体" w:hAnsi="宋体" w:eastAsia="宋体"/>
          <w:color w:val="auto"/>
          <w:sz w:val="28"/>
          <w:szCs w:val="28"/>
          <w:lang w:eastAsia="zh-CN"/>
        </w:rPr>
        <w:t>)；</w:t>
      </w:r>
    </w:p>
    <w:p>
      <w:pPr>
        <w:spacing w:line="560" w:lineRule="exact"/>
        <w:ind w:firstLine="565" w:firstLineChars="202"/>
        <w:rPr>
          <w:rFonts w:ascii="宋体" w:hAnsi="宋体" w:eastAsia="宋体"/>
          <w:color w:val="auto"/>
          <w:sz w:val="28"/>
          <w:szCs w:val="28"/>
          <w:lang w:eastAsia="zh-CN"/>
        </w:rPr>
      </w:pPr>
      <w:r>
        <w:rPr>
          <w:rFonts w:ascii="宋体" w:hAnsi="宋体" w:eastAsia="宋体"/>
          <w:color w:val="auto"/>
          <w:sz w:val="28"/>
          <w:szCs w:val="28"/>
          <w:lang w:eastAsia="zh-CN"/>
        </w:rPr>
        <w:t>《国家安全监管总局办公厅关于印发用人单位劳动防护用品管理规范的通知》(安监总厅安健[2015]124号)；</w:t>
      </w:r>
    </w:p>
    <w:p>
      <w:pPr>
        <w:spacing w:line="560" w:lineRule="exact"/>
        <w:ind w:firstLine="565" w:firstLineChars="202"/>
        <w:rPr>
          <w:rFonts w:ascii="宋体" w:hAnsi="宋体" w:eastAsia="宋体"/>
          <w:color w:val="auto"/>
          <w:sz w:val="28"/>
          <w:szCs w:val="28"/>
          <w:lang w:eastAsia="zh-CN"/>
        </w:rPr>
      </w:pPr>
      <w:r>
        <w:rPr>
          <w:rFonts w:ascii="宋体" w:hAnsi="宋体" w:eastAsia="宋体"/>
          <w:color w:val="auto"/>
          <w:sz w:val="28"/>
          <w:szCs w:val="28"/>
          <w:lang w:eastAsia="zh-CN"/>
        </w:rPr>
        <w:t>《特种作业人员安全技术培训考核管理规定》(安监总局令第30号，2015年国家安全生产监督管理总局第80号令修订)；</w:t>
      </w:r>
    </w:p>
    <w:p>
      <w:pPr>
        <w:spacing w:line="560" w:lineRule="exact"/>
        <w:ind w:firstLine="565" w:firstLineChars="202"/>
        <w:rPr>
          <w:rFonts w:ascii="宋体" w:hAnsi="宋体" w:eastAsia="宋体"/>
          <w:color w:val="auto"/>
          <w:sz w:val="28"/>
          <w:szCs w:val="28"/>
          <w:lang w:eastAsia="zh-CN"/>
        </w:rPr>
      </w:pPr>
      <w:r>
        <w:rPr>
          <w:rFonts w:ascii="宋体" w:hAnsi="宋体" w:eastAsia="宋体"/>
          <w:color w:val="auto"/>
          <w:sz w:val="28"/>
          <w:szCs w:val="28"/>
          <w:lang w:eastAsia="zh-CN"/>
        </w:rPr>
        <w:t>《特种设备作业人员监督管理办法》(国家质量监督检验检疫总局令第140号)</w:t>
      </w:r>
    </w:p>
    <w:p>
      <w:pPr>
        <w:spacing w:line="560" w:lineRule="exact"/>
        <w:ind w:firstLine="565" w:firstLineChars="202"/>
        <w:rPr>
          <w:rFonts w:ascii="宋体" w:hAnsi="宋体" w:eastAsia="宋体"/>
          <w:color w:val="auto"/>
          <w:sz w:val="28"/>
          <w:szCs w:val="28"/>
          <w:lang w:eastAsia="zh-CN"/>
        </w:rPr>
      </w:pPr>
      <w:r>
        <w:rPr>
          <w:rFonts w:ascii="宋体" w:hAnsi="宋体" w:eastAsia="宋体"/>
          <w:color w:val="auto"/>
          <w:sz w:val="28"/>
          <w:szCs w:val="28"/>
          <w:lang w:eastAsia="zh-CN"/>
        </w:rPr>
        <w:t>《产业结构调整指导目录(2019年本)》(中华人民共和国国家发展和改革委员会令第29号)</w:t>
      </w:r>
    </w:p>
    <w:p>
      <w:pPr>
        <w:spacing w:line="560" w:lineRule="exact"/>
        <w:ind w:firstLine="565" w:firstLineChars="202"/>
        <w:rPr>
          <w:rFonts w:ascii="宋体" w:hAnsi="宋体" w:eastAsia="宋体"/>
          <w:color w:val="auto"/>
          <w:sz w:val="28"/>
          <w:szCs w:val="28"/>
          <w:lang w:eastAsia="zh-CN"/>
        </w:rPr>
      </w:pPr>
      <w:r>
        <w:rPr>
          <w:rFonts w:ascii="宋体" w:hAnsi="宋体" w:eastAsia="宋体"/>
          <w:color w:val="auto"/>
          <w:sz w:val="28"/>
          <w:szCs w:val="28"/>
          <w:lang w:eastAsia="zh-CN"/>
        </w:rPr>
        <w:t>《危险化学品生产企业安全评价导则(试行)》(安监管危化字[2004]127号)；</w:t>
      </w:r>
    </w:p>
    <w:p>
      <w:pPr>
        <w:spacing w:line="560" w:lineRule="exact"/>
        <w:ind w:firstLine="565" w:firstLineChars="202"/>
        <w:rPr>
          <w:rFonts w:ascii="宋体" w:hAnsi="宋体" w:eastAsia="宋体"/>
          <w:color w:val="auto"/>
          <w:sz w:val="28"/>
          <w:szCs w:val="28"/>
          <w:lang w:eastAsia="zh-CN"/>
        </w:rPr>
      </w:pPr>
      <w:r>
        <w:rPr>
          <w:rFonts w:ascii="宋体" w:hAnsi="宋体" w:eastAsia="宋体"/>
          <w:color w:val="auto"/>
          <w:sz w:val="28"/>
          <w:szCs w:val="28"/>
          <w:lang w:eastAsia="zh-CN"/>
        </w:rPr>
        <w:t>《广东省安全生产监督管理局关于印发《广东省安全生产监督管理局关于〈生产安全事故应急预案管理办法〉的实施细则》的通知》(粤安监应急〔2017〕9号)；</w:t>
      </w:r>
    </w:p>
    <w:p>
      <w:pPr>
        <w:spacing w:line="560" w:lineRule="exact"/>
        <w:ind w:firstLine="565" w:firstLineChars="202"/>
        <w:rPr>
          <w:rFonts w:ascii="宋体" w:hAnsi="宋体" w:eastAsia="宋体"/>
          <w:color w:val="auto"/>
          <w:sz w:val="28"/>
          <w:szCs w:val="28"/>
          <w:lang w:eastAsia="zh-CN"/>
        </w:rPr>
      </w:pPr>
      <w:r>
        <w:rPr>
          <w:rFonts w:ascii="宋体" w:hAnsi="宋体" w:eastAsia="宋体"/>
          <w:color w:val="auto"/>
          <w:sz w:val="28"/>
          <w:szCs w:val="28"/>
          <w:lang w:eastAsia="zh-CN"/>
        </w:rPr>
        <w:t>《重点监管危险化工工艺目录》(2013年完整版)</w:t>
      </w:r>
    </w:p>
    <w:p>
      <w:pPr>
        <w:spacing w:line="560" w:lineRule="exact"/>
        <w:ind w:firstLine="565" w:firstLineChars="202"/>
        <w:rPr>
          <w:rFonts w:ascii="宋体" w:hAnsi="宋体" w:eastAsia="宋体"/>
          <w:color w:val="auto"/>
          <w:sz w:val="28"/>
          <w:szCs w:val="28"/>
          <w:lang w:eastAsia="zh-CN"/>
        </w:rPr>
      </w:pPr>
      <w:r>
        <w:rPr>
          <w:rFonts w:ascii="宋体" w:hAnsi="宋体" w:eastAsia="宋体"/>
          <w:color w:val="auto"/>
          <w:sz w:val="28"/>
          <w:szCs w:val="28"/>
          <w:lang w:eastAsia="zh-CN"/>
        </w:rPr>
        <w:t>《重点监管的危险化学品名录》(2013年完整版)</w:t>
      </w:r>
    </w:p>
    <w:p>
      <w:pPr>
        <w:spacing w:line="560" w:lineRule="exact"/>
        <w:ind w:firstLine="565" w:firstLineChars="202"/>
        <w:rPr>
          <w:rFonts w:ascii="宋体" w:hAnsi="宋体" w:eastAsia="宋体"/>
          <w:color w:val="auto"/>
          <w:sz w:val="28"/>
          <w:szCs w:val="28"/>
          <w:lang w:eastAsia="zh-CN"/>
        </w:rPr>
      </w:pPr>
      <w:r>
        <w:rPr>
          <w:rFonts w:ascii="宋体" w:hAnsi="宋体" w:eastAsia="宋体"/>
          <w:color w:val="auto"/>
          <w:sz w:val="28"/>
          <w:szCs w:val="28"/>
          <w:lang w:eastAsia="zh-CN"/>
        </w:rPr>
        <w:t>《仓库防火安全管理规则》(中华人民共和国公安部令第6号)；</w:t>
      </w:r>
    </w:p>
    <w:p>
      <w:pPr>
        <w:spacing w:line="560" w:lineRule="exact"/>
        <w:ind w:firstLine="565" w:firstLineChars="202"/>
        <w:rPr>
          <w:rFonts w:ascii="宋体" w:hAnsi="宋体" w:eastAsia="宋体"/>
          <w:color w:val="auto"/>
          <w:sz w:val="28"/>
          <w:szCs w:val="28"/>
          <w:lang w:eastAsia="zh-CN"/>
        </w:rPr>
      </w:pPr>
      <w:r>
        <w:rPr>
          <w:rFonts w:ascii="宋体" w:hAnsi="宋体" w:eastAsia="宋体"/>
          <w:color w:val="auto"/>
          <w:sz w:val="28"/>
          <w:szCs w:val="28"/>
          <w:lang w:eastAsia="zh-CN"/>
        </w:rPr>
        <w:t>《爆炸危险场所安全规定》(原劳动部发[1995]56号)；</w:t>
      </w:r>
    </w:p>
    <w:p>
      <w:pPr>
        <w:spacing w:line="560" w:lineRule="exact"/>
        <w:ind w:firstLine="565" w:firstLineChars="202"/>
        <w:rPr>
          <w:rFonts w:ascii="宋体" w:hAnsi="宋体" w:eastAsia="宋体"/>
          <w:color w:val="auto"/>
          <w:sz w:val="28"/>
          <w:szCs w:val="28"/>
          <w:lang w:eastAsia="zh-CN"/>
        </w:rPr>
      </w:pPr>
      <w:r>
        <w:rPr>
          <w:rFonts w:ascii="宋体" w:hAnsi="宋体" w:eastAsia="宋体"/>
          <w:color w:val="auto"/>
          <w:sz w:val="28"/>
          <w:szCs w:val="28"/>
          <w:lang w:eastAsia="zh-CN"/>
        </w:rPr>
        <w:t>《广东省安全生产条例》(广东省第十二届人民代表大会常务委员会公告第94号)；</w:t>
      </w:r>
    </w:p>
    <w:p>
      <w:pPr>
        <w:spacing w:line="560" w:lineRule="exact"/>
        <w:ind w:firstLine="565" w:firstLineChars="202"/>
        <w:rPr>
          <w:rFonts w:ascii="宋体" w:hAnsi="宋体" w:eastAsia="宋体"/>
          <w:color w:val="auto"/>
          <w:sz w:val="28"/>
          <w:szCs w:val="28"/>
          <w:lang w:eastAsia="zh-CN"/>
        </w:rPr>
      </w:pPr>
      <w:r>
        <w:rPr>
          <w:rFonts w:ascii="宋体" w:hAnsi="宋体" w:eastAsia="宋体"/>
          <w:color w:val="auto"/>
          <w:sz w:val="28"/>
          <w:szCs w:val="28"/>
          <w:lang w:eastAsia="zh-CN"/>
        </w:rPr>
        <w:t>《</w:t>
      </w:r>
      <w:r>
        <w:rPr>
          <w:rFonts w:hint="eastAsia" w:ascii="宋体" w:hAnsi="宋体" w:eastAsia="宋体"/>
          <w:color w:val="auto"/>
          <w:sz w:val="28"/>
          <w:szCs w:val="28"/>
          <w:lang w:eastAsia="zh-CN"/>
        </w:rPr>
        <w:t>关于印发广东省安全生产监督管理局危险化学品建设项目安全监督管理实施细则的通知</w:t>
      </w:r>
      <w:r>
        <w:rPr>
          <w:rFonts w:ascii="宋体" w:hAnsi="宋体" w:eastAsia="宋体"/>
          <w:color w:val="auto"/>
          <w:sz w:val="28"/>
          <w:szCs w:val="28"/>
          <w:lang w:eastAsia="zh-CN"/>
        </w:rPr>
        <w:t>》(粤安监管三〔201</w:t>
      </w:r>
      <w:r>
        <w:rPr>
          <w:rFonts w:hint="eastAsia" w:ascii="宋体" w:hAnsi="宋体" w:eastAsia="宋体"/>
          <w:color w:val="auto"/>
          <w:sz w:val="28"/>
          <w:szCs w:val="28"/>
          <w:lang w:val="en-US" w:eastAsia="zh-CN"/>
        </w:rPr>
        <w:t>7</w:t>
      </w:r>
      <w:r>
        <w:rPr>
          <w:rFonts w:ascii="宋体" w:hAnsi="宋体" w:eastAsia="宋体"/>
          <w:color w:val="auto"/>
          <w:sz w:val="28"/>
          <w:szCs w:val="28"/>
          <w:lang w:eastAsia="zh-CN"/>
        </w:rPr>
        <w:t>〕</w:t>
      </w:r>
      <w:r>
        <w:rPr>
          <w:rFonts w:hint="eastAsia" w:ascii="宋体" w:hAnsi="宋体" w:eastAsia="宋体"/>
          <w:color w:val="auto"/>
          <w:sz w:val="28"/>
          <w:szCs w:val="28"/>
          <w:lang w:val="en-US" w:eastAsia="zh-CN"/>
        </w:rPr>
        <w:t>19</w:t>
      </w:r>
      <w:r>
        <w:rPr>
          <w:rFonts w:ascii="宋体" w:hAnsi="宋体" w:eastAsia="宋体"/>
          <w:color w:val="auto"/>
          <w:sz w:val="28"/>
          <w:szCs w:val="28"/>
          <w:lang w:eastAsia="zh-CN"/>
        </w:rPr>
        <w:t>号)；</w:t>
      </w:r>
    </w:p>
    <w:p>
      <w:pPr>
        <w:spacing w:line="560" w:lineRule="exact"/>
        <w:ind w:firstLine="565" w:firstLineChars="202"/>
        <w:rPr>
          <w:rFonts w:ascii="宋体" w:hAnsi="宋体" w:eastAsia="宋体"/>
          <w:color w:val="auto"/>
          <w:sz w:val="28"/>
          <w:szCs w:val="28"/>
          <w:lang w:eastAsia="zh-CN"/>
        </w:rPr>
      </w:pPr>
      <w:r>
        <w:rPr>
          <w:rFonts w:ascii="宋体" w:hAnsi="宋体" w:eastAsia="宋体"/>
          <w:color w:val="auto"/>
          <w:sz w:val="28"/>
          <w:szCs w:val="28"/>
          <w:lang w:eastAsia="zh-CN"/>
        </w:rPr>
        <w:t>《关于认真贯彻危险化学品生产企业安全生产许可证实施办法的补充通知》(粤安监〔2012〕56号)；</w:t>
      </w:r>
    </w:p>
    <w:p>
      <w:pPr>
        <w:spacing w:line="560" w:lineRule="exact"/>
        <w:ind w:firstLine="565" w:firstLineChars="202"/>
        <w:rPr>
          <w:rFonts w:ascii="宋体" w:hAnsi="宋体" w:eastAsia="宋体"/>
          <w:color w:val="auto"/>
          <w:sz w:val="28"/>
          <w:szCs w:val="28"/>
          <w:lang w:eastAsia="zh-CN"/>
        </w:rPr>
      </w:pPr>
      <w:r>
        <w:rPr>
          <w:rFonts w:ascii="宋体" w:hAnsi="宋体" w:eastAsia="宋体"/>
          <w:color w:val="auto"/>
          <w:sz w:val="28"/>
          <w:szCs w:val="28"/>
          <w:lang w:eastAsia="zh-CN"/>
        </w:rPr>
        <w:t>《关于规范危险化学品生产、储存企业作业场所安全标志标识的通知》(粤安监管三〔2011〕50号)</w:t>
      </w:r>
    </w:p>
    <w:p>
      <w:pPr>
        <w:spacing w:line="560" w:lineRule="exact"/>
        <w:ind w:firstLine="565" w:firstLineChars="202"/>
        <w:rPr>
          <w:rFonts w:ascii="宋体" w:hAnsi="宋体" w:eastAsia="宋体"/>
          <w:color w:val="auto"/>
          <w:sz w:val="28"/>
          <w:szCs w:val="28"/>
          <w:lang w:eastAsia="zh-CN"/>
        </w:rPr>
      </w:pPr>
      <w:r>
        <w:rPr>
          <w:rFonts w:ascii="宋体" w:hAnsi="宋体" w:eastAsia="宋体"/>
          <w:color w:val="auto"/>
          <w:sz w:val="28"/>
          <w:szCs w:val="28"/>
          <w:lang w:eastAsia="zh-CN"/>
        </w:rPr>
        <w:t>《危险化学品重大危险源监督管理暂行规定》(安监总局令第40号，安监总局令第79号修订)</w:t>
      </w:r>
    </w:p>
    <w:p>
      <w:pPr>
        <w:spacing w:line="560" w:lineRule="exact"/>
        <w:ind w:firstLine="565" w:firstLineChars="202"/>
        <w:rPr>
          <w:rFonts w:ascii="宋体" w:hAnsi="宋体" w:eastAsia="宋体"/>
          <w:color w:val="auto"/>
          <w:sz w:val="28"/>
          <w:szCs w:val="28"/>
          <w:lang w:eastAsia="zh-CN"/>
        </w:rPr>
      </w:pPr>
      <w:r>
        <w:rPr>
          <w:rFonts w:ascii="宋体" w:hAnsi="宋体" w:eastAsia="宋体"/>
          <w:color w:val="auto"/>
          <w:sz w:val="28"/>
          <w:szCs w:val="28"/>
          <w:lang w:eastAsia="zh-CN"/>
        </w:rPr>
        <w:t>《广东省安全生产监督管理局关于＜危险化学品重大危险源监督管理暂行规定〉的实施细则》(粤安监〔2013〕17号)</w:t>
      </w:r>
    </w:p>
    <w:p>
      <w:pPr>
        <w:spacing w:line="560" w:lineRule="exact"/>
        <w:ind w:firstLine="565" w:firstLineChars="202"/>
        <w:rPr>
          <w:rFonts w:ascii="宋体" w:hAnsi="宋体" w:eastAsia="宋体"/>
          <w:color w:val="auto"/>
          <w:sz w:val="28"/>
          <w:szCs w:val="28"/>
          <w:lang w:eastAsia="zh-CN"/>
        </w:rPr>
      </w:pPr>
      <w:r>
        <w:rPr>
          <w:rFonts w:ascii="宋体" w:hAnsi="宋体" w:eastAsia="宋体"/>
          <w:color w:val="auto"/>
          <w:sz w:val="28"/>
          <w:szCs w:val="28"/>
          <w:lang w:eastAsia="zh-CN"/>
        </w:rPr>
        <w:t>《危险化学品目录(2015版)》(安全监管总局、工业和信息化部、公安部等公告2015年第5号)</w:t>
      </w:r>
    </w:p>
    <w:p>
      <w:pPr>
        <w:spacing w:line="560" w:lineRule="exact"/>
        <w:ind w:firstLine="565" w:firstLineChars="202"/>
        <w:rPr>
          <w:rFonts w:ascii="宋体" w:hAnsi="宋体" w:eastAsia="宋体"/>
          <w:color w:val="auto"/>
          <w:sz w:val="28"/>
          <w:szCs w:val="28"/>
          <w:lang w:eastAsia="zh-CN"/>
        </w:rPr>
      </w:pPr>
      <w:r>
        <w:rPr>
          <w:rFonts w:ascii="宋体" w:hAnsi="宋体" w:eastAsia="宋体"/>
          <w:color w:val="auto"/>
          <w:sz w:val="28"/>
          <w:szCs w:val="28"/>
          <w:lang w:eastAsia="zh-CN"/>
        </w:rPr>
        <w:t>国家安全监管总局办公厅关于印发《危险化学品目录(2015版)实施指南(试行)》的通知(安监总厅管三〔2015〕80号)</w:t>
      </w:r>
    </w:p>
    <w:p>
      <w:pPr>
        <w:spacing w:line="560" w:lineRule="exact"/>
        <w:ind w:firstLine="565" w:firstLineChars="202"/>
        <w:rPr>
          <w:rFonts w:ascii="宋体" w:hAnsi="宋体" w:eastAsia="宋体"/>
          <w:color w:val="auto"/>
          <w:sz w:val="28"/>
          <w:szCs w:val="28"/>
          <w:lang w:eastAsia="zh-CN"/>
        </w:rPr>
      </w:pPr>
      <w:r>
        <w:rPr>
          <w:rFonts w:ascii="宋体" w:hAnsi="宋体" w:eastAsia="宋体"/>
          <w:color w:val="auto"/>
          <w:sz w:val="28"/>
          <w:szCs w:val="28"/>
          <w:lang w:eastAsia="zh-CN"/>
        </w:rPr>
        <w:t>《淘汰落后安全技术装备目录(2015年第一批)》(安监总科技〔2015〕75号)；</w:t>
      </w:r>
    </w:p>
    <w:p>
      <w:pPr>
        <w:spacing w:line="560" w:lineRule="exact"/>
        <w:ind w:firstLine="565" w:firstLineChars="202"/>
        <w:rPr>
          <w:rFonts w:ascii="宋体" w:hAnsi="宋体" w:eastAsia="宋体"/>
          <w:color w:val="auto"/>
          <w:sz w:val="28"/>
          <w:szCs w:val="28"/>
          <w:lang w:eastAsia="zh-CN"/>
        </w:rPr>
      </w:pPr>
      <w:r>
        <w:rPr>
          <w:rFonts w:ascii="宋体" w:hAnsi="宋体" w:eastAsia="宋体"/>
          <w:color w:val="auto"/>
          <w:sz w:val="28"/>
          <w:szCs w:val="28"/>
          <w:lang w:eastAsia="zh-CN"/>
        </w:rPr>
        <w:t>《淘汰落后安全技术工艺、设备目录》(2016年)(安监总科技〔2016〕137号)。</w:t>
      </w:r>
    </w:p>
    <w:p>
      <w:pPr>
        <w:spacing w:line="560" w:lineRule="exact"/>
        <w:jc w:val="both"/>
        <w:outlineLvl w:val="2"/>
        <w:rPr>
          <w:rFonts w:ascii="宋体" w:hAnsi="宋体" w:eastAsia="宋体" w:cs="Times New Roman"/>
          <w:bCs/>
          <w:color w:val="auto"/>
          <w:kern w:val="2"/>
          <w:sz w:val="28"/>
          <w:szCs w:val="28"/>
          <w:lang w:val="en-US" w:eastAsia="zh-CN" w:bidi="ar-SA"/>
        </w:rPr>
      </w:pPr>
      <w:bookmarkStart w:id="10" w:name="bookmark8"/>
      <w:r>
        <w:rPr>
          <w:rFonts w:ascii="宋体" w:hAnsi="宋体" w:eastAsia="宋体" w:cs="Times New Roman"/>
          <w:bCs/>
          <w:color w:val="auto"/>
          <w:kern w:val="2"/>
          <w:sz w:val="28"/>
          <w:szCs w:val="28"/>
          <w:lang w:val="en-US" w:eastAsia="zh-CN" w:bidi="ar-SA"/>
        </w:rPr>
        <w:t>1.2.2标准、规范</w:t>
      </w:r>
      <w:bookmarkEnd w:id="10"/>
    </w:p>
    <w:p>
      <w:pPr>
        <w:spacing w:line="560" w:lineRule="exact"/>
        <w:ind w:firstLine="565" w:firstLineChars="202"/>
        <w:rPr>
          <w:rFonts w:ascii="宋体" w:hAnsi="宋体" w:eastAsia="宋体"/>
          <w:color w:val="auto"/>
          <w:sz w:val="28"/>
          <w:szCs w:val="28"/>
          <w:lang w:eastAsia="zh-CN"/>
        </w:rPr>
      </w:pPr>
      <w:r>
        <w:rPr>
          <w:rFonts w:ascii="宋体" w:hAnsi="宋体" w:eastAsia="宋体"/>
          <w:color w:val="auto"/>
          <w:sz w:val="28"/>
          <w:szCs w:val="28"/>
          <w:lang w:eastAsia="zh-CN"/>
        </w:rPr>
        <w:t>《安全评价通则》(AQ8001-2007)；</w:t>
      </w:r>
    </w:p>
    <w:p>
      <w:pPr>
        <w:spacing w:line="560" w:lineRule="exact"/>
        <w:ind w:firstLine="565" w:firstLineChars="202"/>
        <w:rPr>
          <w:rFonts w:ascii="宋体" w:hAnsi="宋体" w:eastAsia="宋体"/>
          <w:color w:val="auto"/>
          <w:sz w:val="28"/>
          <w:szCs w:val="28"/>
          <w:lang w:eastAsia="zh-CN"/>
        </w:rPr>
      </w:pPr>
      <w:r>
        <w:rPr>
          <w:rFonts w:ascii="宋体" w:hAnsi="宋体" w:eastAsia="宋体"/>
          <w:color w:val="auto"/>
          <w:sz w:val="28"/>
          <w:szCs w:val="28"/>
          <w:lang w:eastAsia="zh-CN"/>
        </w:rPr>
        <w:t>《建筑设计防火规范》(GB50016-2014</w:t>
      </w:r>
      <w:r>
        <w:rPr>
          <w:rFonts w:hint="eastAsia" w:ascii="宋体" w:hAnsi="宋体" w:eastAsia="宋体"/>
          <w:color w:val="auto"/>
          <w:sz w:val="28"/>
          <w:szCs w:val="28"/>
          <w:lang w:eastAsia="zh-CN"/>
        </w:rPr>
        <w:t>，2018年版</w:t>
      </w:r>
      <w:r>
        <w:rPr>
          <w:rFonts w:ascii="宋体" w:hAnsi="宋体" w:eastAsia="宋体"/>
          <w:color w:val="auto"/>
          <w:sz w:val="28"/>
          <w:szCs w:val="28"/>
          <w:lang w:eastAsia="zh-CN"/>
        </w:rPr>
        <w:t>)；</w:t>
      </w:r>
    </w:p>
    <w:p>
      <w:pPr>
        <w:spacing w:line="560" w:lineRule="exact"/>
        <w:ind w:firstLine="565" w:firstLineChars="202"/>
        <w:rPr>
          <w:rFonts w:ascii="宋体" w:hAnsi="宋体" w:eastAsia="宋体"/>
          <w:color w:val="auto"/>
          <w:sz w:val="28"/>
          <w:szCs w:val="28"/>
          <w:lang w:eastAsia="zh-CN"/>
        </w:rPr>
      </w:pPr>
      <w:r>
        <w:rPr>
          <w:rFonts w:ascii="宋体" w:hAnsi="宋体" w:eastAsia="宋体"/>
          <w:color w:val="auto"/>
          <w:sz w:val="28"/>
          <w:szCs w:val="28"/>
          <w:lang w:eastAsia="zh-CN"/>
        </w:rPr>
        <w:t>《建筑物防雷设计规范》(GB50057-2010)；</w:t>
      </w:r>
    </w:p>
    <w:p>
      <w:pPr>
        <w:spacing w:line="560" w:lineRule="exact"/>
        <w:ind w:firstLine="565" w:firstLineChars="202"/>
        <w:rPr>
          <w:rFonts w:ascii="宋体" w:hAnsi="宋体" w:eastAsia="宋体"/>
          <w:color w:val="auto"/>
          <w:sz w:val="28"/>
          <w:szCs w:val="28"/>
          <w:lang w:eastAsia="zh-CN"/>
        </w:rPr>
      </w:pPr>
      <w:r>
        <w:rPr>
          <w:rFonts w:ascii="宋体" w:hAnsi="宋体" w:eastAsia="宋体"/>
          <w:color w:val="auto"/>
          <w:sz w:val="28"/>
          <w:szCs w:val="28"/>
          <w:lang w:eastAsia="zh-CN"/>
        </w:rPr>
        <w:t>《危险化学品重大危险源辨识》(GB18218-2018)；</w:t>
      </w:r>
    </w:p>
    <w:p>
      <w:pPr>
        <w:spacing w:line="560" w:lineRule="exact"/>
        <w:ind w:firstLine="565" w:firstLineChars="202"/>
        <w:rPr>
          <w:rFonts w:ascii="宋体" w:hAnsi="宋体" w:eastAsia="宋体"/>
          <w:color w:val="auto"/>
          <w:sz w:val="28"/>
          <w:szCs w:val="28"/>
          <w:lang w:eastAsia="zh-CN"/>
        </w:rPr>
      </w:pPr>
      <w:r>
        <w:rPr>
          <w:rFonts w:ascii="宋体" w:hAnsi="宋体" w:eastAsia="宋体"/>
          <w:color w:val="auto"/>
          <w:sz w:val="28"/>
          <w:szCs w:val="28"/>
          <w:lang w:eastAsia="zh-CN"/>
        </w:rPr>
        <w:t>《化工企业安全卫生设计规范》(HG20571-2014)；</w:t>
      </w:r>
    </w:p>
    <w:p>
      <w:pPr>
        <w:spacing w:line="560" w:lineRule="exact"/>
        <w:ind w:firstLine="565" w:firstLineChars="202"/>
        <w:rPr>
          <w:rFonts w:ascii="宋体" w:hAnsi="宋体" w:eastAsia="宋体"/>
          <w:color w:val="auto"/>
          <w:sz w:val="28"/>
          <w:szCs w:val="28"/>
          <w:lang w:eastAsia="zh-CN"/>
        </w:rPr>
      </w:pPr>
      <w:r>
        <w:rPr>
          <w:rFonts w:ascii="宋体" w:hAnsi="宋体" w:eastAsia="宋体"/>
          <w:color w:val="auto"/>
          <w:sz w:val="28"/>
          <w:szCs w:val="28"/>
          <w:lang w:eastAsia="zh-CN"/>
        </w:rPr>
        <w:t>《爆炸危险环境电力装置设计规范》(GB50058-2014)；</w:t>
      </w:r>
    </w:p>
    <w:p>
      <w:pPr>
        <w:spacing w:line="560" w:lineRule="exact"/>
        <w:ind w:firstLine="565" w:firstLineChars="202"/>
        <w:rPr>
          <w:rFonts w:ascii="宋体" w:hAnsi="宋体" w:eastAsia="宋体"/>
          <w:color w:val="auto"/>
          <w:sz w:val="28"/>
          <w:szCs w:val="28"/>
          <w:lang w:eastAsia="zh-CN"/>
        </w:rPr>
      </w:pPr>
      <w:r>
        <w:rPr>
          <w:rFonts w:ascii="宋体" w:hAnsi="宋体" w:eastAsia="宋体"/>
          <w:color w:val="auto"/>
          <w:sz w:val="28"/>
          <w:szCs w:val="28"/>
          <w:lang w:eastAsia="zh-CN"/>
        </w:rPr>
        <w:t>《防止静电事故通用导则》(GB12158-2006)；</w:t>
      </w:r>
    </w:p>
    <w:p>
      <w:pPr>
        <w:spacing w:line="560" w:lineRule="exact"/>
        <w:ind w:firstLine="565" w:firstLineChars="202"/>
        <w:rPr>
          <w:rFonts w:ascii="宋体" w:hAnsi="宋体" w:eastAsia="宋体"/>
          <w:color w:val="auto"/>
          <w:sz w:val="28"/>
          <w:szCs w:val="28"/>
          <w:lang w:eastAsia="zh-CN"/>
        </w:rPr>
      </w:pPr>
      <w:r>
        <w:rPr>
          <w:rFonts w:ascii="宋体" w:hAnsi="宋体" w:eastAsia="宋体"/>
          <w:color w:val="auto"/>
          <w:sz w:val="28"/>
          <w:szCs w:val="28"/>
          <w:lang w:eastAsia="zh-CN"/>
        </w:rPr>
        <w:t>《化工企业静电安全检查规程》(HG/T23003-1992)；</w:t>
      </w:r>
    </w:p>
    <w:p>
      <w:pPr>
        <w:spacing w:line="560" w:lineRule="exact"/>
        <w:ind w:firstLine="565" w:firstLineChars="202"/>
        <w:rPr>
          <w:rFonts w:ascii="宋体" w:hAnsi="宋体" w:eastAsia="宋体"/>
          <w:color w:val="auto"/>
          <w:sz w:val="28"/>
          <w:szCs w:val="28"/>
          <w:lang w:eastAsia="zh-CN"/>
        </w:rPr>
      </w:pPr>
      <w:r>
        <w:rPr>
          <w:rFonts w:ascii="宋体" w:hAnsi="宋体" w:eastAsia="宋体"/>
          <w:color w:val="auto"/>
          <w:sz w:val="28"/>
          <w:szCs w:val="28"/>
          <w:lang w:eastAsia="zh-CN"/>
        </w:rPr>
        <w:t>《生产过程安全卫生要求总则》(GB/T12801-2008)；</w:t>
      </w:r>
    </w:p>
    <w:p>
      <w:pPr>
        <w:spacing w:line="560" w:lineRule="exact"/>
        <w:ind w:firstLine="565" w:firstLineChars="202"/>
        <w:rPr>
          <w:rFonts w:ascii="宋体" w:hAnsi="宋体" w:eastAsia="宋体"/>
          <w:color w:val="auto"/>
          <w:sz w:val="28"/>
          <w:szCs w:val="28"/>
          <w:lang w:eastAsia="zh-CN"/>
        </w:rPr>
      </w:pPr>
      <w:r>
        <w:rPr>
          <w:rFonts w:ascii="宋体" w:hAnsi="宋体" w:eastAsia="宋体"/>
          <w:color w:val="auto"/>
          <w:sz w:val="28"/>
          <w:szCs w:val="28"/>
          <w:lang w:eastAsia="zh-CN"/>
        </w:rPr>
        <w:t>《爆炸性环境第1部分：设备通用要求》(GB3836.1-2010)；</w:t>
      </w:r>
    </w:p>
    <w:p>
      <w:pPr>
        <w:spacing w:line="560" w:lineRule="exact"/>
        <w:ind w:firstLine="565" w:firstLineChars="202"/>
        <w:rPr>
          <w:rFonts w:ascii="宋体" w:hAnsi="宋体" w:eastAsia="宋体"/>
          <w:color w:val="auto"/>
          <w:sz w:val="28"/>
          <w:szCs w:val="28"/>
          <w:lang w:eastAsia="zh-CN"/>
        </w:rPr>
      </w:pPr>
      <w:r>
        <w:rPr>
          <w:rFonts w:ascii="宋体" w:hAnsi="宋体" w:eastAsia="宋体"/>
          <w:color w:val="auto"/>
          <w:sz w:val="28"/>
          <w:szCs w:val="28"/>
          <w:lang w:eastAsia="zh-CN"/>
        </w:rPr>
        <w:t>《常用化学危险品贮存通则》(GB15603-1995)；</w:t>
      </w:r>
    </w:p>
    <w:p>
      <w:pPr>
        <w:spacing w:line="560" w:lineRule="exact"/>
        <w:ind w:firstLine="565" w:firstLineChars="202"/>
        <w:rPr>
          <w:rFonts w:ascii="宋体" w:hAnsi="宋体" w:eastAsia="宋体"/>
          <w:color w:val="auto"/>
          <w:sz w:val="28"/>
          <w:szCs w:val="28"/>
          <w:lang w:eastAsia="zh-CN"/>
        </w:rPr>
      </w:pPr>
      <w:r>
        <w:rPr>
          <w:rFonts w:ascii="宋体" w:hAnsi="宋体" w:eastAsia="宋体"/>
          <w:color w:val="auto"/>
          <w:sz w:val="28"/>
          <w:szCs w:val="28"/>
          <w:lang w:eastAsia="zh-CN"/>
        </w:rPr>
        <w:t>《易燃易爆性商品储存养护技术条件》(GB17914-2013)；</w:t>
      </w:r>
    </w:p>
    <w:p>
      <w:pPr>
        <w:spacing w:line="560" w:lineRule="exact"/>
        <w:ind w:firstLine="565" w:firstLineChars="202"/>
        <w:rPr>
          <w:rFonts w:ascii="宋体" w:hAnsi="宋体" w:eastAsia="宋体"/>
          <w:color w:val="auto"/>
          <w:sz w:val="28"/>
          <w:szCs w:val="28"/>
          <w:lang w:eastAsia="zh-CN"/>
        </w:rPr>
      </w:pPr>
      <w:r>
        <w:rPr>
          <w:rFonts w:ascii="宋体" w:hAnsi="宋体" w:eastAsia="宋体"/>
          <w:color w:val="auto"/>
          <w:sz w:val="28"/>
          <w:szCs w:val="28"/>
          <w:lang w:eastAsia="zh-CN"/>
        </w:rPr>
        <w:t>《毒害性商品储存养护技术条件》(GB17916-2013)；</w:t>
      </w:r>
    </w:p>
    <w:p>
      <w:pPr>
        <w:spacing w:line="560" w:lineRule="exact"/>
        <w:ind w:firstLine="565" w:firstLineChars="202"/>
        <w:rPr>
          <w:rFonts w:ascii="宋体" w:hAnsi="宋体" w:eastAsia="宋体"/>
          <w:color w:val="auto"/>
          <w:sz w:val="28"/>
          <w:szCs w:val="28"/>
          <w:lang w:eastAsia="zh-CN"/>
        </w:rPr>
      </w:pPr>
      <w:r>
        <w:rPr>
          <w:rFonts w:ascii="宋体" w:hAnsi="宋体" w:eastAsia="宋体"/>
          <w:color w:val="auto"/>
          <w:sz w:val="28"/>
          <w:szCs w:val="28"/>
          <w:lang w:eastAsia="zh-CN"/>
        </w:rPr>
        <w:t>《生产过程危险和有害因素分类与代码》(GB/T13861-2009)；</w:t>
      </w:r>
    </w:p>
    <w:p>
      <w:pPr>
        <w:spacing w:line="560" w:lineRule="exact"/>
        <w:ind w:firstLine="565" w:firstLineChars="202"/>
        <w:rPr>
          <w:rFonts w:ascii="宋体" w:hAnsi="宋体" w:eastAsia="宋体"/>
          <w:color w:val="auto"/>
          <w:sz w:val="28"/>
          <w:szCs w:val="28"/>
          <w:lang w:eastAsia="zh-CN"/>
        </w:rPr>
      </w:pPr>
      <w:r>
        <w:rPr>
          <w:rFonts w:ascii="宋体" w:hAnsi="宋体" w:eastAsia="宋体"/>
          <w:color w:val="auto"/>
          <w:sz w:val="28"/>
          <w:szCs w:val="28"/>
          <w:lang w:eastAsia="zh-CN"/>
        </w:rPr>
        <w:t>《企业职工伤亡事故分类》(GB6441-1986)；</w:t>
      </w:r>
    </w:p>
    <w:p>
      <w:pPr>
        <w:spacing w:line="560" w:lineRule="exact"/>
        <w:ind w:firstLine="565" w:firstLineChars="202"/>
        <w:rPr>
          <w:rFonts w:ascii="宋体" w:hAnsi="宋体" w:eastAsia="宋体"/>
          <w:color w:val="auto"/>
          <w:sz w:val="28"/>
          <w:szCs w:val="28"/>
          <w:lang w:eastAsia="zh-CN"/>
        </w:rPr>
      </w:pPr>
      <w:r>
        <w:rPr>
          <w:rFonts w:ascii="宋体" w:hAnsi="宋体" w:eastAsia="宋体"/>
          <w:color w:val="auto"/>
          <w:sz w:val="28"/>
          <w:szCs w:val="28"/>
          <w:lang w:eastAsia="zh-CN"/>
        </w:rPr>
        <w:t>《供配电系统设计规范》(GB50052-2009)；</w:t>
      </w:r>
    </w:p>
    <w:p>
      <w:pPr>
        <w:spacing w:line="560" w:lineRule="exact"/>
        <w:ind w:firstLine="565" w:firstLineChars="202"/>
        <w:rPr>
          <w:rFonts w:ascii="宋体" w:hAnsi="宋体" w:eastAsia="宋体"/>
          <w:color w:val="auto"/>
          <w:sz w:val="28"/>
          <w:szCs w:val="28"/>
          <w:lang w:eastAsia="zh-CN"/>
        </w:rPr>
      </w:pPr>
      <w:r>
        <w:rPr>
          <w:rFonts w:ascii="宋体" w:hAnsi="宋体" w:eastAsia="宋体"/>
          <w:color w:val="auto"/>
          <w:sz w:val="28"/>
          <w:szCs w:val="28"/>
          <w:lang w:eastAsia="zh-CN"/>
        </w:rPr>
        <w:t>《石油化工可燃气体和有毒气体检测报警设计标准》(GB50493-2019)；</w:t>
      </w:r>
    </w:p>
    <w:p>
      <w:pPr>
        <w:spacing w:line="560" w:lineRule="exact"/>
        <w:ind w:firstLine="565" w:firstLineChars="202"/>
        <w:rPr>
          <w:rFonts w:ascii="宋体" w:hAnsi="宋体" w:eastAsia="宋体"/>
          <w:color w:val="auto"/>
          <w:sz w:val="28"/>
          <w:szCs w:val="28"/>
          <w:lang w:eastAsia="zh-CN"/>
        </w:rPr>
      </w:pPr>
      <w:r>
        <w:rPr>
          <w:rFonts w:ascii="宋体" w:hAnsi="宋体" w:eastAsia="宋体"/>
          <w:color w:val="auto"/>
          <w:sz w:val="28"/>
          <w:szCs w:val="28"/>
          <w:lang w:eastAsia="zh-CN"/>
        </w:rPr>
        <w:t>《职业性接触毒物危害程度分级》(GBZ230-2010)；</w:t>
      </w:r>
    </w:p>
    <w:p>
      <w:pPr>
        <w:spacing w:line="560" w:lineRule="exact"/>
        <w:ind w:firstLine="565" w:firstLineChars="202"/>
        <w:rPr>
          <w:rFonts w:ascii="宋体" w:hAnsi="宋体" w:eastAsia="宋体"/>
          <w:color w:val="auto"/>
          <w:sz w:val="28"/>
          <w:szCs w:val="28"/>
          <w:lang w:eastAsia="zh-CN"/>
        </w:rPr>
      </w:pPr>
      <w:r>
        <w:rPr>
          <w:rFonts w:ascii="宋体" w:hAnsi="宋体" w:eastAsia="宋体"/>
          <w:color w:val="auto"/>
          <w:sz w:val="28"/>
          <w:szCs w:val="28"/>
          <w:lang w:eastAsia="zh-CN"/>
        </w:rPr>
        <w:t>《工作场所有害因素职业接触限值》(GBZ2.1</w:t>
      </w:r>
      <w:r>
        <w:rPr>
          <w:rFonts w:hint="eastAsia" w:ascii="微软雅黑" w:hAnsi="微软雅黑" w:eastAsia="微软雅黑" w:cs="微软雅黑"/>
          <w:color w:val="auto"/>
          <w:sz w:val="28"/>
          <w:szCs w:val="28"/>
          <w:lang w:eastAsia="zh-CN"/>
        </w:rPr>
        <w:t>～</w:t>
      </w:r>
      <w:r>
        <w:rPr>
          <w:rFonts w:ascii="宋体" w:hAnsi="宋体" w:eastAsia="宋体"/>
          <w:color w:val="auto"/>
          <w:sz w:val="28"/>
          <w:szCs w:val="28"/>
          <w:lang w:eastAsia="zh-CN"/>
        </w:rPr>
        <w:t>2.2-2007)；</w:t>
      </w:r>
    </w:p>
    <w:p>
      <w:pPr>
        <w:spacing w:line="560" w:lineRule="exact"/>
        <w:ind w:firstLine="565" w:firstLineChars="202"/>
        <w:rPr>
          <w:rFonts w:ascii="宋体" w:hAnsi="宋体" w:eastAsia="宋体"/>
          <w:color w:val="auto"/>
          <w:sz w:val="28"/>
          <w:szCs w:val="28"/>
          <w:lang w:eastAsia="zh-CN"/>
        </w:rPr>
      </w:pPr>
      <w:r>
        <w:rPr>
          <w:rFonts w:ascii="宋体" w:hAnsi="宋体" w:eastAsia="宋体"/>
          <w:color w:val="auto"/>
          <w:sz w:val="28"/>
          <w:szCs w:val="28"/>
          <w:lang w:eastAsia="zh-CN"/>
        </w:rPr>
        <w:t>《建筑灭火器配置验收及检查规范》(GB50444-2008)；</w:t>
      </w:r>
    </w:p>
    <w:p>
      <w:pPr>
        <w:spacing w:line="560" w:lineRule="exact"/>
        <w:ind w:firstLine="565" w:firstLineChars="202"/>
        <w:rPr>
          <w:rFonts w:ascii="宋体" w:hAnsi="宋体" w:eastAsia="宋体"/>
          <w:color w:val="auto"/>
          <w:sz w:val="28"/>
          <w:szCs w:val="28"/>
          <w:lang w:eastAsia="zh-CN"/>
        </w:rPr>
      </w:pPr>
      <w:r>
        <w:rPr>
          <w:rFonts w:ascii="宋体" w:hAnsi="宋体" w:eastAsia="宋体"/>
          <w:color w:val="auto"/>
          <w:sz w:val="28"/>
          <w:szCs w:val="28"/>
          <w:lang w:eastAsia="zh-CN"/>
        </w:rPr>
        <w:t>《电气装置安装工程爆炸和火灾危险环境电气装置施工及验收规范》(GB50257-2014)；</w:t>
      </w:r>
    </w:p>
    <w:p>
      <w:pPr>
        <w:spacing w:line="560" w:lineRule="exact"/>
        <w:ind w:firstLine="565" w:firstLineChars="202"/>
        <w:rPr>
          <w:rFonts w:ascii="宋体" w:hAnsi="宋体" w:eastAsia="宋体"/>
          <w:color w:val="auto"/>
          <w:sz w:val="28"/>
          <w:szCs w:val="28"/>
          <w:lang w:eastAsia="zh-CN"/>
        </w:rPr>
      </w:pPr>
      <w:r>
        <w:rPr>
          <w:rFonts w:ascii="宋体" w:hAnsi="宋体" w:eastAsia="宋体"/>
          <w:color w:val="auto"/>
          <w:sz w:val="28"/>
          <w:szCs w:val="28"/>
          <w:lang w:eastAsia="zh-CN"/>
        </w:rPr>
        <w:t>《安全色》(GB2893-2008)；</w:t>
      </w:r>
    </w:p>
    <w:p>
      <w:pPr>
        <w:spacing w:line="560" w:lineRule="exact"/>
        <w:ind w:firstLine="565" w:firstLineChars="202"/>
        <w:rPr>
          <w:rFonts w:ascii="宋体" w:hAnsi="宋体" w:eastAsia="宋体"/>
          <w:color w:val="auto"/>
          <w:sz w:val="28"/>
          <w:szCs w:val="28"/>
          <w:lang w:eastAsia="zh-CN"/>
        </w:rPr>
      </w:pPr>
      <w:r>
        <w:rPr>
          <w:rFonts w:ascii="宋体" w:hAnsi="宋体" w:eastAsia="宋体"/>
          <w:color w:val="auto"/>
          <w:sz w:val="28"/>
          <w:szCs w:val="28"/>
          <w:lang w:eastAsia="zh-CN"/>
        </w:rPr>
        <w:t>《安全标志及其使用导则》(GB2894-2008)；</w:t>
      </w:r>
    </w:p>
    <w:p>
      <w:pPr>
        <w:spacing w:line="560" w:lineRule="exact"/>
        <w:ind w:firstLine="565" w:firstLineChars="202"/>
        <w:rPr>
          <w:rFonts w:ascii="宋体" w:hAnsi="宋体" w:eastAsia="宋体"/>
          <w:color w:val="auto"/>
          <w:sz w:val="28"/>
          <w:szCs w:val="28"/>
          <w:lang w:eastAsia="zh-CN"/>
        </w:rPr>
      </w:pPr>
      <w:r>
        <w:rPr>
          <w:rFonts w:ascii="宋体" w:hAnsi="宋体" w:eastAsia="宋体"/>
          <w:color w:val="auto"/>
          <w:sz w:val="28"/>
          <w:szCs w:val="28"/>
          <w:lang w:eastAsia="zh-CN"/>
        </w:rPr>
        <w:t>《消防安全标志》(GB13495-1992)；</w:t>
      </w:r>
    </w:p>
    <w:p>
      <w:pPr>
        <w:spacing w:line="560" w:lineRule="exact"/>
        <w:ind w:firstLine="565" w:firstLineChars="202"/>
        <w:rPr>
          <w:rFonts w:ascii="宋体" w:hAnsi="宋体" w:eastAsia="宋体"/>
          <w:color w:val="auto"/>
          <w:sz w:val="28"/>
          <w:szCs w:val="28"/>
          <w:lang w:eastAsia="zh-CN"/>
        </w:rPr>
      </w:pPr>
      <w:r>
        <w:rPr>
          <w:rFonts w:ascii="宋体" w:hAnsi="宋体" w:eastAsia="宋体"/>
          <w:color w:val="auto"/>
          <w:sz w:val="28"/>
          <w:szCs w:val="28"/>
          <w:lang w:eastAsia="zh-CN"/>
        </w:rPr>
        <w:t>《消防安全标志设置要求》(GB15630-1995)；</w:t>
      </w:r>
    </w:p>
    <w:p>
      <w:pPr>
        <w:spacing w:line="560" w:lineRule="exact"/>
        <w:ind w:firstLine="565" w:firstLineChars="202"/>
        <w:rPr>
          <w:rFonts w:ascii="宋体" w:hAnsi="宋体" w:eastAsia="宋体"/>
          <w:color w:val="auto"/>
          <w:sz w:val="28"/>
          <w:szCs w:val="28"/>
          <w:lang w:eastAsia="zh-CN"/>
        </w:rPr>
      </w:pPr>
      <w:r>
        <w:rPr>
          <w:rFonts w:ascii="宋体" w:hAnsi="宋体" w:eastAsia="宋体"/>
          <w:color w:val="auto"/>
          <w:sz w:val="28"/>
          <w:szCs w:val="28"/>
          <w:lang w:eastAsia="zh-CN"/>
        </w:rPr>
        <w:t>《工业企业总平面设计规范》(GB50187-2012)；</w:t>
      </w:r>
    </w:p>
    <w:p>
      <w:pPr>
        <w:spacing w:line="560" w:lineRule="exact"/>
        <w:ind w:firstLine="565" w:firstLineChars="202"/>
        <w:rPr>
          <w:rFonts w:ascii="宋体" w:hAnsi="宋体" w:eastAsia="宋体"/>
          <w:color w:val="auto"/>
          <w:sz w:val="28"/>
          <w:szCs w:val="28"/>
          <w:lang w:eastAsia="zh-CN"/>
        </w:rPr>
      </w:pPr>
      <w:r>
        <w:rPr>
          <w:rFonts w:ascii="宋体" w:hAnsi="宋体" w:eastAsia="宋体"/>
          <w:color w:val="auto"/>
          <w:sz w:val="28"/>
          <w:szCs w:val="28"/>
          <w:lang w:eastAsia="zh-CN"/>
        </w:rPr>
        <w:t>《工业场所职业病危害警示标识》(GBZ158-2003)；</w:t>
      </w:r>
    </w:p>
    <w:p>
      <w:pPr>
        <w:spacing w:line="560" w:lineRule="exact"/>
        <w:ind w:firstLine="565" w:firstLineChars="202"/>
        <w:rPr>
          <w:rFonts w:ascii="宋体" w:hAnsi="宋体" w:eastAsia="宋体"/>
          <w:color w:val="auto"/>
          <w:sz w:val="28"/>
          <w:szCs w:val="28"/>
          <w:lang w:eastAsia="zh-CN"/>
        </w:rPr>
      </w:pPr>
      <w:r>
        <w:rPr>
          <w:rFonts w:ascii="宋体" w:hAnsi="宋体" w:eastAsia="宋体"/>
          <w:color w:val="auto"/>
          <w:sz w:val="28"/>
          <w:szCs w:val="28"/>
          <w:lang w:eastAsia="zh-CN"/>
        </w:rPr>
        <w:t>《工业企业设计卫生标准》(GBZ1-2010)；</w:t>
      </w:r>
    </w:p>
    <w:p>
      <w:pPr>
        <w:spacing w:line="560" w:lineRule="exact"/>
        <w:ind w:firstLine="565" w:firstLineChars="202"/>
        <w:rPr>
          <w:rFonts w:ascii="宋体" w:hAnsi="宋体" w:eastAsia="宋体"/>
          <w:color w:val="auto"/>
          <w:sz w:val="28"/>
          <w:szCs w:val="28"/>
          <w:lang w:eastAsia="zh-CN"/>
        </w:rPr>
      </w:pPr>
      <w:r>
        <w:rPr>
          <w:rFonts w:ascii="宋体" w:hAnsi="宋体" w:eastAsia="宋体"/>
          <w:color w:val="auto"/>
          <w:sz w:val="28"/>
          <w:szCs w:val="28"/>
          <w:lang w:eastAsia="zh-CN"/>
        </w:rPr>
        <w:t>《常用危险化学品安全周知卡编制导则》(HG23010-1997)；</w:t>
      </w:r>
    </w:p>
    <w:p>
      <w:pPr>
        <w:spacing w:line="560" w:lineRule="exact"/>
        <w:ind w:firstLine="565" w:firstLineChars="202"/>
        <w:rPr>
          <w:rFonts w:ascii="宋体" w:hAnsi="宋体" w:eastAsia="宋体"/>
          <w:color w:val="auto"/>
          <w:sz w:val="28"/>
          <w:szCs w:val="28"/>
          <w:lang w:eastAsia="zh-CN"/>
        </w:rPr>
      </w:pPr>
      <w:r>
        <w:rPr>
          <w:rFonts w:ascii="宋体" w:hAnsi="宋体" w:eastAsia="宋体"/>
          <w:color w:val="auto"/>
          <w:sz w:val="28"/>
          <w:szCs w:val="28"/>
          <w:lang w:eastAsia="zh-CN"/>
        </w:rPr>
        <w:t>《化学品分类和危险性公示通则》(GB13690-2009)；</w:t>
      </w:r>
    </w:p>
    <w:p>
      <w:pPr>
        <w:spacing w:line="560" w:lineRule="exact"/>
        <w:ind w:firstLine="565" w:firstLineChars="202"/>
        <w:rPr>
          <w:rFonts w:ascii="宋体" w:hAnsi="宋体" w:eastAsia="宋体"/>
          <w:color w:val="auto"/>
          <w:sz w:val="28"/>
          <w:szCs w:val="28"/>
          <w:lang w:eastAsia="zh-CN"/>
        </w:rPr>
      </w:pPr>
      <w:r>
        <w:rPr>
          <w:rFonts w:ascii="宋体" w:hAnsi="宋体" w:eastAsia="宋体"/>
          <w:color w:val="auto"/>
          <w:sz w:val="28"/>
          <w:szCs w:val="28"/>
          <w:lang w:eastAsia="zh-CN"/>
        </w:rPr>
        <w:t>《固定式钢梯及平台安全要求第2部分：钢斜梯》GB(4053.2-2009)；</w:t>
      </w:r>
    </w:p>
    <w:p>
      <w:pPr>
        <w:spacing w:line="560" w:lineRule="exact"/>
        <w:ind w:firstLine="565" w:firstLineChars="202"/>
        <w:rPr>
          <w:rFonts w:ascii="宋体" w:hAnsi="宋体" w:eastAsia="宋体"/>
          <w:color w:val="auto"/>
          <w:sz w:val="28"/>
          <w:szCs w:val="28"/>
          <w:lang w:eastAsia="zh-CN"/>
        </w:rPr>
      </w:pPr>
      <w:r>
        <w:rPr>
          <w:rFonts w:ascii="宋体" w:hAnsi="宋体" w:eastAsia="宋体"/>
          <w:color w:val="auto"/>
          <w:sz w:val="28"/>
          <w:szCs w:val="28"/>
          <w:lang w:eastAsia="zh-CN"/>
        </w:rPr>
        <w:t>《固定式钢梯及平台安全要求第3部分：工业防护栏杆及钢平台》(GB4053.3-2009)；</w:t>
      </w:r>
    </w:p>
    <w:p>
      <w:pPr>
        <w:spacing w:line="560" w:lineRule="exact"/>
        <w:ind w:firstLine="565" w:firstLineChars="202"/>
        <w:rPr>
          <w:rFonts w:ascii="宋体" w:hAnsi="宋体" w:eastAsia="宋体"/>
          <w:color w:val="auto"/>
          <w:sz w:val="28"/>
          <w:szCs w:val="28"/>
          <w:lang w:eastAsia="zh-CN"/>
        </w:rPr>
      </w:pPr>
      <w:r>
        <w:rPr>
          <w:rFonts w:ascii="宋体" w:hAnsi="宋体" w:eastAsia="宋体"/>
          <w:color w:val="auto"/>
          <w:sz w:val="28"/>
          <w:szCs w:val="28"/>
          <w:lang w:eastAsia="zh-CN"/>
        </w:rPr>
        <w:t>《危险场所电气防爆安全规范》(AQ3009-2007)；</w:t>
      </w:r>
    </w:p>
    <w:p>
      <w:pPr>
        <w:spacing w:line="560" w:lineRule="exact"/>
        <w:ind w:firstLine="565" w:firstLineChars="202"/>
        <w:rPr>
          <w:rFonts w:ascii="宋体" w:hAnsi="宋体" w:eastAsia="宋体"/>
          <w:color w:val="auto"/>
          <w:sz w:val="28"/>
          <w:szCs w:val="28"/>
          <w:lang w:eastAsia="zh-CN"/>
        </w:rPr>
      </w:pPr>
      <w:r>
        <w:rPr>
          <w:rFonts w:ascii="宋体" w:hAnsi="宋体" w:eastAsia="宋体"/>
          <w:color w:val="auto"/>
          <w:sz w:val="28"/>
          <w:szCs w:val="28"/>
          <w:lang w:eastAsia="zh-CN"/>
        </w:rPr>
        <w:t>《生产经营单位生产安全事故应急预案编制导则》(GB/T29639-2013)；</w:t>
      </w:r>
    </w:p>
    <w:p>
      <w:pPr>
        <w:spacing w:line="560" w:lineRule="exact"/>
        <w:ind w:firstLine="565" w:firstLineChars="202"/>
        <w:rPr>
          <w:rFonts w:ascii="宋体" w:hAnsi="宋体" w:eastAsia="宋体"/>
          <w:color w:val="auto"/>
          <w:sz w:val="28"/>
          <w:szCs w:val="28"/>
          <w:lang w:eastAsia="zh-CN"/>
        </w:rPr>
      </w:pPr>
      <w:r>
        <w:rPr>
          <w:rFonts w:ascii="宋体" w:hAnsi="宋体" w:eastAsia="宋体"/>
          <w:color w:val="auto"/>
          <w:sz w:val="28"/>
          <w:szCs w:val="28"/>
          <w:lang w:eastAsia="zh-CN"/>
        </w:rPr>
        <w:t>《油漆厂卫生防护距离标准》(GB18070-2000)；</w:t>
      </w:r>
    </w:p>
    <w:p>
      <w:pPr>
        <w:spacing w:line="560" w:lineRule="exact"/>
        <w:ind w:firstLine="565" w:firstLineChars="202"/>
        <w:rPr>
          <w:rFonts w:hint="eastAsia" w:ascii="宋体" w:hAnsi="宋体" w:eastAsia="宋体"/>
          <w:color w:val="auto"/>
          <w:sz w:val="28"/>
          <w:szCs w:val="28"/>
          <w:lang w:eastAsia="zh-CN"/>
        </w:rPr>
      </w:pPr>
      <w:r>
        <w:rPr>
          <w:rFonts w:hint="eastAsia" w:ascii="宋体" w:hAnsi="宋体" w:eastAsia="宋体"/>
          <w:color w:val="auto"/>
          <w:sz w:val="28"/>
          <w:szCs w:val="28"/>
          <w:lang w:eastAsia="zh-CN"/>
        </w:rPr>
        <w:t>《涂料生产企业安全技术规范》（AQ5204-2008）；</w:t>
      </w:r>
    </w:p>
    <w:p>
      <w:pPr>
        <w:spacing w:line="560" w:lineRule="exact"/>
        <w:ind w:firstLine="565" w:firstLineChars="202"/>
        <w:rPr>
          <w:rFonts w:hint="eastAsia" w:ascii="宋体" w:hAnsi="宋体" w:eastAsia="宋体"/>
          <w:color w:val="auto"/>
          <w:sz w:val="28"/>
          <w:szCs w:val="28"/>
          <w:lang w:val="en-US" w:eastAsia="zh-CN"/>
        </w:rPr>
      </w:pPr>
      <w:r>
        <w:rPr>
          <w:rFonts w:hint="eastAsia" w:ascii="宋体" w:hAnsi="宋体" w:eastAsia="宋体"/>
          <w:color w:val="auto"/>
          <w:sz w:val="28"/>
          <w:szCs w:val="28"/>
          <w:lang w:eastAsia="zh-CN"/>
        </w:rPr>
        <w:t>《公路安全保护条例》（国务院令第</w:t>
      </w:r>
      <w:r>
        <w:rPr>
          <w:rFonts w:hint="eastAsia" w:ascii="宋体" w:hAnsi="宋体" w:eastAsia="宋体"/>
          <w:color w:val="auto"/>
          <w:sz w:val="28"/>
          <w:szCs w:val="28"/>
          <w:lang w:val="en-US" w:eastAsia="zh-CN"/>
        </w:rPr>
        <w:t>593号</w:t>
      </w:r>
      <w:r>
        <w:rPr>
          <w:rFonts w:hint="eastAsia" w:ascii="宋体" w:hAnsi="宋体" w:eastAsia="宋体"/>
          <w:color w:val="auto"/>
          <w:sz w:val="28"/>
          <w:szCs w:val="28"/>
          <w:lang w:eastAsia="zh-CN"/>
        </w:rPr>
        <w:t>）</w:t>
      </w:r>
    </w:p>
    <w:p>
      <w:pPr>
        <w:spacing w:line="560" w:lineRule="exact"/>
        <w:ind w:firstLine="565" w:firstLineChars="202"/>
        <w:rPr>
          <w:rFonts w:ascii="宋体" w:hAnsi="宋体" w:eastAsia="宋体"/>
          <w:color w:val="auto"/>
          <w:sz w:val="28"/>
          <w:szCs w:val="28"/>
          <w:lang w:eastAsia="zh-CN"/>
        </w:rPr>
      </w:pPr>
      <w:r>
        <w:rPr>
          <w:rFonts w:ascii="宋体" w:hAnsi="宋体" w:eastAsia="宋体"/>
          <w:color w:val="auto"/>
          <w:sz w:val="28"/>
          <w:szCs w:val="28"/>
          <w:lang w:eastAsia="zh-CN"/>
        </w:rPr>
        <w:t>其它有关法规及标准。</w:t>
      </w:r>
    </w:p>
    <w:p>
      <w:pPr>
        <w:spacing w:line="560" w:lineRule="exact"/>
        <w:jc w:val="both"/>
        <w:outlineLvl w:val="2"/>
        <w:rPr>
          <w:rFonts w:ascii="宋体" w:hAnsi="宋体" w:eastAsia="宋体" w:cs="Times New Roman"/>
          <w:bCs/>
          <w:color w:val="auto"/>
          <w:kern w:val="2"/>
          <w:sz w:val="28"/>
          <w:szCs w:val="28"/>
          <w:lang w:val="en-US" w:eastAsia="zh-CN" w:bidi="ar-SA"/>
        </w:rPr>
      </w:pPr>
      <w:bookmarkStart w:id="11" w:name="bookmark9"/>
      <w:r>
        <w:rPr>
          <w:rFonts w:ascii="宋体" w:hAnsi="宋体" w:eastAsia="宋体" w:cs="Times New Roman"/>
          <w:bCs/>
          <w:color w:val="auto"/>
          <w:kern w:val="2"/>
          <w:sz w:val="28"/>
          <w:szCs w:val="28"/>
          <w:lang w:val="en-US" w:eastAsia="zh-CN" w:bidi="ar-SA"/>
        </w:rPr>
        <w:t>1.2.3其它相关资料</w:t>
      </w:r>
      <w:bookmarkEnd w:id="11"/>
    </w:p>
    <w:p>
      <w:pPr>
        <w:spacing w:line="560" w:lineRule="exact"/>
        <w:ind w:firstLine="565" w:firstLineChars="202"/>
        <w:rPr>
          <w:rFonts w:ascii="宋体" w:hAnsi="宋体" w:eastAsia="宋体"/>
          <w:color w:val="auto"/>
          <w:sz w:val="28"/>
          <w:szCs w:val="28"/>
          <w:lang w:eastAsia="zh-CN"/>
        </w:rPr>
      </w:pPr>
      <w:r>
        <w:rPr>
          <w:rFonts w:hint="eastAsia" w:ascii="宋体" w:hAnsi="宋体" w:eastAsia="宋体"/>
          <w:color w:val="auto"/>
          <w:sz w:val="28"/>
          <w:szCs w:val="28"/>
          <w:lang w:eastAsia="zh-CN"/>
        </w:rPr>
        <w:t>1)</w:t>
      </w:r>
      <w:r>
        <w:rPr>
          <w:rFonts w:ascii="宋体" w:hAnsi="宋体" w:eastAsia="宋体"/>
          <w:color w:val="auto"/>
          <w:sz w:val="28"/>
          <w:szCs w:val="28"/>
          <w:lang w:eastAsia="zh-CN"/>
        </w:rPr>
        <w:t>广东安源鼎盛检测评价技术服务有限公司与东莞市华龙实业有限公司签订的服务合同；</w:t>
      </w:r>
    </w:p>
    <w:p>
      <w:pPr>
        <w:spacing w:line="560" w:lineRule="exact"/>
        <w:ind w:firstLine="565" w:firstLineChars="202"/>
        <w:rPr>
          <w:rFonts w:ascii="宋体" w:hAnsi="宋体" w:eastAsia="宋体"/>
          <w:color w:val="auto"/>
          <w:sz w:val="28"/>
          <w:szCs w:val="28"/>
          <w:lang w:eastAsia="zh-CN"/>
        </w:rPr>
      </w:pPr>
      <w:r>
        <w:rPr>
          <w:rFonts w:hint="eastAsia" w:ascii="宋体" w:hAnsi="宋体" w:eastAsia="宋体"/>
          <w:color w:val="auto"/>
          <w:sz w:val="28"/>
          <w:szCs w:val="28"/>
          <w:lang w:eastAsia="zh-CN"/>
        </w:rPr>
        <w:t>2)</w:t>
      </w:r>
      <w:r>
        <w:rPr>
          <w:rFonts w:ascii="宋体" w:hAnsi="宋体" w:eastAsia="宋体"/>
          <w:color w:val="auto"/>
          <w:sz w:val="28"/>
          <w:szCs w:val="28"/>
          <w:lang w:eastAsia="zh-CN"/>
        </w:rPr>
        <w:t>东莞市华龙实业有限公司提供的证照文书、工艺资料、安全现状评价报告等相关技术资料。</w:t>
      </w:r>
    </w:p>
    <w:p>
      <w:pPr>
        <w:spacing w:line="560" w:lineRule="exact"/>
        <w:ind w:firstLine="565" w:firstLineChars="202"/>
        <w:rPr>
          <w:rFonts w:ascii="宋体" w:hAnsi="宋体" w:eastAsia="宋体"/>
          <w:color w:val="auto"/>
          <w:sz w:val="28"/>
          <w:szCs w:val="28"/>
          <w:lang w:eastAsia="zh-CN"/>
        </w:rPr>
      </w:pPr>
    </w:p>
    <w:p>
      <w:pPr>
        <w:pStyle w:val="3"/>
        <w:spacing w:after="120"/>
        <w:rPr>
          <w:snapToGrid/>
          <w:color w:val="auto"/>
        </w:rPr>
      </w:pPr>
      <w:bookmarkStart w:id="12" w:name="bookmark11"/>
      <w:bookmarkStart w:id="13" w:name="bookmark10"/>
      <w:r>
        <w:rPr>
          <w:snapToGrid/>
          <w:color w:val="auto"/>
        </w:rPr>
        <w:br w:type="page"/>
      </w:r>
    </w:p>
    <w:p>
      <w:pPr>
        <w:pStyle w:val="3"/>
        <w:spacing w:after="120"/>
        <w:rPr>
          <w:snapToGrid/>
          <w:color w:val="auto"/>
        </w:rPr>
      </w:pPr>
      <w:bookmarkStart w:id="14" w:name="_Toc40045884"/>
      <w:r>
        <w:rPr>
          <w:snapToGrid/>
          <w:color w:val="auto"/>
        </w:rPr>
        <w:t>2被评价单位概况</w:t>
      </w:r>
      <w:bookmarkEnd w:id="12"/>
      <w:bookmarkEnd w:id="13"/>
      <w:bookmarkEnd w:id="14"/>
    </w:p>
    <w:p>
      <w:pPr>
        <w:spacing w:line="560" w:lineRule="exact"/>
        <w:jc w:val="both"/>
        <w:outlineLvl w:val="1"/>
        <w:rPr>
          <w:rFonts w:ascii="楷体_GB2312" w:hAnsi="Times New Roman" w:eastAsia="楷体_GB2312" w:cs="Times New Roman"/>
          <w:bCs/>
          <w:color w:val="auto"/>
          <w:kern w:val="2"/>
          <w:sz w:val="32"/>
          <w:lang w:val="en-US" w:eastAsia="zh-CN" w:bidi="ar-SA"/>
        </w:rPr>
      </w:pPr>
      <w:bookmarkStart w:id="15" w:name="_Toc40045885"/>
      <w:bookmarkStart w:id="16" w:name="bookmark12"/>
      <w:bookmarkStart w:id="17" w:name="bookmark13"/>
      <w:r>
        <w:rPr>
          <w:rFonts w:ascii="楷体_GB2312" w:hAnsi="Times New Roman" w:eastAsia="楷体_GB2312" w:cs="Times New Roman"/>
          <w:bCs/>
          <w:color w:val="auto"/>
          <w:kern w:val="2"/>
          <w:sz w:val="32"/>
          <w:lang w:val="en-US" w:eastAsia="zh-CN" w:bidi="ar-SA"/>
        </w:rPr>
        <w:t>2.1被评价单位基本情况</w:t>
      </w:r>
      <w:bookmarkEnd w:id="15"/>
    </w:p>
    <w:p>
      <w:pPr>
        <w:spacing w:line="560" w:lineRule="exact"/>
        <w:jc w:val="both"/>
        <w:outlineLvl w:val="2"/>
        <w:rPr>
          <w:rFonts w:ascii="宋体" w:hAnsi="宋体" w:eastAsia="宋体" w:cs="Times New Roman"/>
          <w:bCs/>
          <w:color w:val="auto"/>
          <w:kern w:val="2"/>
          <w:sz w:val="28"/>
          <w:szCs w:val="28"/>
          <w:lang w:val="en-US" w:eastAsia="zh-CN" w:bidi="ar-SA"/>
        </w:rPr>
      </w:pPr>
      <w:r>
        <w:rPr>
          <w:rFonts w:ascii="宋体" w:hAnsi="宋体" w:eastAsia="宋体" w:cs="Times New Roman"/>
          <w:bCs/>
          <w:color w:val="auto"/>
          <w:kern w:val="2"/>
          <w:sz w:val="28"/>
          <w:szCs w:val="28"/>
          <w:lang w:val="en-US" w:eastAsia="zh-CN" w:bidi="ar-SA"/>
        </w:rPr>
        <w:t>2.1.1被评价单位简介</w:t>
      </w:r>
      <w:bookmarkEnd w:id="16"/>
      <w:bookmarkEnd w:id="17"/>
    </w:p>
    <w:p>
      <w:pPr>
        <w:spacing w:line="560" w:lineRule="exact"/>
        <w:ind w:firstLine="425" w:firstLineChars="152"/>
        <w:jc w:val="both"/>
        <w:rPr>
          <w:rFonts w:ascii="宋体" w:hAnsi="宋体" w:eastAsia="宋体"/>
          <w:color w:val="auto"/>
          <w:sz w:val="28"/>
          <w:szCs w:val="28"/>
          <w:lang w:eastAsia="zh-CN"/>
        </w:rPr>
      </w:pPr>
      <w:r>
        <w:rPr>
          <w:rFonts w:ascii="宋体" w:hAnsi="宋体" w:eastAsia="宋体"/>
          <w:color w:val="auto"/>
          <w:sz w:val="28"/>
          <w:szCs w:val="28"/>
          <w:lang w:eastAsia="zh-CN"/>
        </w:rPr>
        <w:t>东莞市华龙实业有限公司(以下简称“该公司”或</w:t>
      </w:r>
      <w:r>
        <w:rPr>
          <w:rFonts w:hint="eastAsia" w:ascii="宋体" w:hAnsi="宋体" w:eastAsia="宋体"/>
          <w:color w:val="auto"/>
          <w:sz w:val="28"/>
          <w:szCs w:val="28"/>
          <w:lang w:eastAsia="zh-CN"/>
        </w:rPr>
        <w:t>“</w:t>
      </w:r>
      <w:r>
        <w:rPr>
          <w:rFonts w:ascii="宋体" w:hAnsi="宋体" w:eastAsia="宋体"/>
          <w:color w:val="auto"/>
          <w:sz w:val="28"/>
          <w:szCs w:val="28"/>
          <w:lang w:eastAsia="zh-CN"/>
        </w:rPr>
        <w:t>华龙公司</w:t>
      </w:r>
      <w:r>
        <w:rPr>
          <w:rFonts w:hint="eastAsia" w:ascii="宋体" w:hAnsi="宋体" w:eastAsia="宋体"/>
          <w:color w:val="auto"/>
          <w:sz w:val="28"/>
          <w:szCs w:val="28"/>
          <w:lang w:eastAsia="zh-CN"/>
        </w:rPr>
        <w:t>”</w:t>
      </w:r>
      <w:r>
        <w:rPr>
          <w:rFonts w:ascii="宋体" w:hAnsi="宋体" w:eastAsia="宋体"/>
          <w:color w:val="auto"/>
          <w:sz w:val="28"/>
          <w:szCs w:val="28"/>
          <w:lang w:eastAsia="zh-CN"/>
        </w:rPr>
        <w:t>)于</w:t>
      </w:r>
      <w:r>
        <w:rPr>
          <w:rFonts w:hint="eastAsia" w:ascii="宋体" w:hAnsi="宋体" w:eastAsia="宋体"/>
          <w:color w:val="auto"/>
          <w:sz w:val="28"/>
          <w:szCs w:val="28"/>
          <w:lang w:eastAsia="zh-CN"/>
        </w:rPr>
        <w:t>1999</w:t>
      </w:r>
      <w:r>
        <w:rPr>
          <w:rFonts w:ascii="宋体" w:hAnsi="宋体" w:eastAsia="宋体"/>
          <w:color w:val="auto"/>
          <w:sz w:val="28"/>
          <w:szCs w:val="28"/>
        </w:rPr>
        <w:t>年</w:t>
      </w:r>
      <w:r>
        <w:rPr>
          <w:rFonts w:hint="eastAsia" w:ascii="宋体" w:hAnsi="宋体" w:eastAsia="宋体"/>
          <w:color w:val="auto"/>
          <w:sz w:val="28"/>
          <w:szCs w:val="28"/>
          <w:lang w:eastAsia="zh-CN"/>
        </w:rPr>
        <w:t>02</w:t>
      </w:r>
      <w:r>
        <w:rPr>
          <w:rFonts w:ascii="宋体" w:hAnsi="宋体" w:eastAsia="宋体"/>
          <w:color w:val="auto"/>
          <w:sz w:val="28"/>
          <w:szCs w:val="28"/>
        </w:rPr>
        <w:t>月</w:t>
      </w:r>
      <w:r>
        <w:rPr>
          <w:rFonts w:hint="eastAsia" w:ascii="宋体" w:hAnsi="宋体" w:eastAsia="宋体"/>
          <w:color w:val="auto"/>
          <w:sz w:val="28"/>
          <w:szCs w:val="28"/>
          <w:lang w:eastAsia="zh-CN"/>
        </w:rPr>
        <w:t>09</w:t>
      </w:r>
      <w:r>
        <w:rPr>
          <w:rFonts w:ascii="宋体" w:hAnsi="宋体" w:eastAsia="宋体"/>
          <w:color w:val="auto"/>
          <w:sz w:val="28"/>
          <w:szCs w:val="28"/>
        </w:rPr>
        <w:t>日在东莞市工商行政管理局注册成立，统一社会信用代码：91441900712256514Q；类型：有限责任公司(</w:t>
      </w:r>
      <w:r>
        <w:rPr>
          <w:rFonts w:hint="eastAsia" w:ascii="宋体" w:hAnsi="宋体" w:eastAsia="宋体"/>
          <w:color w:val="auto"/>
          <w:sz w:val="28"/>
          <w:szCs w:val="28"/>
          <w:lang w:eastAsia="zh-CN"/>
        </w:rPr>
        <w:t>自然人投资或控股</w:t>
      </w:r>
      <w:r>
        <w:rPr>
          <w:rFonts w:ascii="宋体" w:hAnsi="宋体" w:eastAsia="宋体"/>
          <w:color w:val="auto"/>
          <w:sz w:val="28"/>
          <w:szCs w:val="28"/>
        </w:rPr>
        <w:t>)；住所：东莞市道滘镇南丫村委会北丫村小组；法定代表人：</w:t>
      </w:r>
      <w:r>
        <w:rPr>
          <w:rFonts w:hint="eastAsia" w:ascii="宋体" w:hAnsi="宋体" w:eastAsia="宋体"/>
          <w:color w:val="auto"/>
          <w:sz w:val="28"/>
          <w:szCs w:val="28"/>
          <w:lang w:eastAsia="zh-CN"/>
        </w:rPr>
        <w:t>黄锦斌</w:t>
      </w:r>
      <w:r>
        <w:rPr>
          <w:rFonts w:ascii="宋体" w:hAnsi="宋体" w:eastAsia="宋体"/>
          <w:color w:val="auto"/>
          <w:sz w:val="28"/>
          <w:szCs w:val="28"/>
        </w:rPr>
        <w:t>；注册资本：人民币</w:t>
      </w:r>
      <w:r>
        <w:rPr>
          <w:rFonts w:hint="eastAsia" w:ascii="宋体" w:hAnsi="宋体" w:eastAsia="宋体"/>
          <w:color w:val="auto"/>
          <w:sz w:val="28"/>
          <w:szCs w:val="28"/>
          <w:lang w:eastAsia="zh-CN"/>
        </w:rPr>
        <w:t>捌拾</w:t>
      </w:r>
      <w:r>
        <w:rPr>
          <w:rFonts w:ascii="宋体" w:hAnsi="宋体" w:eastAsia="宋体"/>
          <w:color w:val="auto"/>
          <w:sz w:val="28"/>
          <w:szCs w:val="28"/>
        </w:rPr>
        <w:t>万元。企业于</w:t>
      </w:r>
      <w:r>
        <w:rPr>
          <w:rFonts w:hint="eastAsia" w:ascii="宋体" w:hAnsi="宋体" w:eastAsia="宋体"/>
          <w:color w:val="auto"/>
          <w:sz w:val="28"/>
          <w:szCs w:val="28"/>
          <w:lang w:eastAsia="zh-CN"/>
        </w:rPr>
        <w:t>2017</w:t>
      </w:r>
      <w:r>
        <w:rPr>
          <w:rFonts w:ascii="宋体" w:hAnsi="宋体" w:eastAsia="宋体"/>
          <w:color w:val="auto"/>
          <w:sz w:val="28"/>
          <w:szCs w:val="28"/>
        </w:rPr>
        <w:t>年</w:t>
      </w:r>
      <w:r>
        <w:rPr>
          <w:rFonts w:hint="eastAsia" w:ascii="宋体" w:hAnsi="宋体" w:eastAsia="宋体"/>
          <w:color w:val="auto"/>
          <w:sz w:val="28"/>
          <w:szCs w:val="28"/>
          <w:lang w:eastAsia="zh-CN"/>
        </w:rPr>
        <w:t>6</w:t>
      </w:r>
      <w:r>
        <w:rPr>
          <w:rFonts w:ascii="宋体" w:hAnsi="宋体" w:eastAsia="宋体"/>
          <w:color w:val="auto"/>
          <w:sz w:val="28"/>
          <w:szCs w:val="28"/>
        </w:rPr>
        <w:t>月</w:t>
      </w:r>
      <w:r>
        <w:rPr>
          <w:rFonts w:hint="eastAsia" w:ascii="宋体" w:hAnsi="宋体" w:eastAsia="宋体"/>
          <w:color w:val="auto"/>
          <w:sz w:val="28"/>
          <w:szCs w:val="28"/>
          <w:lang w:eastAsia="zh-CN"/>
        </w:rPr>
        <w:t>30</w:t>
      </w:r>
      <w:r>
        <w:rPr>
          <w:rFonts w:ascii="宋体" w:hAnsi="宋体" w:eastAsia="宋体"/>
          <w:color w:val="auto"/>
          <w:sz w:val="28"/>
          <w:szCs w:val="28"/>
        </w:rPr>
        <w:t>日取得了东莞市安全生产监督管理局核发的《安全生产许可证》，编号：(粤东)WH安许证字[201</w:t>
      </w:r>
      <w:r>
        <w:rPr>
          <w:rFonts w:hint="eastAsia" w:ascii="宋体" w:hAnsi="宋体" w:eastAsia="宋体"/>
          <w:color w:val="auto"/>
          <w:sz w:val="28"/>
          <w:szCs w:val="28"/>
          <w:lang w:eastAsia="zh-CN"/>
        </w:rPr>
        <w:t>7</w:t>
      </w:r>
      <w:r>
        <w:rPr>
          <w:rFonts w:ascii="宋体" w:hAnsi="宋体" w:eastAsia="宋体"/>
          <w:color w:val="auto"/>
          <w:sz w:val="28"/>
          <w:szCs w:val="28"/>
        </w:rPr>
        <w:t>]0000</w:t>
      </w:r>
      <w:r>
        <w:rPr>
          <w:rFonts w:hint="eastAsia" w:ascii="宋体" w:hAnsi="宋体" w:eastAsia="宋体"/>
          <w:color w:val="auto"/>
          <w:sz w:val="28"/>
          <w:szCs w:val="28"/>
          <w:lang w:eastAsia="zh-CN"/>
        </w:rPr>
        <w:t>11</w:t>
      </w:r>
      <w:r>
        <w:rPr>
          <w:rFonts w:ascii="宋体" w:hAnsi="宋体" w:eastAsia="宋体"/>
          <w:color w:val="auto"/>
          <w:sz w:val="28"/>
          <w:szCs w:val="28"/>
        </w:rPr>
        <w:t>，许可范围：含易燃溶剂的合成树脂、油漆、辅助材料、涂料等制品[闭杯闪点≤60℃](2828)，</w:t>
      </w:r>
      <w:r>
        <w:rPr>
          <w:rFonts w:hint="eastAsia" w:ascii="宋体" w:hAnsi="宋体" w:eastAsia="宋体"/>
          <w:color w:val="auto"/>
          <w:sz w:val="28"/>
          <w:szCs w:val="28"/>
          <w:lang w:eastAsia="zh-CN"/>
        </w:rPr>
        <w:t>硝基漆稀释剂300吨/年、硝基清漆300吨/年、聚酯树脂清漆600吨/年、聚氨酯漆稀释剂300吨/年***</w:t>
      </w:r>
      <w:r>
        <w:rPr>
          <w:rFonts w:ascii="宋体" w:hAnsi="宋体" w:eastAsia="宋体"/>
          <w:color w:val="auto"/>
          <w:sz w:val="28"/>
          <w:szCs w:val="28"/>
        </w:rPr>
        <w:t>，有效期至20</w:t>
      </w:r>
      <w:r>
        <w:rPr>
          <w:rFonts w:hint="eastAsia" w:ascii="宋体" w:hAnsi="宋体" w:eastAsia="宋体"/>
          <w:color w:val="auto"/>
          <w:sz w:val="28"/>
          <w:szCs w:val="28"/>
          <w:lang w:eastAsia="zh-CN"/>
        </w:rPr>
        <w:t>20</w:t>
      </w:r>
      <w:r>
        <w:rPr>
          <w:rFonts w:ascii="宋体" w:hAnsi="宋体" w:eastAsia="宋体"/>
          <w:color w:val="auto"/>
          <w:sz w:val="28"/>
          <w:szCs w:val="28"/>
        </w:rPr>
        <w:t>年</w:t>
      </w:r>
      <w:r>
        <w:rPr>
          <w:rFonts w:hint="eastAsia" w:ascii="宋体" w:hAnsi="宋体" w:eastAsia="宋体"/>
          <w:color w:val="auto"/>
          <w:sz w:val="28"/>
          <w:szCs w:val="28"/>
          <w:lang w:eastAsia="zh-CN"/>
        </w:rPr>
        <w:t>6</w:t>
      </w:r>
      <w:r>
        <w:rPr>
          <w:rFonts w:ascii="宋体" w:hAnsi="宋体" w:eastAsia="宋体"/>
          <w:color w:val="auto"/>
          <w:sz w:val="28"/>
          <w:szCs w:val="28"/>
        </w:rPr>
        <w:t>月</w:t>
      </w:r>
      <w:r>
        <w:rPr>
          <w:rFonts w:hint="eastAsia" w:ascii="宋体" w:hAnsi="宋体" w:eastAsia="宋体"/>
          <w:color w:val="auto"/>
          <w:sz w:val="28"/>
          <w:szCs w:val="28"/>
          <w:lang w:eastAsia="zh-CN"/>
        </w:rPr>
        <w:t>29</w:t>
      </w:r>
      <w:r>
        <w:rPr>
          <w:rFonts w:ascii="宋体" w:hAnsi="宋体" w:eastAsia="宋体"/>
          <w:color w:val="auto"/>
          <w:sz w:val="28"/>
          <w:szCs w:val="28"/>
        </w:rPr>
        <w:t>日。</w:t>
      </w:r>
    </w:p>
    <w:p>
      <w:pPr>
        <w:spacing w:line="560" w:lineRule="exact"/>
        <w:ind w:firstLine="560" w:firstLineChars="200"/>
        <w:jc w:val="both"/>
        <w:rPr>
          <w:rFonts w:ascii="宋体" w:hAnsi="宋体" w:eastAsia="宋体"/>
          <w:color w:val="auto"/>
          <w:sz w:val="28"/>
        </w:rPr>
      </w:pPr>
      <w:r>
        <w:rPr>
          <w:rFonts w:hint="eastAsia" w:ascii="宋体" w:hAnsi="宋体" w:eastAsia="宋体"/>
          <w:color w:val="auto"/>
          <w:sz w:val="28"/>
          <w:szCs w:val="28"/>
          <w:lang w:eastAsia="zh-CN"/>
        </w:rPr>
        <w:t>依据</w:t>
      </w:r>
      <w:r>
        <w:rPr>
          <w:rFonts w:ascii="宋体" w:hAnsi="宋体" w:eastAsia="宋体"/>
          <w:color w:val="auto"/>
          <w:sz w:val="28"/>
          <w:szCs w:val="28"/>
          <w:lang w:eastAsia="zh-CN"/>
        </w:rPr>
        <w:t>《危险化学品目录》(2015版)</w:t>
      </w:r>
      <w:r>
        <w:rPr>
          <w:rFonts w:hint="eastAsia" w:ascii="宋体" w:hAnsi="宋体" w:eastAsia="宋体"/>
          <w:color w:val="auto"/>
          <w:sz w:val="28"/>
          <w:szCs w:val="28"/>
          <w:lang w:eastAsia="zh-CN"/>
        </w:rPr>
        <w:t>，</w:t>
      </w:r>
      <w:r>
        <w:rPr>
          <w:rFonts w:hint="eastAsia" w:ascii="宋体" w:hAnsi="宋体" w:eastAsia="宋体"/>
          <w:color w:val="auto"/>
          <w:sz w:val="28"/>
        </w:rPr>
        <w:t>其生产产品聚酯树脂清漆、聚氨酯漆稀释剂、硝基清漆、硝基漆稀释剂分别为2828项含易燃溶剂的合成树脂、油漆、辅助材料、涂料等制品[闭杯闪点≤60℃]。</w:t>
      </w:r>
    </w:p>
    <w:p>
      <w:pPr>
        <w:spacing w:line="560" w:lineRule="exact"/>
        <w:ind w:firstLine="425" w:firstLineChars="152"/>
        <w:rPr>
          <w:rFonts w:ascii="宋体" w:hAnsi="宋体" w:eastAsia="宋体"/>
          <w:color w:val="auto"/>
          <w:sz w:val="28"/>
          <w:szCs w:val="28"/>
          <w:lang w:eastAsia="zh-CN"/>
        </w:rPr>
      </w:pPr>
      <w:r>
        <w:rPr>
          <w:rFonts w:ascii="宋体" w:hAnsi="宋体" w:eastAsia="宋体"/>
          <w:color w:val="auto"/>
          <w:sz w:val="28"/>
          <w:szCs w:val="28"/>
          <w:lang w:eastAsia="zh-CN"/>
        </w:rPr>
        <w:t>该公司自从取得危险化学安全生产许可证以来，按照国家相关法律法规及标准规范生产，从未发生过安全生产事故，危险化学品生产装置运行情况正常，生产过程中使用的原材料主要有易燃溶剂和相关</w:t>
      </w:r>
      <w:r>
        <w:rPr>
          <w:rFonts w:hint="eastAsia" w:ascii="宋体" w:hAnsi="宋体" w:eastAsia="宋体"/>
          <w:color w:val="auto"/>
          <w:sz w:val="28"/>
          <w:szCs w:val="28"/>
          <w:lang w:eastAsia="zh-CN"/>
        </w:rPr>
        <w:t>树脂</w:t>
      </w:r>
      <w:r>
        <w:rPr>
          <w:rFonts w:ascii="宋体" w:hAnsi="宋体" w:eastAsia="宋体"/>
          <w:color w:val="auto"/>
          <w:sz w:val="28"/>
          <w:szCs w:val="28"/>
          <w:lang w:eastAsia="zh-CN"/>
        </w:rPr>
        <w:t>等，生产过程中主要存在着火灾、爆炸</w:t>
      </w:r>
      <w:r>
        <w:rPr>
          <w:rFonts w:hint="eastAsia" w:ascii="宋体" w:hAnsi="宋体" w:eastAsia="宋体"/>
          <w:color w:val="auto"/>
          <w:sz w:val="28"/>
          <w:szCs w:val="28"/>
          <w:lang w:eastAsia="zh-CN"/>
        </w:rPr>
        <w:t>、</w:t>
      </w:r>
      <w:r>
        <w:rPr>
          <w:rFonts w:ascii="宋体" w:hAnsi="宋体" w:eastAsia="宋体"/>
          <w:color w:val="auto"/>
          <w:sz w:val="28"/>
          <w:szCs w:val="28"/>
          <w:lang w:eastAsia="zh-CN"/>
        </w:rPr>
        <w:t>中毒</w:t>
      </w:r>
      <w:r>
        <w:rPr>
          <w:rFonts w:hint="eastAsia" w:ascii="宋体" w:hAnsi="宋体" w:eastAsia="宋体"/>
          <w:color w:val="auto"/>
          <w:sz w:val="28"/>
          <w:szCs w:val="28"/>
          <w:lang w:eastAsia="zh-CN"/>
        </w:rPr>
        <w:t>和</w:t>
      </w:r>
      <w:r>
        <w:rPr>
          <w:rFonts w:ascii="宋体" w:hAnsi="宋体" w:eastAsia="宋体"/>
          <w:color w:val="auto"/>
          <w:sz w:val="28"/>
          <w:szCs w:val="28"/>
          <w:lang w:eastAsia="zh-CN"/>
        </w:rPr>
        <w:t>窒息等危险、有害因素。</w:t>
      </w:r>
    </w:p>
    <w:p>
      <w:pPr>
        <w:spacing w:line="560" w:lineRule="exact"/>
        <w:ind w:firstLine="425" w:firstLineChars="152"/>
        <w:rPr>
          <w:rFonts w:ascii="宋体" w:hAnsi="宋体" w:eastAsia="宋体"/>
          <w:color w:val="auto"/>
          <w:sz w:val="28"/>
          <w:szCs w:val="28"/>
          <w:lang w:eastAsia="zh-CN"/>
        </w:rPr>
      </w:pPr>
      <w:r>
        <w:rPr>
          <w:rFonts w:ascii="宋体" w:hAnsi="宋体" w:eastAsia="宋体"/>
          <w:color w:val="auto"/>
          <w:sz w:val="28"/>
          <w:szCs w:val="28"/>
          <w:lang w:eastAsia="zh-CN"/>
        </w:rPr>
        <w:t>按照《危险化学品安全管理条例》第六十七条规定，危险化学品生产企业应当办理危险化学品登记。东莞市华龙实业有限公司已经向广东省危险化学品登记注册办公室申请了登记，并由国家安全生产监督管理总局化学品登记中心审核通过，颁发了危险化学品登记证。</w:t>
      </w:r>
    </w:p>
    <w:p>
      <w:pPr>
        <w:spacing w:line="560" w:lineRule="exact"/>
        <w:ind w:firstLine="425" w:firstLineChars="152"/>
        <w:rPr>
          <w:rFonts w:ascii="宋体" w:hAnsi="宋体" w:eastAsia="宋体"/>
          <w:color w:val="auto"/>
          <w:sz w:val="28"/>
          <w:szCs w:val="28"/>
          <w:lang w:eastAsia="zh-CN"/>
        </w:rPr>
      </w:pPr>
      <w:r>
        <w:rPr>
          <w:rFonts w:ascii="宋体" w:hAnsi="宋体" w:eastAsia="宋体"/>
          <w:color w:val="auto"/>
          <w:sz w:val="28"/>
          <w:szCs w:val="28"/>
          <w:lang w:eastAsia="zh-CN"/>
        </w:rPr>
        <w:t>公司现有职工</w:t>
      </w:r>
      <w:r>
        <w:rPr>
          <w:rFonts w:hint="eastAsia" w:ascii="宋体" w:hAnsi="宋体" w:eastAsia="宋体"/>
          <w:color w:val="auto"/>
          <w:sz w:val="28"/>
          <w:szCs w:val="28"/>
          <w:lang w:eastAsia="zh-CN"/>
        </w:rPr>
        <w:t>10</w:t>
      </w:r>
      <w:r>
        <w:rPr>
          <w:rFonts w:ascii="宋体" w:hAnsi="宋体" w:eastAsia="宋体"/>
          <w:color w:val="auto"/>
          <w:sz w:val="28"/>
          <w:szCs w:val="28"/>
          <w:lang w:eastAsia="zh-CN"/>
        </w:rPr>
        <w:t>人，其中技术管理人员</w:t>
      </w:r>
      <w:r>
        <w:rPr>
          <w:rFonts w:hint="eastAsia" w:ascii="宋体" w:hAnsi="宋体" w:eastAsia="宋体"/>
          <w:color w:val="auto"/>
          <w:sz w:val="28"/>
          <w:szCs w:val="28"/>
          <w:lang w:eastAsia="zh-CN"/>
        </w:rPr>
        <w:t>3</w:t>
      </w:r>
      <w:r>
        <w:rPr>
          <w:rFonts w:ascii="宋体" w:hAnsi="宋体" w:eastAsia="宋体"/>
          <w:color w:val="auto"/>
          <w:sz w:val="28"/>
          <w:szCs w:val="28"/>
          <w:lang w:eastAsia="zh-CN"/>
        </w:rPr>
        <w:t>人，专职安全管理人员</w:t>
      </w:r>
      <w:r>
        <w:rPr>
          <w:rFonts w:hint="eastAsia" w:ascii="宋体" w:hAnsi="宋体" w:eastAsia="宋体"/>
          <w:color w:val="auto"/>
          <w:sz w:val="28"/>
          <w:szCs w:val="28"/>
          <w:lang w:eastAsia="zh-CN"/>
        </w:rPr>
        <w:t>1</w:t>
      </w:r>
      <w:r>
        <w:rPr>
          <w:rFonts w:ascii="宋体" w:hAnsi="宋体" w:eastAsia="宋体"/>
          <w:color w:val="auto"/>
          <w:sz w:val="28"/>
          <w:szCs w:val="28"/>
          <w:lang w:eastAsia="zh-CN"/>
        </w:rPr>
        <w:t>人。企业基本情况如下表所示。</w:t>
      </w:r>
    </w:p>
    <w:p>
      <w:pPr>
        <w:spacing w:line="560" w:lineRule="exact"/>
        <w:jc w:val="center"/>
        <w:rPr>
          <w:rFonts w:ascii="宋体" w:hAnsi="宋体" w:eastAsia="宋体"/>
          <w:b/>
          <w:color w:val="auto"/>
        </w:rPr>
      </w:pPr>
      <w:r>
        <w:rPr>
          <w:rFonts w:ascii="宋体" w:hAnsi="宋体" w:eastAsia="宋体"/>
          <w:b/>
          <w:color w:val="auto"/>
        </w:rPr>
        <w:t>表2-1企业基本情况表</w:t>
      </w:r>
    </w:p>
    <w:tbl>
      <w:tblPr>
        <w:tblStyle w:val="45"/>
        <w:tblW w:w="5000" w:type="pct"/>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 w:type="dxa"/>
          <w:bottom w:w="0" w:type="dxa"/>
          <w:right w:w="10" w:type="dxa"/>
        </w:tblCellMar>
      </w:tblPr>
      <w:tblGrid>
        <w:gridCol w:w="1658"/>
        <w:gridCol w:w="684"/>
        <w:gridCol w:w="828"/>
        <w:gridCol w:w="1516"/>
        <w:gridCol w:w="1279"/>
        <w:gridCol w:w="225"/>
        <w:gridCol w:w="199"/>
        <w:gridCol w:w="553"/>
        <w:gridCol w:w="746"/>
        <w:gridCol w:w="6"/>
        <w:gridCol w:w="1504"/>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1658" w:type="dxa"/>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企业名称</w:t>
            </w:r>
          </w:p>
        </w:tc>
        <w:tc>
          <w:tcPr>
            <w:tcW w:w="7540" w:type="dxa"/>
            <w:gridSpan w:val="10"/>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东莞市华龙实业有限公司</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1658" w:type="dxa"/>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注册地址</w:t>
            </w:r>
          </w:p>
        </w:tc>
        <w:tc>
          <w:tcPr>
            <w:tcW w:w="7540" w:type="dxa"/>
            <w:gridSpan w:val="10"/>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东莞市道滘镇南丫村委会北丫村小组</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1658" w:type="dxa"/>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联系电话</w:t>
            </w:r>
          </w:p>
        </w:tc>
        <w:tc>
          <w:tcPr>
            <w:tcW w:w="1512" w:type="dxa"/>
            <w:gridSpan w:val="2"/>
            <w:shd w:val="clear" w:color="auto" w:fill="FFFFFF"/>
            <w:vAlign w:val="center"/>
          </w:tcPr>
          <w:p>
            <w:pPr>
              <w:spacing w:line="360" w:lineRule="exact"/>
              <w:jc w:val="center"/>
              <w:rPr>
                <w:rFonts w:ascii="宋体" w:hAnsi="宋体" w:eastAsia="宋体"/>
                <w:color w:val="auto"/>
                <w:sz w:val="21"/>
                <w:szCs w:val="21"/>
              </w:rPr>
            </w:pPr>
            <w:r>
              <w:rPr>
                <w:rFonts w:hint="eastAsia" w:ascii="宋体" w:hAnsi="宋体" w:eastAsia="宋体" w:cs="Times New Roman"/>
                <w:color w:val="auto"/>
                <w:sz w:val="21"/>
                <w:szCs w:val="21"/>
                <w:lang w:val="en-US" w:eastAsia="zh-CN" w:bidi="ar-SA"/>
              </w:rPr>
              <w:t>13532884615</w:t>
            </w:r>
          </w:p>
        </w:tc>
        <w:tc>
          <w:tcPr>
            <w:tcW w:w="1516" w:type="dxa"/>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传真</w:t>
            </w:r>
          </w:p>
        </w:tc>
        <w:tc>
          <w:tcPr>
            <w:tcW w:w="1504" w:type="dxa"/>
            <w:gridSpan w:val="2"/>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w:t>
            </w:r>
          </w:p>
        </w:tc>
        <w:tc>
          <w:tcPr>
            <w:tcW w:w="1504" w:type="dxa"/>
            <w:gridSpan w:val="4"/>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邮政编码</w:t>
            </w:r>
          </w:p>
        </w:tc>
        <w:tc>
          <w:tcPr>
            <w:tcW w:w="1504" w:type="dxa"/>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523000</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1658" w:type="dxa"/>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企业网址</w:t>
            </w:r>
          </w:p>
        </w:tc>
        <w:tc>
          <w:tcPr>
            <w:tcW w:w="7540" w:type="dxa"/>
            <w:gridSpan w:val="10"/>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1658" w:type="dxa"/>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电子信箱</w:t>
            </w:r>
          </w:p>
        </w:tc>
        <w:tc>
          <w:tcPr>
            <w:tcW w:w="7540" w:type="dxa"/>
            <w:gridSpan w:val="10"/>
            <w:shd w:val="clear" w:color="auto" w:fill="FFFFFF"/>
            <w:vAlign w:val="center"/>
          </w:tcPr>
          <w:p>
            <w:pPr>
              <w:spacing w:line="360" w:lineRule="exact"/>
              <w:jc w:val="center"/>
              <w:rPr>
                <w:rFonts w:ascii="宋体" w:hAnsi="宋体" w:eastAsia="宋体"/>
                <w:color w:val="auto"/>
                <w:sz w:val="21"/>
                <w:szCs w:val="21"/>
              </w:rPr>
            </w:pPr>
            <w:r>
              <w:rPr>
                <w:color w:val="auto"/>
              </w:rPr>
              <w:fldChar w:fldCharType="begin"/>
            </w:r>
            <w:r>
              <w:rPr>
                <w:color w:val="auto"/>
              </w:rPr>
              <w:instrText xml:space="preserve"> HYPERLINK "mailto:xz01@btl.hk" </w:instrText>
            </w:r>
            <w:r>
              <w:rPr>
                <w:color w:val="auto"/>
              </w:rPr>
              <w:fldChar w:fldCharType="separate"/>
            </w:r>
            <w:r>
              <w:rPr>
                <w:rStyle w:val="52"/>
                <w:rFonts w:hint="eastAsia" w:ascii="宋体" w:hAnsi="宋体" w:eastAsia="宋体"/>
                <w:color w:val="auto"/>
                <w:sz w:val="21"/>
                <w:szCs w:val="21"/>
                <w:lang w:eastAsia="zh-CN"/>
              </w:rPr>
              <w:t>-</w:t>
            </w:r>
            <w:r>
              <w:rPr>
                <w:rStyle w:val="52"/>
                <w:rFonts w:hint="eastAsia" w:ascii="宋体" w:hAnsi="宋体" w:eastAsia="宋体"/>
                <w:color w:val="auto"/>
                <w:sz w:val="21"/>
                <w:szCs w:val="21"/>
                <w:lang w:eastAsia="zh-CN"/>
              </w:rPr>
              <w:fldChar w:fldCharType="end"/>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1658" w:type="dxa"/>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企业类型</w:t>
            </w:r>
          </w:p>
        </w:tc>
        <w:tc>
          <w:tcPr>
            <w:tcW w:w="7540" w:type="dxa"/>
            <w:gridSpan w:val="10"/>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有限责任公司(</w:t>
            </w:r>
            <w:r>
              <w:rPr>
                <w:rFonts w:hint="eastAsia" w:ascii="宋体" w:hAnsi="宋体" w:eastAsia="宋体"/>
                <w:color w:val="auto"/>
                <w:sz w:val="21"/>
                <w:szCs w:val="21"/>
                <w:lang w:eastAsia="zh-CN"/>
              </w:rPr>
              <w:t>自然人投资或控股</w:t>
            </w:r>
            <w:r>
              <w:rPr>
                <w:rFonts w:ascii="宋体" w:hAnsi="宋体" w:eastAsia="宋体"/>
                <w:color w:val="auto"/>
                <w:sz w:val="21"/>
                <w:szCs w:val="21"/>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1658" w:type="dxa"/>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经济性质</w:t>
            </w:r>
          </w:p>
        </w:tc>
        <w:tc>
          <w:tcPr>
            <w:tcW w:w="7540" w:type="dxa"/>
            <w:gridSpan w:val="10"/>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全民所有制()集体所有制()私有制(</w:t>
            </w:r>
            <w:r>
              <w:rPr>
                <w:rFonts w:ascii="Segoe UI Symbol" w:hAnsi="Segoe UI Symbol" w:eastAsia="宋体" w:cs="Segoe UI Symbol"/>
                <w:color w:val="auto"/>
                <w:sz w:val="21"/>
                <w:szCs w:val="21"/>
              </w:rPr>
              <w:t>☑</w:t>
            </w:r>
            <w:r>
              <w:rPr>
                <w:rFonts w:ascii="宋体" w:hAnsi="宋体" w:eastAsia="宋体"/>
                <w:color w:val="auto"/>
                <w:sz w:val="21"/>
                <w:szCs w:val="21"/>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1658" w:type="dxa"/>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登记机关</w:t>
            </w:r>
          </w:p>
        </w:tc>
        <w:tc>
          <w:tcPr>
            <w:tcW w:w="7540" w:type="dxa"/>
            <w:gridSpan w:val="10"/>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东莞市工商行政管理局</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2342" w:type="dxa"/>
            <w:gridSpan w:val="2"/>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法定代表人</w:t>
            </w:r>
          </w:p>
        </w:tc>
        <w:tc>
          <w:tcPr>
            <w:tcW w:w="2344" w:type="dxa"/>
            <w:gridSpan w:val="2"/>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黄锦斌</w:t>
            </w:r>
          </w:p>
        </w:tc>
        <w:tc>
          <w:tcPr>
            <w:tcW w:w="2256" w:type="dxa"/>
            <w:gridSpan w:val="4"/>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主要负责人</w:t>
            </w:r>
          </w:p>
        </w:tc>
        <w:tc>
          <w:tcPr>
            <w:tcW w:w="2256" w:type="dxa"/>
            <w:gridSpan w:val="3"/>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覃国振</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1658" w:type="dxa"/>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职工人数</w:t>
            </w:r>
          </w:p>
        </w:tc>
        <w:tc>
          <w:tcPr>
            <w:tcW w:w="1512" w:type="dxa"/>
            <w:gridSpan w:val="2"/>
            <w:shd w:val="clear" w:color="auto" w:fill="FFFFFF"/>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lang w:eastAsia="zh-CN"/>
              </w:rPr>
              <w:t>10</w:t>
            </w:r>
            <w:r>
              <w:rPr>
                <w:rFonts w:ascii="宋体" w:hAnsi="宋体" w:eastAsia="宋体"/>
                <w:color w:val="auto"/>
                <w:sz w:val="21"/>
                <w:szCs w:val="21"/>
              </w:rPr>
              <w:t>人</w:t>
            </w:r>
          </w:p>
        </w:tc>
        <w:tc>
          <w:tcPr>
            <w:tcW w:w="1516" w:type="dxa"/>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技术管理人数</w:t>
            </w:r>
          </w:p>
        </w:tc>
        <w:tc>
          <w:tcPr>
            <w:tcW w:w="1279" w:type="dxa"/>
            <w:shd w:val="clear" w:color="auto" w:fill="FFFFFF"/>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lang w:eastAsia="zh-CN"/>
              </w:rPr>
              <w:t>3</w:t>
            </w:r>
            <w:r>
              <w:rPr>
                <w:rFonts w:ascii="宋体" w:hAnsi="宋体" w:eastAsia="宋体"/>
                <w:color w:val="auto"/>
                <w:sz w:val="21"/>
                <w:szCs w:val="21"/>
              </w:rPr>
              <w:t>人</w:t>
            </w:r>
          </w:p>
        </w:tc>
        <w:tc>
          <w:tcPr>
            <w:tcW w:w="1723" w:type="dxa"/>
            <w:gridSpan w:val="4"/>
            <w:shd w:val="clear" w:color="auto" w:fill="FFFFFF"/>
            <w:vAlign w:val="center"/>
          </w:tcPr>
          <w:p>
            <w:pPr>
              <w:spacing w:line="360" w:lineRule="exact"/>
              <w:jc w:val="center"/>
              <w:rPr>
                <w:rFonts w:ascii="宋体" w:hAnsi="宋体" w:eastAsia="宋体"/>
                <w:color w:val="auto"/>
                <w:spacing w:val="-20"/>
                <w:sz w:val="21"/>
                <w:szCs w:val="21"/>
              </w:rPr>
            </w:pPr>
            <w:r>
              <w:rPr>
                <w:rFonts w:ascii="宋体" w:hAnsi="宋体" w:eastAsia="宋体"/>
                <w:color w:val="auto"/>
                <w:spacing w:val="-20"/>
                <w:sz w:val="21"/>
                <w:szCs w:val="21"/>
              </w:rPr>
              <w:t>专职安全管理人数</w:t>
            </w:r>
          </w:p>
        </w:tc>
        <w:tc>
          <w:tcPr>
            <w:tcW w:w="1510" w:type="dxa"/>
            <w:gridSpan w:val="2"/>
            <w:shd w:val="clear" w:color="auto" w:fill="FFFFFF"/>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lang w:eastAsia="zh-CN"/>
              </w:rPr>
              <w:t>1</w:t>
            </w:r>
            <w:r>
              <w:rPr>
                <w:rFonts w:ascii="宋体" w:hAnsi="宋体" w:eastAsia="宋体"/>
                <w:color w:val="auto"/>
                <w:sz w:val="21"/>
                <w:szCs w:val="21"/>
              </w:rPr>
              <w:t>人</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1658" w:type="dxa"/>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注册资本</w:t>
            </w:r>
          </w:p>
        </w:tc>
        <w:tc>
          <w:tcPr>
            <w:tcW w:w="3028" w:type="dxa"/>
            <w:gridSpan w:val="3"/>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80万元人民币</w:t>
            </w:r>
          </w:p>
        </w:tc>
        <w:tc>
          <w:tcPr>
            <w:tcW w:w="1703" w:type="dxa"/>
            <w:gridSpan w:val="3"/>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上年销售额</w:t>
            </w:r>
          </w:p>
        </w:tc>
        <w:tc>
          <w:tcPr>
            <w:tcW w:w="2809" w:type="dxa"/>
            <w:gridSpan w:val="4"/>
            <w:shd w:val="clear" w:color="auto" w:fill="FFFFFF"/>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lang w:eastAsia="zh-CN"/>
              </w:rPr>
              <w:t>250万</w:t>
            </w:r>
            <w:r>
              <w:rPr>
                <w:rFonts w:ascii="宋体" w:hAnsi="宋体" w:eastAsia="宋体"/>
                <w:color w:val="auto"/>
                <w:sz w:val="21"/>
                <w:szCs w:val="21"/>
              </w:rPr>
              <w:t>元</w:t>
            </w:r>
          </w:p>
        </w:tc>
      </w:tr>
    </w:tbl>
    <w:p>
      <w:pPr>
        <w:spacing w:line="560" w:lineRule="exact"/>
        <w:jc w:val="both"/>
        <w:outlineLvl w:val="2"/>
        <w:rPr>
          <w:rFonts w:ascii="宋体" w:hAnsi="宋体" w:eastAsia="宋体" w:cs="Times New Roman"/>
          <w:bCs/>
          <w:color w:val="auto"/>
          <w:kern w:val="2"/>
          <w:sz w:val="28"/>
          <w:szCs w:val="28"/>
          <w:lang w:val="en-US" w:eastAsia="zh-CN" w:bidi="ar-SA"/>
        </w:rPr>
      </w:pPr>
      <w:r>
        <w:rPr>
          <w:rFonts w:ascii="宋体" w:hAnsi="宋体" w:eastAsia="宋体" w:cs="Times New Roman"/>
          <w:bCs/>
          <w:color w:val="auto"/>
          <w:kern w:val="2"/>
          <w:sz w:val="28"/>
          <w:szCs w:val="28"/>
          <w:lang w:val="en-US" w:eastAsia="zh-CN" w:bidi="ar-SA"/>
        </w:rPr>
        <w:t>2.1.2自然条件</w:t>
      </w:r>
    </w:p>
    <w:p>
      <w:pPr>
        <w:spacing w:line="560" w:lineRule="exact"/>
        <w:ind w:firstLine="425" w:firstLineChars="152"/>
        <w:rPr>
          <w:rFonts w:ascii="宋体" w:hAnsi="宋体" w:eastAsia="宋体"/>
          <w:color w:val="auto"/>
          <w:sz w:val="28"/>
          <w:szCs w:val="28"/>
          <w:lang w:eastAsia="zh-CN"/>
        </w:rPr>
      </w:pPr>
      <w:r>
        <w:rPr>
          <w:rFonts w:hint="eastAsia" w:ascii="宋体" w:hAnsi="宋体" w:eastAsia="宋体"/>
          <w:color w:val="auto"/>
          <w:sz w:val="28"/>
          <w:szCs w:val="28"/>
          <w:lang w:eastAsia="zh-CN"/>
        </w:rPr>
        <w:t>1)</w:t>
      </w:r>
      <w:r>
        <w:rPr>
          <w:rFonts w:ascii="宋体" w:hAnsi="宋体" w:eastAsia="宋体"/>
          <w:color w:val="auto"/>
          <w:sz w:val="28"/>
          <w:szCs w:val="28"/>
          <w:lang w:eastAsia="zh-CN"/>
        </w:rPr>
        <w:t>气温</w:t>
      </w:r>
    </w:p>
    <w:p>
      <w:pPr>
        <w:spacing w:line="560" w:lineRule="exact"/>
        <w:ind w:firstLine="425" w:firstLineChars="152"/>
        <w:jc w:val="both"/>
        <w:rPr>
          <w:rFonts w:ascii="宋体" w:hAnsi="宋体" w:eastAsia="宋体"/>
          <w:color w:val="auto"/>
          <w:sz w:val="28"/>
          <w:szCs w:val="28"/>
          <w:lang w:eastAsia="zh-CN"/>
        </w:rPr>
      </w:pPr>
      <w:r>
        <w:rPr>
          <w:rFonts w:ascii="宋体" w:hAnsi="宋体" w:eastAsia="宋体"/>
          <w:color w:val="auto"/>
          <w:sz w:val="28"/>
          <w:szCs w:val="28"/>
          <w:lang w:eastAsia="zh-CN"/>
        </w:rPr>
        <w:t>该公司</w:t>
      </w:r>
      <w:r>
        <w:rPr>
          <w:rFonts w:hint="eastAsia" w:ascii="宋体" w:hAnsi="宋体" w:eastAsia="宋体"/>
          <w:color w:val="auto"/>
          <w:sz w:val="28"/>
          <w:szCs w:val="28"/>
          <w:lang w:eastAsia="zh-CN"/>
        </w:rPr>
        <w:t>位于</w:t>
      </w:r>
      <w:r>
        <w:rPr>
          <w:rFonts w:ascii="宋体" w:hAnsi="宋体" w:eastAsia="宋体"/>
          <w:color w:val="auto"/>
          <w:sz w:val="28"/>
          <w:szCs w:val="28"/>
          <w:lang w:eastAsia="zh-CN"/>
        </w:rPr>
        <w:t>东莞市道滘镇南丫村委会北丫村小组历年最高气温为37.8℃，最低气温为3.1℃，1996</w:t>
      </w:r>
      <w:r>
        <w:rPr>
          <w:rFonts w:hint="eastAsia" w:ascii="微软雅黑" w:hAnsi="微软雅黑" w:eastAsia="微软雅黑" w:cs="微软雅黑"/>
          <w:color w:val="auto"/>
          <w:sz w:val="28"/>
          <w:szCs w:val="28"/>
          <w:lang w:eastAsia="zh-CN"/>
        </w:rPr>
        <w:t>～</w:t>
      </w:r>
      <w:r>
        <w:rPr>
          <w:rFonts w:ascii="宋体" w:hAnsi="宋体" w:eastAsia="宋体"/>
          <w:color w:val="auto"/>
          <w:sz w:val="28"/>
          <w:szCs w:val="28"/>
          <w:lang w:eastAsia="zh-CN"/>
        </w:rPr>
        <w:t>2000年，年平均气温23.1℃。最暖为1998年，年平均气温为23.6℃，最冷为1996年，年平均气温为22.7C。年平均日照1873.7h,其中2000年日照时数最多，达2059.5h,最少为1997年，仅有1558.1h。</w:t>
      </w:r>
    </w:p>
    <w:p>
      <w:pPr>
        <w:spacing w:line="560" w:lineRule="exact"/>
        <w:ind w:firstLine="425" w:firstLineChars="152"/>
        <w:rPr>
          <w:rFonts w:ascii="宋体" w:hAnsi="宋体" w:eastAsia="宋体"/>
          <w:color w:val="auto"/>
          <w:sz w:val="28"/>
          <w:szCs w:val="28"/>
          <w:lang w:eastAsia="zh-CN"/>
        </w:rPr>
      </w:pPr>
      <w:r>
        <w:rPr>
          <w:rFonts w:hint="eastAsia" w:ascii="宋体" w:hAnsi="宋体" w:eastAsia="宋体"/>
          <w:color w:val="auto"/>
          <w:sz w:val="28"/>
          <w:szCs w:val="28"/>
          <w:lang w:eastAsia="zh-CN"/>
        </w:rPr>
        <w:t>2)</w:t>
      </w:r>
      <w:r>
        <w:rPr>
          <w:rFonts w:ascii="宋体" w:hAnsi="宋体" w:eastAsia="宋体"/>
          <w:color w:val="auto"/>
          <w:sz w:val="28"/>
          <w:szCs w:val="28"/>
          <w:lang w:eastAsia="zh-CN"/>
        </w:rPr>
        <w:t>风</w:t>
      </w:r>
    </w:p>
    <w:p>
      <w:pPr>
        <w:spacing w:line="560" w:lineRule="exact"/>
        <w:ind w:firstLine="425" w:firstLineChars="152"/>
        <w:rPr>
          <w:rFonts w:ascii="宋体" w:hAnsi="宋体" w:eastAsia="宋体"/>
          <w:color w:val="auto"/>
          <w:sz w:val="28"/>
          <w:szCs w:val="28"/>
          <w:lang w:eastAsia="zh-CN"/>
        </w:rPr>
      </w:pPr>
      <w:r>
        <w:rPr>
          <w:rFonts w:ascii="宋体" w:hAnsi="宋体" w:eastAsia="宋体"/>
          <w:color w:val="auto"/>
          <w:sz w:val="28"/>
          <w:szCs w:val="28"/>
          <w:lang w:eastAsia="zh-CN"/>
        </w:rPr>
        <w:t>年主导风向为北风，夏季主导风向为东南风，冬季主导风向为北风，年平均风速为2.0m/s。</w:t>
      </w:r>
    </w:p>
    <w:p>
      <w:pPr>
        <w:spacing w:line="560" w:lineRule="exact"/>
        <w:ind w:firstLine="425" w:firstLineChars="152"/>
        <w:rPr>
          <w:rFonts w:ascii="宋体" w:hAnsi="宋体" w:eastAsia="宋体"/>
          <w:color w:val="auto"/>
          <w:sz w:val="28"/>
          <w:szCs w:val="28"/>
          <w:lang w:eastAsia="zh-CN"/>
        </w:rPr>
      </w:pPr>
      <w:r>
        <w:rPr>
          <w:rFonts w:hint="eastAsia" w:ascii="宋体" w:hAnsi="宋体" w:eastAsia="宋体"/>
          <w:color w:val="auto"/>
          <w:sz w:val="28"/>
          <w:szCs w:val="28"/>
          <w:lang w:eastAsia="zh-CN"/>
        </w:rPr>
        <w:t>3)</w:t>
      </w:r>
      <w:r>
        <w:rPr>
          <w:rFonts w:ascii="宋体" w:hAnsi="宋体" w:eastAsia="宋体"/>
          <w:color w:val="auto"/>
          <w:sz w:val="28"/>
          <w:szCs w:val="28"/>
          <w:lang w:eastAsia="zh-CN"/>
        </w:rPr>
        <w:t>降水量</w:t>
      </w:r>
    </w:p>
    <w:p>
      <w:pPr>
        <w:spacing w:line="560" w:lineRule="exact"/>
        <w:ind w:firstLine="425" w:firstLineChars="152"/>
        <w:rPr>
          <w:rFonts w:ascii="宋体" w:hAnsi="宋体" w:eastAsia="宋体"/>
          <w:color w:val="auto"/>
          <w:sz w:val="28"/>
          <w:szCs w:val="28"/>
          <w:lang w:eastAsia="zh-CN"/>
        </w:rPr>
      </w:pPr>
      <w:r>
        <w:rPr>
          <w:rFonts w:ascii="宋体" w:hAnsi="宋体" w:eastAsia="宋体"/>
          <w:color w:val="auto"/>
          <w:sz w:val="28"/>
          <w:szCs w:val="28"/>
          <w:lang w:eastAsia="zh-CN"/>
        </w:rPr>
        <w:t>1996</w:t>
      </w:r>
      <w:r>
        <w:rPr>
          <w:rFonts w:hint="eastAsia" w:ascii="微软雅黑" w:hAnsi="微软雅黑" w:eastAsia="微软雅黑" w:cs="微软雅黑"/>
          <w:color w:val="auto"/>
          <w:sz w:val="28"/>
          <w:szCs w:val="28"/>
          <w:lang w:eastAsia="zh-CN"/>
        </w:rPr>
        <w:t>～</w:t>
      </w:r>
      <w:r>
        <w:rPr>
          <w:rFonts w:ascii="宋体" w:hAnsi="宋体" w:eastAsia="宋体"/>
          <w:color w:val="auto"/>
          <w:sz w:val="28"/>
          <w:szCs w:val="28"/>
          <w:lang w:eastAsia="zh-CN"/>
        </w:rPr>
        <w:t>2000年，年平均降水量1819.9mm，最为为1997年，年降水量2074.0mm，最少为1996年，年降水量1547.4mm，常年降雨量为1500</w:t>
      </w:r>
      <w:r>
        <w:rPr>
          <w:rFonts w:hint="eastAsia" w:ascii="微软雅黑" w:hAnsi="微软雅黑" w:eastAsia="微软雅黑" w:cs="微软雅黑"/>
          <w:color w:val="auto"/>
          <w:sz w:val="28"/>
          <w:szCs w:val="28"/>
          <w:lang w:eastAsia="zh-CN"/>
        </w:rPr>
        <w:t>～</w:t>
      </w:r>
      <w:r>
        <w:rPr>
          <w:rFonts w:ascii="宋体" w:hAnsi="宋体" w:eastAsia="宋体"/>
          <w:color w:val="auto"/>
          <w:sz w:val="28"/>
          <w:szCs w:val="28"/>
          <w:lang w:eastAsia="zh-CN"/>
        </w:rPr>
        <w:t>2000mm。</w:t>
      </w:r>
    </w:p>
    <w:p>
      <w:pPr>
        <w:spacing w:line="560" w:lineRule="exact"/>
        <w:ind w:firstLine="425" w:firstLineChars="152"/>
        <w:rPr>
          <w:rFonts w:ascii="宋体" w:hAnsi="宋体" w:eastAsia="宋体"/>
          <w:color w:val="auto"/>
          <w:sz w:val="28"/>
          <w:szCs w:val="28"/>
        </w:rPr>
      </w:pPr>
      <w:r>
        <w:rPr>
          <w:rFonts w:hint="eastAsia" w:ascii="宋体" w:hAnsi="宋体" w:eastAsia="宋体"/>
          <w:color w:val="auto"/>
          <w:sz w:val="28"/>
          <w:szCs w:val="28"/>
        </w:rPr>
        <w:t>4)</w:t>
      </w:r>
      <w:r>
        <w:rPr>
          <w:rFonts w:ascii="宋体" w:hAnsi="宋体" w:eastAsia="宋体"/>
          <w:color w:val="auto"/>
          <w:sz w:val="28"/>
          <w:szCs w:val="28"/>
        </w:rPr>
        <w:t>雷暴</w:t>
      </w:r>
    </w:p>
    <w:p>
      <w:pPr>
        <w:spacing w:line="560" w:lineRule="exact"/>
        <w:ind w:firstLine="425" w:firstLineChars="152"/>
        <w:rPr>
          <w:rFonts w:ascii="宋体" w:hAnsi="宋体" w:eastAsia="宋体"/>
          <w:color w:val="auto"/>
          <w:sz w:val="28"/>
          <w:szCs w:val="28"/>
        </w:rPr>
      </w:pPr>
      <w:r>
        <w:rPr>
          <w:rFonts w:ascii="宋体" w:hAnsi="宋体" w:eastAsia="宋体"/>
          <w:color w:val="auto"/>
          <w:sz w:val="28"/>
          <w:szCs w:val="28"/>
        </w:rPr>
        <w:t>年平均雷暴日81.3日。</w:t>
      </w:r>
    </w:p>
    <w:p>
      <w:pPr>
        <w:spacing w:line="560" w:lineRule="exact"/>
        <w:ind w:firstLine="425" w:firstLineChars="152"/>
        <w:rPr>
          <w:rFonts w:ascii="宋体" w:hAnsi="宋体" w:eastAsia="宋体"/>
          <w:color w:val="auto"/>
          <w:sz w:val="28"/>
          <w:szCs w:val="28"/>
        </w:rPr>
      </w:pPr>
      <w:r>
        <w:rPr>
          <w:rFonts w:hint="eastAsia" w:ascii="宋体" w:hAnsi="宋体" w:eastAsia="宋体"/>
          <w:color w:val="auto"/>
          <w:sz w:val="28"/>
          <w:szCs w:val="28"/>
        </w:rPr>
        <w:t>5)</w:t>
      </w:r>
      <w:r>
        <w:rPr>
          <w:rFonts w:ascii="宋体" w:hAnsi="宋体" w:eastAsia="宋体"/>
          <w:color w:val="auto"/>
          <w:sz w:val="28"/>
          <w:szCs w:val="28"/>
        </w:rPr>
        <w:t>地震</w:t>
      </w:r>
    </w:p>
    <w:p>
      <w:pPr>
        <w:spacing w:line="560" w:lineRule="exact"/>
        <w:ind w:firstLine="425" w:firstLineChars="152"/>
        <w:rPr>
          <w:rFonts w:ascii="宋体" w:hAnsi="宋体" w:eastAsia="宋体"/>
          <w:color w:val="auto"/>
          <w:sz w:val="28"/>
          <w:szCs w:val="28"/>
          <w:lang w:eastAsia="zh-CN"/>
        </w:rPr>
      </w:pPr>
      <w:r>
        <w:rPr>
          <w:rFonts w:hint="eastAsia" w:ascii="宋体" w:hAnsi="宋体" w:eastAsia="宋体"/>
          <w:color w:val="auto"/>
          <w:sz w:val="28"/>
          <w:szCs w:val="28"/>
          <w:lang w:eastAsia="zh-CN"/>
        </w:rPr>
        <w:t>根据《建筑抗震设计规范》（GB50011-2010）查询结果，广东省东莞市抗震设防烈度为6度，设计基本地震加速度值为0.05g。</w:t>
      </w:r>
    </w:p>
    <w:p>
      <w:pPr>
        <w:spacing w:line="560" w:lineRule="exact"/>
        <w:jc w:val="both"/>
        <w:outlineLvl w:val="2"/>
        <w:rPr>
          <w:rFonts w:ascii="宋体" w:hAnsi="宋体" w:eastAsia="宋体" w:cs="Times New Roman"/>
          <w:bCs/>
          <w:color w:val="auto"/>
          <w:kern w:val="2"/>
          <w:sz w:val="28"/>
          <w:szCs w:val="28"/>
          <w:lang w:val="en-US" w:eastAsia="zh-CN" w:bidi="ar-SA"/>
        </w:rPr>
      </w:pPr>
      <w:bookmarkStart w:id="18" w:name="bookmark14"/>
      <w:r>
        <w:rPr>
          <w:rFonts w:ascii="宋体" w:hAnsi="宋体" w:eastAsia="宋体" w:cs="Times New Roman"/>
          <w:bCs/>
          <w:color w:val="auto"/>
          <w:kern w:val="2"/>
          <w:sz w:val="28"/>
          <w:szCs w:val="28"/>
          <w:lang w:val="en-US" w:eastAsia="zh-CN" w:bidi="ar-SA"/>
        </w:rPr>
        <w:t>2.1.3周边环境</w:t>
      </w:r>
      <w:bookmarkEnd w:id="18"/>
    </w:p>
    <w:p>
      <w:pPr>
        <w:spacing w:line="600" w:lineRule="exact"/>
        <w:ind w:firstLine="560" w:firstLineChars="200"/>
        <w:jc w:val="both"/>
        <w:rPr>
          <w:rFonts w:ascii="宋体" w:hAnsi="宋体" w:eastAsia="宋体"/>
          <w:color w:val="auto"/>
          <w:sz w:val="28"/>
          <w:szCs w:val="28"/>
          <w:lang w:eastAsia="zh-CN"/>
        </w:rPr>
      </w:pPr>
      <w:r>
        <w:rPr>
          <w:rFonts w:hint="eastAsia" w:ascii="宋体" w:hAnsi="宋体" w:eastAsia="宋体"/>
          <w:color w:val="auto"/>
          <w:sz w:val="28"/>
          <w:szCs w:val="28"/>
          <w:lang w:eastAsia="zh-CN"/>
        </w:rPr>
        <w:t>该公司厂区四周设置非燃烧实体围墙，厂区西面设置1个出入口与工业区路相连。</w:t>
      </w:r>
    </w:p>
    <w:p>
      <w:pPr>
        <w:spacing w:line="600" w:lineRule="exact"/>
        <w:ind w:firstLine="560" w:firstLineChars="200"/>
        <w:jc w:val="both"/>
        <w:rPr>
          <w:rFonts w:ascii="宋体" w:hAnsi="宋体" w:eastAsia="宋体"/>
          <w:color w:val="auto"/>
          <w:sz w:val="28"/>
          <w:szCs w:val="28"/>
          <w:lang w:eastAsia="zh-CN"/>
        </w:rPr>
      </w:pPr>
      <w:r>
        <w:rPr>
          <w:rFonts w:hint="eastAsia" w:ascii="宋体" w:hAnsi="宋体" w:eastAsia="宋体"/>
          <w:color w:val="auto"/>
          <w:sz w:val="28"/>
          <w:szCs w:val="28"/>
          <w:lang w:eastAsia="zh-CN"/>
        </w:rPr>
        <w:t>东面：围墙外是兴隆纸厂，华龙公司生产车间、仓库与兴隆纸厂相距40m。</w:t>
      </w:r>
    </w:p>
    <w:p>
      <w:pPr>
        <w:spacing w:line="600" w:lineRule="exact"/>
        <w:ind w:firstLine="560" w:firstLineChars="200"/>
        <w:jc w:val="both"/>
        <w:rPr>
          <w:rFonts w:ascii="宋体" w:hAnsi="宋体" w:eastAsia="宋体"/>
          <w:color w:val="auto"/>
          <w:sz w:val="28"/>
          <w:szCs w:val="28"/>
          <w:lang w:eastAsia="zh-CN"/>
        </w:rPr>
      </w:pPr>
      <w:r>
        <w:rPr>
          <w:rFonts w:hint="eastAsia" w:ascii="宋体" w:hAnsi="宋体" w:eastAsia="宋体"/>
          <w:color w:val="auto"/>
          <w:sz w:val="28"/>
          <w:szCs w:val="28"/>
          <w:lang w:eastAsia="zh-CN"/>
        </w:rPr>
        <w:t>南面：围墙外为东莞美登人造革有限公司厂房，华龙公司仓库与其厂房距离约43m。</w:t>
      </w:r>
    </w:p>
    <w:p>
      <w:pPr>
        <w:spacing w:line="600" w:lineRule="exact"/>
        <w:ind w:firstLine="560" w:firstLineChars="200"/>
        <w:jc w:val="both"/>
        <w:rPr>
          <w:rFonts w:ascii="宋体" w:hAnsi="宋体" w:eastAsia="宋体"/>
          <w:color w:val="auto"/>
          <w:sz w:val="28"/>
          <w:szCs w:val="28"/>
          <w:lang w:eastAsia="zh-CN"/>
        </w:rPr>
      </w:pPr>
      <w:r>
        <w:rPr>
          <w:rFonts w:hint="eastAsia" w:ascii="宋体" w:hAnsi="宋体" w:eastAsia="宋体"/>
          <w:color w:val="auto"/>
          <w:sz w:val="28"/>
          <w:szCs w:val="28"/>
          <w:lang w:eastAsia="zh-CN"/>
        </w:rPr>
        <w:t>西面：围墙外为工业区道路（现为5m宽的水泥小路，不做道路进行评价），道路西侧为中森木业有限公司，中森木业有限公司厂房与华龙公司生产车间距离27m；</w:t>
      </w:r>
    </w:p>
    <w:p>
      <w:pPr>
        <w:spacing w:line="600" w:lineRule="exact"/>
        <w:ind w:firstLine="560" w:firstLineChars="200"/>
        <w:jc w:val="both"/>
        <w:rPr>
          <w:rFonts w:ascii="宋体" w:hAnsi="宋体" w:eastAsia="宋体"/>
          <w:color w:val="auto"/>
          <w:sz w:val="28"/>
          <w:szCs w:val="28"/>
          <w:lang w:eastAsia="zh-CN"/>
        </w:rPr>
      </w:pPr>
      <w:r>
        <w:rPr>
          <w:rFonts w:hint="eastAsia" w:ascii="宋体" w:hAnsi="宋体" w:eastAsia="宋体"/>
          <w:color w:val="auto"/>
          <w:sz w:val="28"/>
          <w:szCs w:val="28"/>
          <w:lang w:eastAsia="zh-CN"/>
        </w:rPr>
        <w:t>北面：围墙外为明川胶袋厂，该作业场所距华龙公司生产车间42m。</w:t>
      </w:r>
    </w:p>
    <w:p>
      <w:pPr>
        <w:spacing w:line="560" w:lineRule="exact"/>
        <w:ind w:firstLine="425" w:firstLineChars="152"/>
        <w:jc w:val="both"/>
        <w:rPr>
          <w:rFonts w:ascii="宋体" w:hAnsi="宋体" w:eastAsia="宋体"/>
          <w:color w:val="auto"/>
          <w:sz w:val="28"/>
          <w:szCs w:val="28"/>
          <w:lang w:eastAsia="zh-CN"/>
        </w:rPr>
      </w:pPr>
      <w:r>
        <w:rPr>
          <w:rFonts w:ascii="宋体" w:hAnsi="宋体" w:eastAsia="宋体"/>
          <w:color w:val="auto"/>
          <w:sz w:val="28"/>
          <w:szCs w:val="28"/>
          <w:lang w:eastAsia="zh-CN"/>
        </w:rPr>
        <w:t>厂区周围地势平坦开阔，所在地段属工业区工业用地，周边无住宅区、学校、商场、医院等，无需保留之古建筑、构筑物及古树。</w:t>
      </w:r>
    </w:p>
    <w:p>
      <w:pPr>
        <w:spacing w:line="560" w:lineRule="exact"/>
        <w:ind w:firstLine="425" w:firstLineChars="152"/>
        <w:jc w:val="both"/>
        <w:rPr>
          <w:rFonts w:ascii="宋体" w:hAnsi="宋体" w:eastAsia="宋体"/>
          <w:color w:val="auto"/>
          <w:sz w:val="28"/>
          <w:szCs w:val="28"/>
          <w:lang w:eastAsia="zh-CN"/>
        </w:rPr>
      </w:pPr>
      <w:r>
        <w:rPr>
          <w:rFonts w:ascii="宋体" w:hAnsi="宋体" w:eastAsia="宋体"/>
          <w:color w:val="auto"/>
          <w:sz w:val="28"/>
          <w:szCs w:val="28"/>
          <w:lang w:eastAsia="zh-CN"/>
        </w:rPr>
        <w:t>厂区周围100m范围内没有重要的政治和文化设施，也没有自然保护区、水源保护区、文物保护建筑。</w:t>
      </w:r>
    </w:p>
    <w:p>
      <w:pPr>
        <w:spacing w:line="560" w:lineRule="exact"/>
        <w:jc w:val="center"/>
        <w:rPr>
          <w:rFonts w:ascii="宋体" w:hAnsi="宋体" w:eastAsia="宋体"/>
          <w:b/>
          <w:color w:val="auto"/>
        </w:rPr>
      </w:pPr>
      <w:r>
        <w:rPr>
          <w:rFonts w:ascii="宋体" w:hAnsi="宋体" w:eastAsia="宋体"/>
          <w:b/>
          <w:color w:val="auto"/>
        </w:rPr>
        <w:t>表2-2</w:t>
      </w:r>
      <w:r>
        <w:rPr>
          <w:rFonts w:hint="eastAsia" w:ascii="宋体" w:hAnsi="宋体" w:eastAsia="宋体"/>
          <w:b/>
          <w:color w:val="auto"/>
        </w:rPr>
        <w:t>与周边建（构）筑物间距一览表</w:t>
      </w:r>
    </w:p>
    <w:tbl>
      <w:tblPr>
        <w:tblStyle w:val="45"/>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6"/>
        <w:gridCol w:w="850"/>
        <w:gridCol w:w="1505"/>
        <w:gridCol w:w="1984"/>
        <w:gridCol w:w="1043"/>
        <w:gridCol w:w="1215"/>
        <w:gridCol w:w="24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6" w:type="dxa"/>
            <w:vAlign w:val="center"/>
          </w:tcPr>
          <w:p>
            <w:pPr>
              <w:spacing w:line="360" w:lineRule="exact"/>
              <w:jc w:val="center"/>
              <w:rPr>
                <w:rFonts w:ascii="宋体" w:hAnsi="宋体" w:eastAsia="宋体"/>
                <w:b/>
                <w:color w:val="auto"/>
                <w:sz w:val="21"/>
                <w:szCs w:val="21"/>
              </w:rPr>
            </w:pPr>
            <w:r>
              <w:rPr>
                <w:rFonts w:hint="eastAsia" w:ascii="宋体" w:hAnsi="宋体" w:eastAsia="宋体"/>
                <w:b/>
                <w:color w:val="auto"/>
                <w:sz w:val="21"/>
                <w:szCs w:val="21"/>
              </w:rPr>
              <w:t>序号</w:t>
            </w:r>
          </w:p>
        </w:tc>
        <w:tc>
          <w:tcPr>
            <w:tcW w:w="850" w:type="dxa"/>
            <w:vAlign w:val="center"/>
          </w:tcPr>
          <w:p>
            <w:pPr>
              <w:spacing w:line="360" w:lineRule="exact"/>
              <w:jc w:val="center"/>
              <w:rPr>
                <w:rFonts w:ascii="宋体" w:hAnsi="宋体" w:eastAsia="宋体"/>
                <w:b/>
                <w:color w:val="auto"/>
                <w:sz w:val="21"/>
                <w:szCs w:val="21"/>
              </w:rPr>
            </w:pPr>
            <w:r>
              <w:rPr>
                <w:rFonts w:hint="eastAsia" w:ascii="宋体" w:hAnsi="宋体" w:eastAsia="宋体"/>
                <w:b/>
                <w:color w:val="auto"/>
                <w:sz w:val="21"/>
                <w:szCs w:val="21"/>
              </w:rPr>
              <w:t>方位</w:t>
            </w:r>
          </w:p>
        </w:tc>
        <w:tc>
          <w:tcPr>
            <w:tcW w:w="1505" w:type="dxa"/>
            <w:vAlign w:val="center"/>
          </w:tcPr>
          <w:p>
            <w:pPr>
              <w:spacing w:line="360" w:lineRule="exact"/>
              <w:jc w:val="center"/>
              <w:rPr>
                <w:rFonts w:ascii="宋体" w:hAnsi="宋体" w:eastAsia="宋体"/>
                <w:b/>
                <w:color w:val="auto"/>
                <w:sz w:val="21"/>
                <w:szCs w:val="21"/>
              </w:rPr>
            </w:pPr>
            <w:r>
              <w:rPr>
                <w:rFonts w:hint="eastAsia" w:ascii="宋体" w:hAnsi="宋体" w:eastAsia="宋体"/>
                <w:b/>
                <w:color w:val="auto"/>
                <w:sz w:val="21"/>
                <w:szCs w:val="21"/>
              </w:rPr>
              <w:t>周边建（构）筑物名称</w:t>
            </w:r>
          </w:p>
        </w:tc>
        <w:tc>
          <w:tcPr>
            <w:tcW w:w="1984" w:type="dxa"/>
            <w:vAlign w:val="center"/>
          </w:tcPr>
          <w:p>
            <w:pPr>
              <w:spacing w:line="360" w:lineRule="exact"/>
              <w:jc w:val="center"/>
              <w:rPr>
                <w:rFonts w:ascii="宋体" w:hAnsi="宋体" w:eastAsia="宋体"/>
                <w:b/>
                <w:color w:val="auto"/>
                <w:sz w:val="21"/>
                <w:szCs w:val="21"/>
              </w:rPr>
            </w:pPr>
            <w:r>
              <w:rPr>
                <w:rFonts w:hint="eastAsia" w:ascii="宋体" w:hAnsi="宋体" w:eastAsia="宋体"/>
                <w:b/>
                <w:color w:val="auto"/>
                <w:sz w:val="21"/>
                <w:szCs w:val="21"/>
              </w:rPr>
              <w:t>项目最近建筑物</w:t>
            </w:r>
          </w:p>
        </w:tc>
        <w:tc>
          <w:tcPr>
            <w:tcW w:w="1043" w:type="dxa"/>
            <w:vAlign w:val="center"/>
          </w:tcPr>
          <w:p>
            <w:pPr>
              <w:spacing w:line="360" w:lineRule="exact"/>
              <w:jc w:val="center"/>
              <w:rPr>
                <w:rFonts w:ascii="宋体" w:hAnsi="宋体" w:eastAsia="宋体"/>
                <w:b/>
                <w:color w:val="auto"/>
                <w:sz w:val="21"/>
                <w:szCs w:val="21"/>
              </w:rPr>
            </w:pPr>
            <w:r>
              <w:rPr>
                <w:rFonts w:hint="eastAsia" w:ascii="宋体" w:hAnsi="宋体" w:eastAsia="宋体"/>
                <w:b/>
                <w:color w:val="auto"/>
                <w:sz w:val="21"/>
                <w:szCs w:val="21"/>
              </w:rPr>
              <w:t>实际间距（m）</w:t>
            </w:r>
          </w:p>
        </w:tc>
        <w:tc>
          <w:tcPr>
            <w:tcW w:w="1215" w:type="dxa"/>
            <w:vAlign w:val="center"/>
          </w:tcPr>
          <w:p>
            <w:pPr>
              <w:spacing w:line="360" w:lineRule="exact"/>
              <w:jc w:val="center"/>
              <w:rPr>
                <w:rFonts w:ascii="宋体" w:hAnsi="宋体" w:eastAsia="宋体"/>
                <w:b/>
                <w:color w:val="auto"/>
                <w:sz w:val="21"/>
                <w:szCs w:val="21"/>
              </w:rPr>
            </w:pPr>
            <w:r>
              <w:rPr>
                <w:rFonts w:hint="eastAsia" w:ascii="宋体" w:hAnsi="宋体" w:eastAsia="宋体"/>
                <w:b/>
                <w:color w:val="auto"/>
                <w:sz w:val="21"/>
                <w:szCs w:val="21"/>
              </w:rPr>
              <w:t>标准距离（m）</w:t>
            </w:r>
          </w:p>
        </w:tc>
        <w:tc>
          <w:tcPr>
            <w:tcW w:w="2475" w:type="dxa"/>
            <w:vAlign w:val="center"/>
          </w:tcPr>
          <w:p>
            <w:pPr>
              <w:spacing w:line="360" w:lineRule="exact"/>
              <w:jc w:val="center"/>
              <w:rPr>
                <w:rFonts w:ascii="宋体" w:hAnsi="宋体" w:eastAsia="宋体"/>
                <w:b/>
                <w:color w:val="auto"/>
                <w:sz w:val="21"/>
                <w:szCs w:val="21"/>
              </w:rPr>
            </w:pPr>
            <w:r>
              <w:rPr>
                <w:rFonts w:hint="eastAsia" w:ascii="宋体" w:hAnsi="宋体" w:eastAsia="宋体"/>
                <w:b/>
                <w:color w:val="auto"/>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6"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1</w:t>
            </w:r>
          </w:p>
        </w:tc>
        <w:tc>
          <w:tcPr>
            <w:tcW w:w="850" w:type="dxa"/>
            <w:vMerge w:val="restar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东</w:t>
            </w:r>
          </w:p>
        </w:tc>
        <w:tc>
          <w:tcPr>
            <w:tcW w:w="1505" w:type="dxa"/>
            <w:vMerge w:val="restar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兴隆纸厂厂房（丙类厂房</w:t>
            </w:r>
            <w:r>
              <w:rPr>
                <w:rFonts w:hint="eastAsia" w:ascii="宋体" w:hAnsi="宋体" w:eastAsia="宋体"/>
                <w:color w:val="auto"/>
                <w:sz w:val="21"/>
                <w:szCs w:val="21"/>
                <w:lang w:eastAsia="zh-CN"/>
              </w:rPr>
              <w:t>，耐火等级二级</w:t>
            </w:r>
            <w:r>
              <w:rPr>
                <w:rFonts w:hint="eastAsia" w:ascii="宋体" w:hAnsi="宋体" w:eastAsia="宋体"/>
                <w:color w:val="auto"/>
                <w:sz w:val="21"/>
                <w:szCs w:val="21"/>
              </w:rPr>
              <w:t>）</w:t>
            </w:r>
          </w:p>
        </w:tc>
        <w:tc>
          <w:tcPr>
            <w:tcW w:w="1984" w:type="dxa"/>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rPr>
              <w:t>甲类车间（</w:t>
            </w:r>
            <w:r>
              <w:rPr>
                <w:rFonts w:hint="eastAsia" w:ascii="宋体" w:hAnsi="宋体" w:eastAsia="宋体"/>
                <w:color w:val="auto"/>
                <w:sz w:val="21"/>
                <w:szCs w:val="21"/>
                <w:lang w:eastAsia="zh-CN"/>
              </w:rPr>
              <w:t>耐火等级二级</w:t>
            </w:r>
            <w:r>
              <w:rPr>
                <w:rFonts w:hint="eastAsia" w:ascii="宋体" w:hAnsi="宋体" w:eastAsia="宋体"/>
                <w:color w:val="auto"/>
                <w:sz w:val="21"/>
                <w:szCs w:val="21"/>
              </w:rPr>
              <w:t>）</w:t>
            </w:r>
          </w:p>
        </w:tc>
        <w:tc>
          <w:tcPr>
            <w:tcW w:w="1043"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40</w:t>
            </w:r>
          </w:p>
        </w:tc>
        <w:tc>
          <w:tcPr>
            <w:tcW w:w="1215"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12</w:t>
            </w:r>
          </w:p>
        </w:tc>
        <w:tc>
          <w:tcPr>
            <w:tcW w:w="2475"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《建规》第3.4.1条、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6"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2</w:t>
            </w:r>
          </w:p>
        </w:tc>
        <w:tc>
          <w:tcPr>
            <w:tcW w:w="850" w:type="dxa"/>
            <w:vMerge w:val="continue"/>
            <w:vAlign w:val="center"/>
          </w:tcPr>
          <w:p>
            <w:pPr>
              <w:spacing w:line="360" w:lineRule="exact"/>
              <w:jc w:val="center"/>
              <w:rPr>
                <w:rFonts w:ascii="宋体" w:hAnsi="宋体" w:eastAsia="宋体"/>
                <w:color w:val="auto"/>
                <w:sz w:val="21"/>
                <w:szCs w:val="21"/>
              </w:rPr>
            </w:pPr>
          </w:p>
        </w:tc>
        <w:tc>
          <w:tcPr>
            <w:tcW w:w="1505" w:type="dxa"/>
            <w:vMerge w:val="continue"/>
            <w:vAlign w:val="center"/>
          </w:tcPr>
          <w:p>
            <w:pPr>
              <w:spacing w:line="360" w:lineRule="exact"/>
              <w:jc w:val="center"/>
              <w:rPr>
                <w:rFonts w:ascii="宋体" w:hAnsi="宋体" w:eastAsia="宋体"/>
                <w:color w:val="auto"/>
                <w:sz w:val="21"/>
                <w:szCs w:val="21"/>
              </w:rPr>
            </w:pPr>
          </w:p>
        </w:tc>
        <w:tc>
          <w:tcPr>
            <w:tcW w:w="1984"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甲类仓库（</w:t>
            </w:r>
            <w:r>
              <w:rPr>
                <w:rFonts w:hint="eastAsia" w:ascii="宋体" w:hAnsi="宋体" w:eastAsia="宋体"/>
                <w:color w:val="auto"/>
                <w:sz w:val="21"/>
                <w:szCs w:val="21"/>
                <w:lang w:eastAsia="zh-CN"/>
              </w:rPr>
              <w:t>耐火等级二级</w:t>
            </w:r>
            <w:r>
              <w:rPr>
                <w:rFonts w:hint="eastAsia" w:ascii="宋体" w:hAnsi="宋体" w:eastAsia="宋体"/>
                <w:color w:val="auto"/>
                <w:sz w:val="21"/>
                <w:szCs w:val="21"/>
              </w:rPr>
              <w:t>）</w:t>
            </w:r>
          </w:p>
        </w:tc>
        <w:tc>
          <w:tcPr>
            <w:tcW w:w="1043"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40</w:t>
            </w:r>
          </w:p>
        </w:tc>
        <w:tc>
          <w:tcPr>
            <w:tcW w:w="1215"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15</w:t>
            </w:r>
          </w:p>
        </w:tc>
        <w:tc>
          <w:tcPr>
            <w:tcW w:w="2475"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《建规》第3.5.1条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6"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3</w:t>
            </w:r>
          </w:p>
        </w:tc>
        <w:tc>
          <w:tcPr>
            <w:tcW w:w="850"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南</w:t>
            </w:r>
          </w:p>
        </w:tc>
        <w:tc>
          <w:tcPr>
            <w:tcW w:w="1505"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东莞美登人造革有限公司厂房（丙类厂房</w:t>
            </w:r>
            <w:r>
              <w:rPr>
                <w:rFonts w:hint="eastAsia" w:ascii="宋体" w:hAnsi="宋体" w:eastAsia="宋体"/>
                <w:color w:val="auto"/>
                <w:sz w:val="21"/>
                <w:szCs w:val="21"/>
                <w:lang w:eastAsia="zh-CN"/>
              </w:rPr>
              <w:t>，耐火等级二级</w:t>
            </w:r>
            <w:r>
              <w:rPr>
                <w:rFonts w:hint="eastAsia" w:ascii="宋体" w:hAnsi="宋体" w:eastAsia="宋体"/>
                <w:color w:val="auto"/>
                <w:sz w:val="21"/>
                <w:szCs w:val="21"/>
              </w:rPr>
              <w:t>）</w:t>
            </w:r>
          </w:p>
        </w:tc>
        <w:tc>
          <w:tcPr>
            <w:tcW w:w="1984"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甲类仓库（</w:t>
            </w:r>
            <w:r>
              <w:rPr>
                <w:rFonts w:hint="eastAsia" w:ascii="宋体" w:hAnsi="宋体" w:eastAsia="宋体"/>
                <w:color w:val="auto"/>
                <w:sz w:val="21"/>
                <w:szCs w:val="21"/>
                <w:lang w:eastAsia="zh-CN"/>
              </w:rPr>
              <w:t>耐火等级二级</w:t>
            </w:r>
            <w:r>
              <w:rPr>
                <w:rFonts w:hint="eastAsia" w:ascii="宋体" w:hAnsi="宋体" w:eastAsia="宋体"/>
                <w:color w:val="auto"/>
                <w:sz w:val="21"/>
                <w:szCs w:val="21"/>
              </w:rPr>
              <w:t>）</w:t>
            </w:r>
          </w:p>
        </w:tc>
        <w:tc>
          <w:tcPr>
            <w:tcW w:w="1043"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43</w:t>
            </w:r>
          </w:p>
        </w:tc>
        <w:tc>
          <w:tcPr>
            <w:tcW w:w="1215"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15</w:t>
            </w:r>
          </w:p>
        </w:tc>
        <w:tc>
          <w:tcPr>
            <w:tcW w:w="2475"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《建规》第3.5.1条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6"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4</w:t>
            </w:r>
          </w:p>
        </w:tc>
        <w:tc>
          <w:tcPr>
            <w:tcW w:w="850" w:type="dxa"/>
            <w:vMerge w:val="restar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西</w:t>
            </w:r>
          </w:p>
        </w:tc>
        <w:tc>
          <w:tcPr>
            <w:tcW w:w="1505" w:type="dxa"/>
            <w:vMerge w:val="restar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中森木业有限公司厂房（丙类厂房</w:t>
            </w:r>
            <w:r>
              <w:rPr>
                <w:rFonts w:hint="eastAsia" w:ascii="宋体" w:hAnsi="宋体" w:eastAsia="宋体"/>
                <w:color w:val="auto"/>
                <w:sz w:val="21"/>
                <w:szCs w:val="21"/>
                <w:lang w:eastAsia="zh-CN"/>
              </w:rPr>
              <w:t>，耐火等级二级</w:t>
            </w:r>
            <w:r>
              <w:rPr>
                <w:rFonts w:hint="eastAsia" w:ascii="宋体" w:hAnsi="宋体" w:eastAsia="宋体"/>
                <w:color w:val="auto"/>
                <w:sz w:val="21"/>
                <w:szCs w:val="21"/>
              </w:rPr>
              <w:t>）</w:t>
            </w:r>
          </w:p>
        </w:tc>
        <w:tc>
          <w:tcPr>
            <w:tcW w:w="1984"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甲类车间（</w:t>
            </w:r>
            <w:r>
              <w:rPr>
                <w:rFonts w:hint="eastAsia" w:ascii="宋体" w:hAnsi="宋体" w:eastAsia="宋体"/>
                <w:color w:val="auto"/>
                <w:sz w:val="21"/>
                <w:szCs w:val="21"/>
                <w:lang w:eastAsia="zh-CN"/>
              </w:rPr>
              <w:t>耐火等级二级</w:t>
            </w:r>
            <w:r>
              <w:rPr>
                <w:rFonts w:hint="eastAsia" w:ascii="宋体" w:hAnsi="宋体" w:eastAsia="宋体"/>
                <w:color w:val="auto"/>
                <w:sz w:val="21"/>
                <w:szCs w:val="21"/>
              </w:rPr>
              <w:t>）</w:t>
            </w:r>
          </w:p>
        </w:tc>
        <w:tc>
          <w:tcPr>
            <w:tcW w:w="1043"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27</w:t>
            </w:r>
          </w:p>
        </w:tc>
        <w:tc>
          <w:tcPr>
            <w:tcW w:w="1215"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12</w:t>
            </w:r>
          </w:p>
        </w:tc>
        <w:tc>
          <w:tcPr>
            <w:tcW w:w="2475"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《建规》第3.4.1条、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6"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5</w:t>
            </w:r>
          </w:p>
        </w:tc>
        <w:tc>
          <w:tcPr>
            <w:tcW w:w="850" w:type="dxa"/>
            <w:vMerge w:val="continue"/>
            <w:vAlign w:val="center"/>
          </w:tcPr>
          <w:p>
            <w:pPr>
              <w:spacing w:line="360" w:lineRule="exact"/>
              <w:jc w:val="center"/>
              <w:rPr>
                <w:rFonts w:ascii="宋体" w:hAnsi="宋体" w:eastAsia="宋体"/>
                <w:color w:val="auto"/>
                <w:sz w:val="21"/>
                <w:szCs w:val="21"/>
              </w:rPr>
            </w:pPr>
          </w:p>
        </w:tc>
        <w:tc>
          <w:tcPr>
            <w:tcW w:w="1505" w:type="dxa"/>
            <w:vMerge w:val="continue"/>
            <w:vAlign w:val="center"/>
          </w:tcPr>
          <w:p>
            <w:pPr>
              <w:spacing w:line="360" w:lineRule="exact"/>
              <w:jc w:val="center"/>
              <w:rPr>
                <w:rFonts w:ascii="宋体" w:hAnsi="宋体" w:eastAsia="宋体"/>
                <w:color w:val="auto"/>
                <w:sz w:val="21"/>
                <w:szCs w:val="21"/>
              </w:rPr>
            </w:pPr>
          </w:p>
        </w:tc>
        <w:tc>
          <w:tcPr>
            <w:tcW w:w="1984"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甲类仓库（</w:t>
            </w:r>
            <w:r>
              <w:rPr>
                <w:rFonts w:hint="eastAsia" w:ascii="宋体" w:hAnsi="宋体" w:eastAsia="宋体"/>
                <w:color w:val="auto"/>
                <w:sz w:val="21"/>
                <w:szCs w:val="21"/>
                <w:lang w:eastAsia="zh-CN"/>
              </w:rPr>
              <w:t>耐火等级二级</w:t>
            </w:r>
            <w:r>
              <w:rPr>
                <w:rFonts w:hint="eastAsia" w:ascii="宋体" w:hAnsi="宋体" w:eastAsia="宋体"/>
                <w:color w:val="auto"/>
                <w:sz w:val="21"/>
                <w:szCs w:val="21"/>
              </w:rPr>
              <w:t>）</w:t>
            </w:r>
          </w:p>
        </w:tc>
        <w:tc>
          <w:tcPr>
            <w:tcW w:w="1043"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27</w:t>
            </w:r>
          </w:p>
        </w:tc>
        <w:tc>
          <w:tcPr>
            <w:tcW w:w="1215"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15</w:t>
            </w:r>
          </w:p>
        </w:tc>
        <w:tc>
          <w:tcPr>
            <w:tcW w:w="2475"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《建规》第3.5.1条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6" w:type="dxa"/>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6</w:t>
            </w:r>
          </w:p>
        </w:tc>
        <w:tc>
          <w:tcPr>
            <w:tcW w:w="850"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北</w:t>
            </w:r>
          </w:p>
        </w:tc>
        <w:tc>
          <w:tcPr>
            <w:tcW w:w="1505"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lang w:eastAsia="zh-CN"/>
              </w:rPr>
              <w:t>明川胶袋厂</w:t>
            </w:r>
            <w:r>
              <w:rPr>
                <w:rFonts w:hint="eastAsia" w:ascii="宋体" w:hAnsi="宋体" w:eastAsia="宋体"/>
                <w:color w:val="auto"/>
                <w:sz w:val="21"/>
                <w:szCs w:val="21"/>
              </w:rPr>
              <w:t>（丙类厂房</w:t>
            </w:r>
            <w:r>
              <w:rPr>
                <w:rFonts w:hint="eastAsia" w:ascii="宋体" w:hAnsi="宋体" w:eastAsia="宋体"/>
                <w:color w:val="auto"/>
                <w:sz w:val="21"/>
                <w:szCs w:val="21"/>
                <w:lang w:eastAsia="zh-CN"/>
              </w:rPr>
              <w:t>，耐火等级二级</w:t>
            </w:r>
            <w:r>
              <w:rPr>
                <w:rFonts w:hint="eastAsia" w:ascii="宋体" w:hAnsi="宋体" w:eastAsia="宋体"/>
                <w:color w:val="auto"/>
                <w:sz w:val="21"/>
                <w:szCs w:val="21"/>
              </w:rPr>
              <w:t>）</w:t>
            </w:r>
          </w:p>
        </w:tc>
        <w:tc>
          <w:tcPr>
            <w:tcW w:w="1984"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甲类车间（</w:t>
            </w:r>
            <w:r>
              <w:rPr>
                <w:rFonts w:hint="eastAsia" w:ascii="宋体" w:hAnsi="宋体" w:eastAsia="宋体"/>
                <w:color w:val="auto"/>
                <w:sz w:val="21"/>
                <w:szCs w:val="21"/>
                <w:lang w:eastAsia="zh-CN"/>
              </w:rPr>
              <w:t>耐火等级二级</w:t>
            </w:r>
            <w:r>
              <w:rPr>
                <w:rFonts w:hint="eastAsia" w:ascii="宋体" w:hAnsi="宋体" w:eastAsia="宋体"/>
                <w:color w:val="auto"/>
                <w:sz w:val="21"/>
                <w:szCs w:val="21"/>
              </w:rPr>
              <w:t>）</w:t>
            </w:r>
          </w:p>
        </w:tc>
        <w:tc>
          <w:tcPr>
            <w:tcW w:w="1043"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42</w:t>
            </w:r>
          </w:p>
        </w:tc>
        <w:tc>
          <w:tcPr>
            <w:tcW w:w="1215"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12</w:t>
            </w:r>
          </w:p>
        </w:tc>
        <w:tc>
          <w:tcPr>
            <w:tcW w:w="2475"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《建规》第3.4.1条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6" w:type="dxa"/>
            <w:vAlign w:val="center"/>
          </w:tcPr>
          <w:p>
            <w:pPr>
              <w:spacing w:line="360" w:lineRule="exact"/>
              <w:jc w:val="center"/>
              <w:rPr>
                <w:rFonts w:hint="default" w:ascii="宋体" w:hAnsi="宋体" w:eastAsia="宋体"/>
                <w:color w:val="auto"/>
                <w:sz w:val="21"/>
                <w:szCs w:val="21"/>
                <w:lang w:val="en-US" w:eastAsia="zh-CN"/>
              </w:rPr>
            </w:pPr>
            <w:r>
              <w:rPr>
                <w:rFonts w:hint="eastAsia" w:ascii="宋体" w:hAnsi="宋体" w:eastAsia="宋体"/>
                <w:color w:val="auto"/>
                <w:sz w:val="21"/>
                <w:szCs w:val="21"/>
                <w:lang w:val="en-US" w:eastAsia="zh-CN"/>
              </w:rPr>
              <w:t>7</w:t>
            </w:r>
          </w:p>
        </w:tc>
        <w:tc>
          <w:tcPr>
            <w:tcW w:w="850" w:type="dxa"/>
            <w:vAlign w:val="center"/>
          </w:tcPr>
          <w:p>
            <w:pPr>
              <w:spacing w:line="360" w:lineRule="exact"/>
              <w:jc w:val="center"/>
              <w:rPr>
                <w:rFonts w:hint="eastAsia" w:ascii="宋体" w:hAnsi="宋体" w:eastAsia="宋体"/>
                <w:color w:val="auto"/>
                <w:sz w:val="21"/>
                <w:szCs w:val="21"/>
                <w:lang w:eastAsia="zh-CN"/>
              </w:rPr>
            </w:pPr>
            <w:r>
              <w:rPr>
                <w:rFonts w:hint="eastAsia" w:ascii="宋体" w:hAnsi="宋体" w:eastAsia="宋体"/>
                <w:color w:val="auto"/>
                <w:sz w:val="21"/>
                <w:szCs w:val="21"/>
                <w:lang w:eastAsia="zh-CN"/>
              </w:rPr>
              <w:t>南</w:t>
            </w:r>
          </w:p>
        </w:tc>
        <w:tc>
          <w:tcPr>
            <w:tcW w:w="1505" w:type="dxa"/>
            <w:vAlign w:val="center"/>
          </w:tcPr>
          <w:p>
            <w:pPr>
              <w:spacing w:line="360" w:lineRule="exact"/>
              <w:jc w:val="center"/>
              <w:rPr>
                <w:rFonts w:hint="eastAsia" w:ascii="宋体" w:hAnsi="宋体" w:eastAsia="宋体"/>
                <w:color w:val="auto"/>
                <w:sz w:val="21"/>
                <w:szCs w:val="21"/>
                <w:lang w:eastAsia="zh-CN"/>
              </w:rPr>
            </w:pPr>
            <w:r>
              <w:rPr>
                <w:rFonts w:hint="eastAsia" w:ascii="宋体" w:hAnsi="宋体" w:eastAsia="宋体"/>
                <w:color w:val="auto"/>
                <w:sz w:val="21"/>
                <w:szCs w:val="21"/>
                <w:lang w:eastAsia="zh-CN"/>
              </w:rPr>
              <w:t>万金沙路</w:t>
            </w:r>
          </w:p>
        </w:tc>
        <w:tc>
          <w:tcPr>
            <w:tcW w:w="1984" w:type="dxa"/>
            <w:vAlign w:val="center"/>
          </w:tcPr>
          <w:p>
            <w:pPr>
              <w:spacing w:line="360" w:lineRule="exact"/>
              <w:jc w:val="center"/>
              <w:rPr>
                <w:rFonts w:hint="eastAsia" w:ascii="宋体" w:hAnsi="宋体" w:eastAsia="宋体"/>
                <w:color w:val="auto"/>
                <w:sz w:val="21"/>
                <w:szCs w:val="21"/>
                <w:lang w:eastAsia="zh-CN"/>
              </w:rPr>
            </w:pPr>
            <w:r>
              <w:rPr>
                <w:rFonts w:hint="eastAsia" w:ascii="宋体" w:hAnsi="宋体" w:eastAsia="宋体"/>
                <w:color w:val="auto"/>
                <w:sz w:val="21"/>
                <w:szCs w:val="21"/>
                <w:lang w:eastAsia="zh-CN"/>
              </w:rPr>
              <w:t>甲类仓库</w:t>
            </w:r>
            <w:r>
              <w:rPr>
                <w:rFonts w:hint="eastAsia" w:ascii="宋体" w:hAnsi="宋体" w:eastAsia="宋体"/>
                <w:color w:val="auto"/>
                <w:sz w:val="21"/>
                <w:szCs w:val="21"/>
              </w:rPr>
              <w:t>（</w:t>
            </w:r>
            <w:r>
              <w:rPr>
                <w:rFonts w:hint="eastAsia" w:ascii="宋体" w:hAnsi="宋体" w:eastAsia="宋体"/>
                <w:color w:val="auto"/>
                <w:sz w:val="21"/>
                <w:szCs w:val="21"/>
                <w:lang w:eastAsia="zh-CN"/>
              </w:rPr>
              <w:t>耐火等级二级</w:t>
            </w:r>
            <w:r>
              <w:rPr>
                <w:rFonts w:hint="eastAsia" w:ascii="宋体" w:hAnsi="宋体" w:eastAsia="宋体"/>
                <w:color w:val="auto"/>
                <w:sz w:val="21"/>
                <w:szCs w:val="21"/>
              </w:rPr>
              <w:t>）</w:t>
            </w:r>
          </w:p>
        </w:tc>
        <w:tc>
          <w:tcPr>
            <w:tcW w:w="1043" w:type="dxa"/>
            <w:vAlign w:val="center"/>
          </w:tcPr>
          <w:p>
            <w:pPr>
              <w:spacing w:line="360" w:lineRule="exact"/>
              <w:jc w:val="center"/>
              <w:rPr>
                <w:rFonts w:hint="default" w:ascii="宋体" w:hAnsi="宋体" w:eastAsia="宋体"/>
                <w:color w:val="auto"/>
                <w:sz w:val="21"/>
                <w:szCs w:val="21"/>
                <w:lang w:val="en-US" w:eastAsia="zh-CN"/>
              </w:rPr>
            </w:pPr>
            <w:r>
              <w:rPr>
                <w:rFonts w:hint="eastAsia" w:ascii="宋体" w:hAnsi="宋体" w:eastAsia="宋体"/>
                <w:color w:val="auto"/>
                <w:sz w:val="21"/>
                <w:szCs w:val="21"/>
                <w:lang w:val="en-US" w:eastAsia="zh-CN"/>
              </w:rPr>
              <w:t>250</w:t>
            </w:r>
          </w:p>
        </w:tc>
        <w:tc>
          <w:tcPr>
            <w:tcW w:w="1215" w:type="dxa"/>
            <w:vAlign w:val="center"/>
          </w:tcPr>
          <w:p>
            <w:pPr>
              <w:spacing w:line="360" w:lineRule="exact"/>
              <w:jc w:val="center"/>
              <w:rPr>
                <w:rFonts w:hint="default" w:ascii="宋体" w:hAnsi="宋体" w:eastAsia="宋体"/>
                <w:color w:val="auto"/>
                <w:sz w:val="21"/>
                <w:szCs w:val="21"/>
                <w:lang w:val="en-US" w:eastAsia="zh-CN"/>
              </w:rPr>
            </w:pPr>
            <w:r>
              <w:rPr>
                <w:rFonts w:hint="eastAsia" w:ascii="宋体" w:hAnsi="宋体" w:eastAsia="宋体"/>
                <w:color w:val="auto"/>
                <w:sz w:val="21"/>
                <w:szCs w:val="21"/>
                <w:lang w:val="en-US" w:eastAsia="zh-CN"/>
              </w:rPr>
              <w:t>100</w:t>
            </w:r>
          </w:p>
        </w:tc>
        <w:tc>
          <w:tcPr>
            <w:tcW w:w="2475" w:type="dxa"/>
            <w:vAlign w:val="center"/>
          </w:tcPr>
          <w:p>
            <w:pPr>
              <w:spacing w:line="360" w:lineRule="exact"/>
              <w:jc w:val="center"/>
              <w:rPr>
                <w:rFonts w:hint="eastAsia" w:ascii="宋体" w:hAnsi="宋体" w:eastAsia="宋体"/>
                <w:color w:val="auto"/>
                <w:sz w:val="21"/>
                <w:szCs w:val="21"/>
                <w:lang w:eastAsia="zh-CN"/>
              </w:rPr>
            </w:pPr>
            <w:r>
              <w:rPr>
                <w:rFonts w:hint="eastAsia" w:ascii="宋体" w:hAnsi="宋体" w:eastAsia="宋体"/>
                <w:color w:val="auto"/>
                <w:sz w:val="21"/>
                <w:szCs w:val="21"/>
                <w:lang w:eastAsia="zh-CN"/>
              </w:rPr>
              <w:t>《公路安全保护条例》</w:t>
            </w:r>
          </w:p>
          <w:p>
            <w:pPr>
              <w:spacing w:line="360" w:lineRule="exact"/>
              <w:jc w:val="center"/>
              <w:rPr>
                <w:rFonts w:hint="eastAsia" w:ascii="宋体" w:hAnsi="宋体" w:eastAsia="宋体"/>
                <w:color w:val="auto"/>
                <w:sz w:val="21"/>
                <w:szCs w:val="21"/>
                <w:lang w:eastAsia="zh-CN"/>
              </w:rPr>
            </w:pPr>
            <w:r>
              <w:rPr>
                <w:rFonts w:hint="eastAsia" w:ascii="宋体" w:hAnsi="宋体" w:eastAsia="宋体"/>
                <w:color w:val="auto"/>
                <w:sz w:val="21"/>
                <w:szCs w:val="21"/>
                <w:lang w:eastAsia="zh-CN"/>
              </w:rPr>
              <w:t>第十八条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38" w:type="dxa"/>
            <w:gridSpan w:val="7"/>
            <w:vAlign w:val="center"/>
          </w:tcPr>
          <w:p>
            <w:pPr>
              <w:spacing w:line="360" w:lineRule="exact"/>
              <w:jc w:val="both"/>
              <w:rPr>
                <w:rFonts w:ascii="宋体" w:hAnsi="宋体" w:eastAsia="宋体"/>
                <w:color w:val="auto"/>
                <w:sz w:val="21"/>
                <w:szCs w:val="21"/>
              </w:rPr>
            </w:pPr>
            <w:r>
              <w:rPr>
                <w:rFonts w:ascii="宋体" w:hAnsi="宋体" w:eastAsia="宋体"/>
                <w:color w:val="auto"/>
                <w:sz w:val="21"/>
                <w:szCs w:val="21"/>
              </w:rPr>
              <w:t>注：</w:t>
            </w:r>
            <w:r>
              <w:rPr>
                <w:rFonts w:hint="eastAsia" w:ascii="宋体" w:hAnsi="宋体" w:eastAsia="宋体"/>
                <w:color w:val="auto"/>
                <w:sz w:val="21"/>
                <w:szCs w:val="21"/>
                <w:lang w:eastAsia="zh-CN"/>
              </w:rPr>
              <w:t>表中《建规》为</w:t>
            </w:r>
            <w:r>
              <w:rPr>
                <w:rFonts w:ascii="宋体" w:hAnsi="宋体" w:eastAsia="宋体"/>
                <w:color w:val="auto"/>
                <w:sz w:val="21"/>
                <w:szCs w:val="21"/>
              </w:rPr>
              <w:t>《建筑设计防火规范》(</w:t>
            </w:r>
            <w:r>
              <w:rPr>
                <w:rFonts w:ascii="宋体" w:hAnsi="宋体" w:eastAsia="宋体"/>
                <w:color w:val="auto"/>
                <w:sz w:val="21"/>
                <w:szCs w:val="21"/>
                <w:lang w:eastAsia="zh-CN"/>
              </w:rPr>
              <w:t>GB50016-2014</w:t>
            </w:r>
            <w:r>
              <w:rPr>
                <w:rFonts w:hint="eastAsia" w:ascii="宋体" w:hAnsi="宋体" w:eastAsia="宋体"/>
                <w:color w:val="auto"/>
                <w:sz w:val="21"/>
                <w:szCs w:val="21"/>
                <w:lang w:eastAsia="zh-CN"/>
              </w:rPr>
              <w:t>，2018年版</w:t>
            </w:r>
            <w:r>
              <w:rPr>
                <w:rFonts w:ascii="宋体" w:hAnsi="宋体" w:eastAsia="宋体"/>
                <w:color w:val="auto"/>
                <w:sz w:val="21"/>
                <w:szCs w:val="21"/>
              </w:rPr>
              <w:t>)</w:t>
            </w:r>
            <w:r>
              <w:rPr>
                <w:rFonts w:hint="eastAsia" w:ascii="宋体" w:hAnsi="宋体" w:eastAsia="宋体"/>
                <w:color w:val="auto"/>
                <w:sz w:val="21"/>
                <w:szCs w:val="21"/>
                <w:lang w:eastAsia="zh-CN"/>
              </w:rPr>
              <w:t>，</w:t>
            </w:r>
            <w:r>
              <w:rPr>
                <w:rFonts w:ascii="宋体" w:hAnsi="宋体" w:eastAsia="宋体"/>
                <w:color w:val="auto"/>
                <w:sz w:val="21"/>
                <w:szCs w:val="21"/>
              </w:rPr>
              <w:t>标准值均取自</w:t>
            </w:r>
            <w:r>
              <w:rPr>
                <w:rFonts w:hint="eastAsia" w:ascii="宋体" w:hAnsi="宋体" w:eastAsia="宋体"/>
                <w:color w:val="auto"/>
                <w:sz w:val="21"/>
                <w:szCs w:val="21"/>
                <w:lang w:eastAsia="zh-CN"/>
              </w:rPr>
              <w:t>该规范</w:t>
            </w:r>
            <w:r>
              <w:rPr>
                <w:rFonts w:ascii="宋体" w:hAnsi="宋体" w:eastAsia="宋体"/>
                <w:color w:val="auto"/>
                <w:sz w:val="21"/>
                <w:szCs w:val="21"/>
              </w:rPr>
              <w:t>。</w:t>
            </w:r>
          </w:p>
          <w:p>
            <w:pPr>
              <w:spacing w:line="360" w:lineRule="exact"/>
              <w:jc w:val="both"/>
              <w:rPr>
                <w:rFonts w:ascii="宋体" w:hAnsi="宋体" w:eastAsia="宋体"/>
                <w:color w:val="auto"/>
                <w:sz w:val="21"/>
                <w:szCs w:val="21"/>
                <w:lang w:eastAsia="zh-CN"/>
              </w:rPr>
            </w:pPr>
            <w:r>
              <w:rPr>
                <w:rFonts w:ascii="宋体" w:hAnsi="宋体" w:eastAsia="宋体"/>
                <w:color w:val="auto"/>
                <w:sz w:val="21"/>
                <w:szCs w:val="21"/>
              </w:rPr>
              <w:t>结论：厂区内各建(构)筑物</w:t>
            </w:r>
            <w:r>
              <w:rPr>
                <w:rFonts w:hint="eastAsia" w:ascii="宋体" w:hAnsi="宋体" w:eastAsia="宋体"/>
                <w:color w:val="auto"/>
                <w:sz w:val="21"/>
                <w:szCs w:val="21"/>
                <w:lang w:eastAsia="zh-CN"/>
              </w:rPr>
              <w:t>与周边建（构）筑物</w:t>
            </w:r>
            <w:r>
              <w:rPr>
                <w:rFonts w:ascii="宋体" w:hAnsi="宋体" w:eastAsia="宋体"/>
                <w:color w:val="auto"/>
                <w:sz w:val="21"/>
                <w:szCs w:val="21"/>
              </w:rPr>
              <w:t>的防火间距满足</w:t>
            </w:r>
            <w:r>
              <w:rPr>
                <w:rFonts w:hint="eastAsia" w:ascii="宋体" w:hAnsi="宋体" w:eastAsia="宋体"/>
                <w:color w:val="auto"/>
                <w:sz w:val="21"/>
                <w:szCs w:val="21"/>
                <w:lang w:eastAsia="zh-CN"/>
              </w:rPr>
              <w:t>《建筑设计防火规范》</w:t>
            </w:r>
            <w:r>
              <w:rPr>
                <w:rFonts w:ascii="宋体" w:hAnsi="宋体" w:eastAsia="宋体"/>
                <w:color w:val="auto"/>
                <w:sz w:val="21"/>
                <w:szCs w:val="21"/>
              </w:rPr>
              <w:t>(</w:t>
            </w:r>
            <w:r>
              <w:rPr>
                <w:rFonts w:ascii="宋体" w:hAnsi="宋体" w:eastAsia="宋体"/>
                <w:color w:val="auto"/>
                <w:sz w:val="21"/>
                <w:szCs w:val="21"/>
                <w:lang w:eastAsia="zh-CN"/>
              </w:rPr>
              <w:t>GB50016-2014</w:t>
            </w:r>
            <w:r>
              <w:rPr>
                <w:rFonts w:hint="eastAsia" w:ascii="宋体" w:hAnsi="宋体" w:eastAsia="宋体"/>
                <w:color w:val="auto"/>
                <w:sz w:val="21"/>
                <w:szCs w:val="21"/>
                <w:lang w:eastAsia="zh-CN"/>
              </w:rPr>
              <w:t>，2018年版</w:t>
            </w:r>
            <w:r>
              <w:rPr>
                <w:rFonts w:ascii="宋体" w:hAnsi="宋体" w:eastAsia="宋体"/>
                <w:color w:val="auto"/>
                <w:sz w:val="21"/>
                <w:szCs w:val="21"/>
              </w:rPr>
              <w:t>)</w:t>
            </w:r>
            <w:r>
              <w:rPr>
                <w:rFonts w:hint="eastAsia" w:ascii="宋体" w:hAnsi="宋体" w:eastAsia="宋体"/>
                <w:color w:val="auto"/>
                <w:sz w:val="21"/>
                <w:szCs w:val="21"/>
                <w:lang w:eastAsia="zh-CN"/>
              </w:rPr>
              <w:t>、《公路安全保护条例》（国务院令第</w:t>
            </w:r>
            <w:r>
              <w:rPr>
                <w:rFonts w:hint="eastAsia" w:ascii="宋体" w:hAnsi="宋体" w:eastAsia="宋体"/>
                <w:color w:val="auto"/>
                <w:sz w:val="21"/>
                <w:szCs w:val="21"/>
                <w:lang w:val="en-US" w:eastAsia="zh-CN"/>
              </w:rPr>
              <w:t>593号</w:t>
            </w:r>
            <w:r>
              <w:rPr>
                <w:rFonts w:hint="eastAsia" w:ascii="宋体" w:hAnsi="宋体" w:eastAsia="宋体"/>
                <w:color w:val="auto"/>
                <w:sz w:val="21"/>
                <w:szCs w:val="21"/>
                <w:lang w:eastAsia="zh-CN"/>
              </w:rPr>
              <w:t>）等</w:t>
            </w:r>
            <w:r>
              <w:rPr>
                <w:rFonts w:ascii="宋体" w:hAnsi="宋体" w:eastAsia="宋体"/>
                <w:color w:val="auto"/>
                <w:sz w:val="21"/>
                <w:szCs w:val="21"/>
              </w:rPr>
              <w:t>规范要求。</w:t>
            </w:r>
          </w:p>
        </w:tc>
      </w:tr>
    </w:tbl>
    <w:p>
      <w:pPr>
        <w:spacing w:line="560" w:lineRule="exact"/>
        <w:ind w:firstLine="425" w:firstLineChars="152"/>
        <w:rPr>
          <w:rFonts w:ascii="宋体" w:hAnsi="宋体" w:eastAsia="宋体"/>
          <w:color w:val="auto"/>
          <w:sz w:val="28"/>
          <w:szCs w:val="28"/>
          <w:lang w:eastAsia="zh-CN"/>
        </w:rPr>
      </w:pPr>
      <w:r>
        <w:rPr>
          <w:rFonts w:ascii="宋体" w:hAnsi="宋体" w:eastAsia="宋体"/>
          <w:color w:val="auto"/>
          <w:sz w:val="28"/>
          <w:szCs w:val="28"/>
          <w:lang w:eastAsia="zh-CN"/>
        </w:rPr>
        <w:t>该公司的东边是</w:t>
      </w:r>
      <w:r>
        <w:rPr>
          <w:rFonts w:hint="eastAsia" w:ascii="宋体" w:hAnsi="宋体" w:eastAsia="宋体"/>
          <w:color w:val="auto"/>
          <w:sz w:val="28"/>
          <w:szCs w:val="28"/>
          <w:lang w:eastAsia="zh-CN"/>
        </w:rPr>
        <w:t>兴隆纸厂</w:t>
      </w:r>
      <w:r>
        <w:rPr>
          <w:rFonts w:ascii="宋体" w:hAnsi="宋体" w:eastAsia="宋体"/>
          <w:color w:val="auto"/>
          <w:sz w:val="28"/>
          <w:szCs w:val="28"/>
          <w:lang w:eastAsia="zh-CN"/>
        </w:rPr>
        <w:t>，南边为</w:t>
      </w:r>
      <w:r>
        <w:rPr>
          <w:rFonts w:hint="eastAsia" w:ascii="宋体" w:hAnsi="宋体" w:eastAsia="宋体"/>
          <w:color w:val="auto"/>
          <w:sz w:val="28"/>
          <w:szCs w:val="28"/>
          <w:lang w:eastAsia="zh-CN"/>
        </w:rPr>
        <w:t>东莞美登人造革有限公司厂房</w:t>
      </w:r>
      <w:r>
        <w:rPr>
          <w:rFonts w:ascii="宋体" w:hAnsi="宋体" w:eastAsia="宋体"/>
          <w:color w:val="auto"/>
          <w:sz w:val="28"/>
          <w:szCs w:val="28"/>
          <w:lang w:eastAsia="zh-CN"/>
        </w:rPr>
        <w:t>，西边</w:t>
      </w:r>
      <w:r>
        <w:rPr>
          <w:rFonts w:hint="eastAsia" w:ascii="宋体" w:hAnsi="宋体" w:eastAsia="宋体"/>
          <w:color w:val="auto"/>
          <w:sz w:val="28"/>
          <w:szCs w:val="28"/>
          <w:lang w:eastAsia="zh-CN"/>
        </w:rPr>
        <w:t>围墙外</w:t>
      </w:r>
      <w:r>
        <w:rPr>
          <w:rFonts w:ascii="宋体" w:hAnsi="宋体" w:eastAsia="宋体"/>
          <w:color w:val="auto"/>
          <w:sz w:val="28"/>
          <w:szCs w:val="28"/>
          <w:lang w:eastAsia="zh-CN"/>
        </w:rPr>
        <w:t>为</w:t>
      </w:r>
      <w:r>
        <w:rPr>
          <w:rFonts w:hint="eastAsia" w:ascii="宋体" w:hAnsi="宋体" w:eastAsia="宋体"/>
          <w:color w:val="auto"/>
          <w:sz w:val="28"/>
          <w:szCs w:val="28"/>
          <w:lang w:eastAsia="zh-CN"/>
        </w:rPr>
        <w:t>工业区道路（现为5m宽的水泥小路，不做道路进行评价），道路西侧为中森木业有限公司</w:t>
      </w:r>
      <w:r>
        <w:rPr>
          <w:rFonts w:ascii="宋体" w:hAnsi="宋体" w:eastAsia="宋体"/>
          <w:color w:val="auto"/>
          <w:sz w:val="28"/>
          <w:szCs w:val="28"/>
          <w:lang w:eastAsia="zh-CN"/>
        </w:rPr>
        <w:t>，北边</w:t>
      </w:r>
      <w:r>
        <w:rPr>
          <w:rFonts w:hint="eastAsia" w:ascii="宋体" w:hAnsi="宋体" w:eastAsia="宋体"/>
          <w:color w:val="auto"/>
          <w:sz w:val="28"/>
          <w:szCs w:val="28"/>
          <w:lang w:eastAsia="zh-CN"/>
        </w:rPr>
        <w:t>围墙外为明川胶袋厂。该公司与周边建（构）筑物的安全距离符合</w:t>
      </w:r>
      <w:r>
        <w:rPr>
          <w:rFonts w:ascii="宋体" w:hAnsi="宋体" w:eastAsia="宋体"/>
          <w:color w:val="auto"/>
          <w:sz w:val="28"/>
          <w:szCs w:val="28"/>
          <w:lang w:eastAsia="zh-CN"/>
        </w:rPr>
        <w:t>《建筑设计防火规范</w:t>
      </w:r>
      <w:r>
        <w:rPr>
          <w:rFonts w:hint="eastAsia" w:ascii="宋体" w:hAnsi="宋体" w:eastAsia="宋体"/>
          <w:color w:val="auto"/>
          <w:sz w:val="28"/>
          <w:szCs w:val="28"/>
          <w:lang w:eastAsia="zh-CN"/>
        </w:rPr>
        <w:t>（2018年版）</w:t>
      </w:r>
      <w:r>
        <w:rPr>
          <w:rFonts w:ascii="宋体" w:hAnsi="宋体" w:eastAsia="宋体"/>
          <w:color w:val="auto"/>
          <w:sz w:val="28"/>
          <w:szCs w:val="28"/>
          <w:lang w:eastAsia="zh-CN"/>
        </w:rPr>
        <w:t>》(GB50016-2014)</w:t>
      </w:r>
      <w:r>
        <w:rPr>
          <w:rFonts w:hint="eastAsia" w:ascii="宋体" w:hAnsi="宋体" w:eastAsia="宋体"/>
          <w:color w:val="auto"/>
          <w:sz w:val="28"/>
          <w:szCs w:val="28"/>
          <w:lang w:eastAsia="zh-CN"/>
        </w:rPr>
        <w:t>相关</w:t>
      </w:r>
      <w:r>
        <w:rPr>
          <w:rFonts w:ascii="宋体" w:hAnsi="宋体" w:eastAsia="宋体"/>
          <w:color w:val="auto"/>
          <w:sz w:val="28"/>
          <w:szCs w:val="28"/>
          <w:lang w:eastAsia="zh-CN"/>
        </w:rPr>
        <w:t>规定。</w:t>
      </w:r>
    </w:p>
    <w:p>
      <w:pPr>
        <w:spacing w:line="560" w:lineRule="exact"/>
        <w:ind w:firstLine="425" w:firstLineChars="152"/>
        <w:jc w:val="both"/>
        <w:rPr>
          <w:rFonts w:ascii="宋体" w:hAnsi="宋体" w:eastAsia="宋体"/>
          <w:color w:val="auto"/>
          <w:sz w:val="28"/>
          <w:szCs w:val="28"/>
          <w:lang w:eastAsia="zh-CN"/>
        </w:rPr>
      </w:pPr>
      <w:r>
        <w:rPr>
          <w:rFonts w:hint="eastAsia" w:ascii="宋体" w:hAnsi="宋体" w:eastAsia="宋体"/>
          <w:color w:val="auto"/>
          <w:sz w:val="28"/>
          <w:szCs w:val="28"/>
          <w:lang w:val="en-US" w:eastAsia="zh-CN"/>
        </w:rPr>
        <w:t>该公司甲类仓库与最近的公路（万金沙路）距离250m，200m内无公路渡口、中型以上公路桥梁、公路隧道，符合《公路安全保护条例》（国务院令第593号）。</w:t>
      </w:r>
    </w:p>
    <w:p>
      <w:pPr>
        <w:spacing w:line="560" w:lineRule="exact"/>
        <w:jc w:val="both"/>
        <w:outlineLvl w:val="2"/>
        <w:rPr>
          <w:rFonts w:ascii="宋体" w:hAnsi="宋体" w:eastAsia="宋体" w:cs="Times New Roman"/>
          <w:bCs/>
          <w:color w:val="auto"/>
          <w:kern w:val="2"/>
          <w:sz w:val="28"/>
          <w:szCs w:val="28"/>
          <w:lang w:val="en-US" w:eastAsia="zh-CN" w:bidi="ar-SA"/>
        </w:rPr>
      </w:pPr>
      <w:r>
        <w:rPr>
          <w:rFonts w:ascii="宋体" w:hAnsi="宋体" w:eastAsia="宋体" w:cs="Times New Roman"/>
          <w:bCs/>
          <w:color w:val="auto"/>
          <w:kern w:val="2"/>
          <w:sz w:val="28"/>
          <w:szCs w:val="28"/>
          <w:lang w:val="en-US" w:eastAsia="zh-CN" w:bidi="ar-SA"/>
        </w:rPr>
        <w:t>2.1.4总平面布置</w:t>
      </w:r>
    </w:p>
    <w:p>
      <w:pPr>
        <w:spacing w:line="600" w:lineRule="exact"/>
        <w:ind w:firstLine="560" w:firstLineChars="200"/>
        <w:rPr>
          <w:rFonts w:ascii="宋体" w:hAnsi="宋体" w:eastAsia="宋体"/>
          <w:color w:val="auto"/>
          <w:sz w:val="28"/>
          <w:szCs w:val="28"/>
          <w:lang w:eastAsia="zh-CN"/>
        </w:rPr>
      </w:pPr>
      <w:r>
        <w:rPr>
          <w:rFonts w:hint="eastAsia" w:ascii="宋体" w:hAnsi="宋体" w:eastAsia="宋体"/>
          <w:color w:val="auto"/>
          <w:sz w:val="28"/>
          <w:szCs w:val="28"/>
        </w:rPr>
        <w:t>该公司按功能分为办公生活区和生产储存区。办公区为办公楼、宿舍楼、门卫室。厂区南面为办公生活区，北面为生产区。大门位于厂区西南角，从南向北依次为办公楼和宿舍</w:t>
      </w:r>
      <w:r>
        <w:rPr>
          <w:rFonts w:hint="eastAsia" w:ascii="宋体" w:hAnsi="宋体" w:eastAsia="宋体"/>
          <w:color w:val="auto"/>
          <w:sz w:val="28"/>
          <w:szCs w:val="28"/>
          <w:lang w:eastAsia="zh-CN"/>
        </w:rPr>
        <w:t>楼</w:t>
      </w:r>
      <w:r>
        <w:rPr>
          <w:rFonts w:hint="eastAsia" w:ascii="宋体" w:hAnsi="宋体" w:eastAsia="宋体"/>
          <w:color w:val="auto"/>
          <w:sz w:val="28"/>
          <w:szCs w:val="28"/>
        </w:rPr>
        <w:t>、甲类仓库、甲类车间、消防水池、配电房；在厂区东北角</w:t>
      </w:r>
      <w:r>
        <w:rPr>
          <w:rFonts w:hint="eastAsia" w:ascii="宋体" w:hAnsi="宋体" w:eastAsia="宋体"/>
          <w:color w:val="auto"/>
          <w:sz w:val="28"/>
          <w:szCs w:val="28"/>
          <w:lang w:eastAsia="zh-CN"/>
        </w:rPr>
        <w:t>设</w:t>
      </w:r>
      <w:r>
        <w:rPr>
          <w:rFonts w:hint="eastAsia" w:ascii="宋体" w:hAnsi="宋体" w:eastAsia="宋体"/>
          <w:color w:val="auto"/>
          <w:sz w:val="28"/>
          <w:szCs w:val="28"/>
        </w:rPr>
        <w:t>有应急池，作为紧急情况下使用。</w:t>
      </w:r>
      <w:r>
        <w:rPr>
          <w:rFonts w:hint="eastAsia" w:ascii="宋体" w:hAnsi="宋体" w:eastAsia="宋体"/>
          <w:color w:val="auto"/>
          <w:sz w:val="28"/>
          <w:szCs w:val="28"/>
          <w:lang w:eastAsia="zh-CN"/>
        </w:rPr>
        <w:t>除上述建筑外，厂区内其它建（构）筑屋全部停用。</w:t>
      </w:r>
    </w:p>
    <w:p>
      <w:pPr>
        <w:spacing w:line="600" w:lineRule="exact"/>
        <w:ind w:firstLine="560" w:firstLineChars="200"/>
        <w:jc w:val="both"/>
        <w:rPr>
          <w:rFonts w:ascii="宋体" w:hAnsi="宋体" w:eastAsia="宋体"/>
          <w:color w:val="auto"/>
          <w:sz w:val="28"/>
          <w:szCs w:val="28"/>
        </w:rPr>
      </w:pPr>
      <w:r>
        <w:rPr>
          <w:rFonts w:hint="eastAsia" w:ascii="宋体" w:hAnsi="宋体" w:eastAsia="宋体"/>
          <w:color w:val="auto"/>
          <w:sz w:val="28"/>
          <w:szCs w:val="28"/>
          <w:lang w:eastAsia="zh-CN"/>
        </w:rPr>
        <w:t>该公司</w:t>
      </w:r>
      <w:r>
        <w:rPr>
          <w:rFonts w:ascii="宋体" w:hAnsi="宋体" w:eastAsia="宋体"/>
          <w:color w:val="auto"/>
          <w:sz w:val="28"/>
          <w:szCs w:val="28"/>
        </w:rPr>
        <w:t>甲类仓库</w:t>
      </w:r>
      <w:r>
        <w:rPr>
          <w:rFonts w:hint="eastAsia" w:ascii="宋体" w:hAnsi="宋体" w:eastAsia="宋体"/>
          <w:color w:val="auto"/>
          <w:sz w:val="28"/>
          <w:szCs w:val="28"/>
          <w:lang w:eastAsia="zh-CN"/>
        </w:rPr>
        <w:t>为钢结构建筑，其承重结构及屋顶有防火涂层，耐火等级为Ⅱ级。仓库内采取全面通风，设有自动喷淋灭火系统和泡沫喷淋灭火系统，并按要求设置了可燃气体报警器。仓库出入口处设有慢坡以及人体除静电装置。仓库</w:t>
      </w:r>
      <w:r>
        <w:rPr>
          <w:rFonts w:ascii="宋体" w:hAnsi="宋体" w:eastAsia="宋体"/>
          <w:color w:val="auto"/>
          <w:sz w:val="28"/>
          <w:szCs w:val="28"/>
        </w:rPr>
        <w:t>用防火墙分为</w:t>
      </w:r>
      <w:r>
        <w:rPr>
          <w:rFonts w:hint="eastAsia" w:ascii="宋体" w:hAnsi="宋体" w:eastAsia="宋体"/>
          <w:color w:val="auto"/>
          <w:sz w:val="28"/>
          <w:szCs w:val="28"/>
          <w:lang w:eastAsia="zh-CN"/>
        </w:rPr>
        <w:t>甲类仓库1、甲类仓库2、甲类仓库3</w:t>
      </w:r>
      <w:r>
        <w:rPr>
          <w:rFonts w:ascii="宋体" w:hAnsi="宋体" w:eastAsia="宋体"/>
          <w:color w:val="auto"/>
          <w:sz w:val="28"/>
          <w:szCs w:val="28"/>
        </w:rPr>
        <w:t>三个防火分区，</w:t>
      </w:r>
      <w:r>
        <w:rPr>
          <w:rFonts w:hint="eastAsia" w:ascii="宋体" w:hAnsi="宋体" w:eastAsia="宋体"/>
          <w:color w:val="auto"/>
          <w:sz w:val="28"/>
          <w:szCs w:val="28"/>
          <w:lang w:eastAsia="zh-CN"/>
        </w:rPr>
        <w:t>甲类仓库1、3</w:t>
      </w:r>
      <w:r>
        <w:rPr>
          <w:rFonts w:ascii="宋体" w:hAnsi="宋体" w:eastAsia="宋体"/>
          <w:color w:val="auto"/>
          <w:sz w:val="28"/>
          <w:szCs w:val="28"/>
        </w:rPr>
        <w:t>面积约</w:t>
      </w:r>
      <w:r>
        <w:rPr>
          <w:rFonts w:hint="eastAsia" w:ascii="宋体" w:hAnsi="宋体" w:eastAsia="宋体"/>
          <w:color w:val="auto"/>
          <w:sz w:val="28"/>
          <w:szCs w:val="28"/>
          <w:lang w:eastAsia="zh-CN"/>
        </w:rPr>
        <w:t>540</w:t>
      </w:r>
      <w:r>
        <w:rPr>
          <w:rFonts w:ascii="宋体" w:hAnsi="宋体" w:eastAsia="宋体"/>
          <w:color w:val="auto"/>
          <w:sz w:val="28"/>
          <w:szCs w:val="28"/>
        </w:rPr>
        <w:t>㎡</w:t>
      </w:r>
      <w:r>
        <w:rPr>
          <w:rFonts w:hint="eastAsia" w:ascii="宋体" w:hAnsi="宋体" w:eastAsia="宋体"/>
          <w:color w:val="auto"/>
          <w:sz w:val="28"/>
          <w:szCs w:val="28"/>
        </w:rPr>
        <w:t>，</w:t>
      </w:r>
      <w:r>
        <w:rPr>
          <w:rFonts w:hint="eastAsia" w:ascii="宋体" w:hAnsi="宋体" w:eastAsia="宋体"/>
          <w:color w:val="auto"/>
          <w:sz w:val="28"/>
          <w:szCs w:val="28"/>
          <w:lang w:eastAsia="zh-CN"/>
        </w:rPr>
        <w:t>由于防火分区面积超出了《建筑设计防火规范（2018年版）》（GB50016-2014）的相关要求，企业划分了长20m、宽2m的空置区域不作物料存放；甲类仓库2面积约420m</w:t>
      </w:r>
      <w:r>
        <w:rPr>
          <w:rFonts w:hint="eastAsia" w:ascii="宋体" w:hAnsi="宋体" w:eastAsia="宋体"/>
          <w:color w:val="auto"/>
          <w:sz w:val="28"/>
          <w:szCs w:val="28"/>
          <w:vertAlign w:val="superscript"/>
          <w:lang w:eastAsia="zh-CN"/>
        </w:rPr>
        <w:t>2</w:t>
      </w:r>
      <w:r>
        <w:rPr>
          <w:rFonts w:ascii="宋体" w:hAnsi="宋体" w:eastAsia="宋体"/>
          <w:color w:val="auto"/>
          <w:sz w:val="28"/>
          <w:szCs w:val="28"/>
        </w:rPr>
        <w:t>。</w:t>
      </w:r>
      <w:r>
        <w:rPr>
          <w:rFonts w:hint="eastAsia" w:ascii="宋体" w:hAnsi="宋体" w:eastAsia="宋体"/>
          <w:color w:val="auto"/>
          <w:sz w:val="28"/>
          <w:szCs w:val="28"/>
          <w:lang w:eastAsia="zh-CN"/>
        </w:rPr>
        <w:t>仓库内配备有手提灭火器、推车式灭火器等消防器材。</w:t>
      </w:r>
      <w:r>
        <w:rPr>
          <w:rFonts w:ascii="宋体" w:hAnsi="宋体" w:eastAsia="宋体"/>
          <w:color w:val="auto"/>
          <w:sz w:val="28"/>
          <w:szCs w:val="28"/>
        </w:rPr>
        <w:t>根据《建筑设计防火规范</w:t>
      </w:r>
      <w:r>
        <w:rPr>
          <w:rFonts w:hint="eastAsia" w:ascii="宋体" w:hAnsi="宋体" w:eastAsia="宋体"/>
          <w:color w:val="auto"/>
          <w:sz w:val="28"/>
          <w:szCs w:val="28"/>
        </w:rPr>
        <w:t>(2018年版)</w:t>
      </w:r>
      <w:r>
        <w:rPr>
          <w:rFonts w:ascii="宋体" w:hAnsi="宋体" w:eastAsia="宋体"/>
          <w:color w:val="auto"/>
          <w:sz w:val="28"/>
          <w:szCs w:val="28"/>
        </w:rPr>
        <w:t>》(GB50016-2014)，</w:t>
      </w:r>
      <w:r>
        <w:rPr>
          <w:rFonts w:hint="eastAsia" w:ascii="宋体" w:hAnsi="宋体" w:eastAsia="宋体"/>
          <w:color w:val="auto"/>
          <w:sz w:val="28"/>
          <w:szCs w:val="28"/>
          <w:lang w:eastAsia="zh-CN"/>
        </w:rPr>
        <w:t>仓库</w:t>
      </w:r>
      <w:r>
        <w:rPr>
          <w:rFonts w:ascii="宋体" w:hAnsi="宋体" w:eastAsia="宋体"/>
          <w:color w:val="auto"/>
          <w:sz w:val="28"/>
          <w:szCs w:val="28"/>
        </w:rPr>
        <w:t>的耐火等级、建筑面积及层数满足要求。</w:t>
      </w:r>
    </w:p>
    <w:p>
      <w:pPr>
        <w:spacing w:line="600" w:lineRule="exact"/>
        <w:ind w:firstLine="560" w:firstLineChars="200"/>
        <w:jc w:val="both"/>
        <w:rPr>
          <w:rFonts w:ascii="宋体" w:hAnsi="宋体" w:eastAsia="宋体"/>
          <w:color w:val="auto"/>
          <w:sz w:val="28"/>
          <w:szCs w:val="28"/>
          <w:lang w:eastAsia="zh-CN"/>
        </w:rPr>
      </w:pPr>
      <w:r>
        <w:rPr>
          <w:rFonts w:hint="eastAsia" w:ascii="宋体" w:hAnsi="宋体" w:eastAsia="宋体"/>
          <w:color w:val="auto"/>
          <w:sz w:val="28"/>
          <w:szCs w:val="28"/>
          <w:lang w:eastAsia="zh-CN"/>
        </w:rPr>
        <w:t>该公司甲类生产车间为钢结构建筑，其承重结构及屋顶有防火涂层，耐火等级为Ⅱ级。车间内采取全面通风，并在生产设备上设置了局部机械排风。车间用防火墙分为生产1车间、生产2车间、实验室三个防火分区，生产1车间占地面积为980m</w:t>
      </w:r>
      <w:r>
        <w:rPr>
          <w:rFonts w:hint="eastAsia" w:ascii="宋体" w:hAnsi="宋体" w:eastAsia="宋体"/>
          <w:color w:val="auto"/>
          <w:sz w:val="28"/>
          <w:szCs w:val="28"/>
          <w:vertAlign w:val="superscript"/>
          <w:lang w:eastAsia="zh-CN"/>
        </w:rPr>
        <w:t>2</w:t>
      </w:r>
      <w:r>
        <w:rPr>
          <w:rFonts w:hint="eastAsia" w:ascii="宋体" w:hAnsi="宋体" w:eastAsia="宋体"/>
          <w:color w:val="auto"/>
          <w:sz w:val="28"/>
          <w:szCs w:val="28"/>
          <w:lang w:eastAsia="zh-CN"/>
        </w:rPr>
        <w:t>，生产2车间面积为280m</w:t>
      </w:r>
      <w:r>
        <w:rPr>
          <w:rFonts w:hint="eastAsia" w:ascii="宋体" w:hAnsi="宋体" w:eastAsia="宋体"/>
          <w:color w:val="auto"/>
          <w:sz w:val="28"/>
          <w:szCs w:val="28"/>
          <w:vertAlign w:val="superscript"/>
          <w:lang w:eastAsia="zh-CN"/>
        </w:rPr>
        <w:t>2</w:t>
      </w:r>
      <w:r>
        <w:rPr>
          <w:rFonts w:hint="eastAsia" w:ascii="宋体" w:hAnsi="宋体" w:eastAsia="宋体"/>
          <w:color w:val="auto"/>
          <w:sz w:val="28"/>
          <w:szCs w:val="28"/>
          <w:lang w:eastAsia="zh-CN"/>
        </w:rPr>
        <w:t>，实验室面积为240m</w:t>
      </w:r>
      <w:r>
        <w:rPr>
          <w:rFonts w:hint="eastAsia" w:ascii="宋体" w:hAnsi="宋体" w:eastAsia="宋体"/>
          <w:color w:val="auto"/>
          <w:sz w:val="28"/>
          <w:szCs w:val="28"/>
          <w:vertAlign w:val="superscript"/>
          <w:lang w:eastAsia="zh-CN"/>
        </w:rPr>
        <w:t>2</w:t>
      </w:r>
      <w:r>
        <w:rPr>
          <w:rFonts w:hint="eastAsia" w:ascii="宋体" w:hAnsi="宋体" w:eastAsia="宋体"/>
          <w:color w:val="auto"/>
          <w:sz w:val="28"/>
          <w:szCs w:val="28"/>
          <w:lang w:eastAsia="zh-CN"/>
        </w:rPr>
        <w:t>。车间内设有手提灭火器、推车式灭火器等消防器材，出入口处设有人体除静电装置。</w:t>
      </w:r>
      <w:r>
        <w:rPr>
          <w:rFonts w:ascii="宋体" w:hAnsi="宋体" w:eastAsia="宋体"/>
          <w:color w:val="auto"/>
          <w:sz w:val="28"/>
          <w:szCs w:val="28"/>
        </w:rPr>
        <w:t>根据《建筑设计防火规范</w:t>
      </w:r>
      <w:r>
        <w:rPr>
          <w:rFonts w:hint="eastAsia" w:ascii="宋体" w:hAnsi="宋体" w:eastAsia="宋体"/>
          <w:color w:val="auto"/>
          <w:sz w:val="28"/>
          <w:szCs w:val="28"/>
        </w:rPr>
        <w:t>(2018年版)</w:t>
      </w:r>
      <w:r>
        <w:rPr>
          <w:rFonts w:ascii="宋体" w:hAnsi="宋体" w:eastAsia="宋体"/>
          <w:color w:val="auto"/>
          <w:sz w:val="28"/>
          <w:szCs w:val="28"/>
        </w:rPr>
        <w:t>》(GB50016-2014)，</w:t>
      </w:r>
      <w:r>
        <w:rPr>
          <w:rFonts w:hint="eastAsia" w:ascii="宋体" w:hAnsi="宋体" w:eastAsia="宋体"/>
          <w:color w:val="auto"/>
          <w:sz w:val="28"/>
          <w:szCs w:val="28"/>
          <w:lang w:eastAsia="zh-CN"/>
        </w:rPr>
        <w:t>车间</w:t>
      </w:r>
      <w:r>
        <w:rPr>
          <w:rFonts w:ascii="宋体" w:hAnsi="宋体" w:eastAsia="宋体"/>
          <w:color w:val="auto"/>
          <w:sz w:val="28"/>
          <w:szCs w:val="28"/>
        </w:rPr>
        <w:t>的耐火等级、建筑面积及层数满足要求。</w:t>
      </w:r>
    </w:p>
    <w:p>
      <w:pPr>
        <w:spacing w:line="600" w:lineRule="exact"/>
        <w:ind w:firstLine="560" w:firstLineChars="200"/>
        <w:rPr>
          <w:rFonts w:ascii="宋体" w:hAnsi="宋体" w:eastAsia="宋体"/>
          <w:color w:val="auto"/>
          <w:sz w:val="28"/>
          <w:szCs w:val="28"/>
          <w:lang w:eastAsia="zh-CN"/>
        </w:rPr>
      </w:pPr>
      <w:r>
        <w:rPr>
          <w:rFonts w:hint="eastAsia" w:ascii="宋体" w:hAnsi="宋体" w:eastAsia="宋体"/>
          <w:color w:val="auto"/>
          <w:sz w:val="28"/>
          <w:szCs w:val="28"/>
        </w:rPr>
        <w:t>厂区道路根据平面规划和地势特点，采用混凝土路面。生产车间及仓库四周布置了环形消防道路，道路路面内边缘转弯半径大于6m，满足消防及交通要求。</w:t>
      </w:r>
    </w:p>
    <w:p>
      <w:pPr>
        <w:spacing w:line="560" w:lineRule="exact"/>
        <w:ind w:firstLine="425" w:firstLineChars="152"/>
        <w:rPr>
          <w:rFonts w:ascii="宋体" w:hAnsi="宋体" w:eastAsia="宋体"/>
          <w:color w:val="auto"/>
          <w:sz w:val="28"/>
          <w:szCs w:val="28"/>
          <w:lang w:eastAsia="zh-CN"/>
        </w:rPr>
      </w:pPr>
      <w:r>
        <w:rPr>
          <w:rFonts w:ascii="宋体" w:hAnsi="宋体" w:eastAsia="宋体"/>
          <w:color w:val="auto"/>
          <w:sz w:val="28"/>
          <w:szCs w:val="28"/>
          <w:lang w:eastAsia="zh-CN"/>
        </w:rPr>
        <w:t>厂区建、构筑物情况见表2-3；厂区内主要建(构)筑物之间的防火间距见表2-4。</w:t>
      </w:r>
    </w:p>
    <w:p>
      <w:pPr>
        <w:spacing w:line="560" w:lineRule="exact"/>
        <w:jc w:val="center"/>
        <w:rPr>
          <w:rFonts w:ascii="宋体" w:hAnsi="宋体" w:eastAsia="PMingLiU"/>
          <w:b/>
          <w:color w:val="auto"/>
        </w:rPr>
      </w:pPr>
      <w:r>
        <w:rPr>
          <w:rFonts w:ascii="宋体" w:hAnsi="宋体" w:eastAsia="宋体"/>
          <w:b/>
          <w:color w:val="auto"/>
        </w:rPr>
        <w:t>表2-3厂区建(构)筑物情况表</w:t>
      </w:r>
    </w:p>
    <w:tbl>
      <w:tblPr>
        <w:tblStyle w:val="4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
      <w:tblGrid>
        <w:gridCol w:w="1435"/>
        <w:gridCol w:w="1540"/>
        <w:gridCol w:w="1129"/>
        <w:gridCol w:w="703"/>
        <w:gridCol w:w="1273"/>
        <w:gridCol w:w="1134"/>
        <w:gridCol w:w="1160"/>
        <w:gridCol w:w="8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54" w:hRule="atLeast"/>
          <w:tblHeader/>
          <w:jc w:val="center"/>
        </w:trPr>
        <w:tc>
          <w:tcPr>
            <w:tcW w:w="1435" w:type="dxa"/>
            <w:shd w:val="clear" w:color="auto" w:fill="FFFFFF"/>
            <w:vAlign w:val="center"/>
          </w:tcPr>
          <w:p>
            <w:pPr>
              <w:spacing w:line="360" w:lineRule="exact"/>
              <w:jc w:val="center"/>
              <w:rPr>
                <w:rFonts w:ascii="宋体" w:hAnsi="宋体" w:eastAsia="宋体"/>
                <w:b/>
                <w:color w:val="auto"/>
                <w:sz w:val="21"/>
                <w:szCs w:val="21"/>
              </w:rPr>
            </w:pPr>
            <w:r>
              <w:rPr>
                <w:rFonts w:ascii="宋体" w:hAnsi="宋体" w:eastAsia="宋体"/>
                <w:b/>
                <w:color w:val="auto"/>
                <w:sz w:val="21"/>
                <w:szCs w:val="21"/>
              </w:rPr>
              <w:t>建筑物名称</w:t>
            </w:r>
          </w:p>
        </w:tc>
        <w:tc>
          <w:tcPr>
            <w:tcW w:w="1540" w:type="dxa"/>
            <w:shd w:val="clear" w:color="auto" w:fill="FFFFFF"/>
            <w:vAlign w:val="center"/>
          </w:tcPr>
          <w:p>
            <w:pPr>
              <w:spacing w:line="360" w:lineRule="exact"/>
              <w:jc w:val="center"/>
              <w:rPr>
                <w:rFonts w:ascii="宋体" w:hAnsi="宋体" w:eastAsia="宋体"/>
                <w:b/>
                <w:color w:val="auto"/>
                <w:sz w:val="21"/>
                <w:szCs w:val="21"/>
              </w:rPr>
            </w:pPr>
            <w:r>
              <w:rPr>
                <w:rFonts w:ascii="宋体" w:hAnsi="宋体" w:eastAsia="宋体"/>
                <w:b/>
                <w:color w:val="auto"/>
                <w:sz w:val="21"/>
                <w:szCs w:val="21"/>
              </w:rPr>
              <w:t>建筑而积</w:t>
            </w:r>
            <w:r>
              <w:rPr>
                <w:rFonts w:ascii="宋体" w:hAnsi="宋体" w:eastAsia="宋体"/>
                <w:b/>
                <w:color w:val="auto"/>
                <w:sz w:val="21"/>
                <w:szCs w:val="21"/>
                <w:lang w:eastAsia="en-US" w:bidi="en-US"/>
              </w:rPr>
              <w:t>(㎡)</w:t>
            </w:r>
          </w:p>
        </w:tc>
        <w:tc>
          <w:tcPr>
            <w:tcW w:w="1129" w:type="dxa"/>
            <w:shd w:val="clear" w:color="auto" w:fill="FFFFFF"/>
            <w:vAlign w:val="center"/>
          </w:tcPr>
          <w:p>
            <w:pPr>
              <w:spacing w:line="360" w:lineRule="exact"/>
              <w:jc w:val="center"/>
              <w:rPr>
                <w:rFonts w:ascii="宋体" w:hAnsi="宋体" w:eastAsia="宋体"/>
                <w:b/>
                <w:color w:val="auto"/>
                <w:sz w:val="21"/>
                <w:szCs w:val="21"/>
              </w:rPr>
            </w:pPr>
            <w:r>
              <w:rPr>
                <w:rFonts w:ascii="宋体" w:hAnsi="宋体" w:eastAsia="宋体"/>
                <w:b/>
                <w:color w:val="auto"/>
                <w:sz w:val="21"/>
                <w:szCs w:val="21"/>
              </w:rPr>
              <w:t>高度</w:t>
            </w:r>
            <w:r>
              <w:rPr>
                <w:rFonts w:ascii="宋体" w:hAnsi="宋体" w:eastAsia="宋体"/>
                <w:b/>
                <w:color w:val="auto"/>
                <w:sz w:val="21"/>
                <w:szCs w:val="21"/>
                <w:lang w:eastAsia="en-US" w:bidi="en-US"/>
              </w:rPr>
              <w:t>(m)</w:t>
            </w:r>
          </w:p>
        </w:tc>
        <w:tc>
          <w:tcPr>
            <w:tcW w:w="703" w:type="dxa"/>
            <w:shd w:val="clear" w:color="auto" w:fill="FFFFFF"/>
            <w:vAlign w:val="center"/>
          </w:tcPr>
          <w:p>
            <w:pPr>
              <w:spacing w:line="360" w:lineRule="exact"/>
              <w:jc w:val="center"/>
              <w:rPr>
                <w:rFonts w:ascii="宋体" w:hAnsi="宋体" w:eastAsia="宋体"/>
                <w:b/>
                <w:color w:val="auto"/>
                <w:sz w:val="21"/>
                <w:szCs w:val="21"/>
              </w:rPr>
            </w:pPr>
            <w:r>
              <w:rPr>
                <w:rFonts w:hint="eastAsia" w:ascii="宋体" w:hAnsi="宋体" w:eastAsia="宋体"/>
                <w:b/>
                <w:color w:val="auto"/>
                <w:sz w:val="21"/>
                <w:szCs w:val="21"/>
              </w:rPr>
              <w:t>层数</w:t>
            </w:r>
          </w:p>
        </w:tc>
        <w:tc>
          <w:tcPr>
            <w:tcW w:w="1273" w:type="dxa"/>
            <w:shd w:val="clear" w:color="auto" w:fill="FFFFFF"/>
            <w:vAlign w:val="center"/>
          </w:tcPr>
          <w:p>
            <w:pPr>
              <w:spacing w:line="360" w:lineRule="exact"/>
              <w:jc w:val="center"/>
              <w:rPr>
                <w:rFonts w:ascii="宋体" w:hAnsi="宋体" w:eastAsia="宋体"/>
                <w:b/>
                <w:color w:val="auto"/>
                <w:sz w:val="21"/>
                <w:szCs w:val="21"/>
              </w:rPr>
            </w:pPr>
            <w:r>
              <w:rPr>
                <w:rFonts w:ascii="宋体" w:hAnsi="宋体" w:eastAsia="宋体"/>
                <w:b/>
                <w:color w:val="auto"/>
                <w:sz w:val="21"/>
                <w:szCs w:val="21"/>
              </w:rPr>
              <w:t>建筑结构</w:t>
            </w:r>
          </w:p>
        </w:tc>
        <w:tc>
          <w:tcPr>
            <w:tcW w:w="1134" w:type="dxa"/>
            <w:shd w:val="clear" w:color="auto" w:fill="FFFFFF"/>
            <w:vAlign w:val="center"/>
          </w:tcPr>
          <w:p>
            <w:pPr>
              <w:spacing w:line="360" w:lineRule="exact"/>
              <w:jc w:val="center"/>
              <w:rPr>
                <w:rFonts w:ascii="宋体" w:hAnsi="宋体" w:eastAsia="宋体"/>
                <w:b/>
                <w:color w:val="auto"/>
                <w:sz w:val="21"/>
                <w:szCs w:val="21"/>
              </w:rPr>
            </w:pPr>
            <w:r>
              <w:rPr>
                <w:rFonts w:hint="eastAsia" w:ascii="宋体" w:hAnsi="宋体" w:eastAsia="宋体"/>
                <w:b/>
                <w:color w:val="auto"/>
                <w:sz w:val="21"/>
                <w:szCs w:val="21"/>
                <w:lang w:bidi="en-US"/>
              </w:rPr>
              <w:t>耐</w:t>
            </w:r>
            <w:r>
              <w:rPr>
                <w:rFonts w:ascii="宋体" w:hAnsi="宋体" w:eastAsia="宋体"/>
                <w:b/>
                <w:color w:val="auto"/>
                <w:sz w:val="21"/>
                <w:szCs w:val="21"/>
              </w:rPr>
              <w:t>火等级</w:t>
            </w:r>
          </w:p>
        </w:tc>
        <w:tc>
          <w:tcPr>
            <w:tcW w:w="1160" w:type="dxa"/>
            <w:shd w:val="clear" w:color="auto" w:fill="FFFFFF"/>
            <w:vAlign w:val="center"/>
          </w:tcPr>
          <w:p>
            <w:pPr>
              <w:spacing w:line="360" w:lineRule="exact"/>
              <w:jc w:val="center"/>
              <w:rPr>
                <w:rFonts w:ascii="宋体" w:hAnsi="宋体" w:eastAsia="宋体"/>
                <w:b/>
                <w:color w:val="auto"/>
                <w:sz w:val="21"/>
                <w:szCs w:val="21"/>
              </w:rPr>
            </w:pPr>
            <w:r>
              <w:rPr>
                <w:rFonts w:ascii="宋体" w:hAnsi="宋体" w:eastAsia="宋体"/>
                <w:b/>
                <w:color w:val="auto"/>
                <w:sz w:val="21"/>
                <w:szCs w:val="21"/>
              </w:rPr>
              <w:t>火灾危险性</w:t>
            </w:r>
          </w:p>
        </w:tc>
        <w:tc>
          <w:tcPr>
            <w:tcW w:w="824" w:type="dxa"/>
            <w:shd w:val="clear" w:color="auto" w:fill="FFFFFF"/>
            <w:vAlign w:val="center"/>
          </w:tcPr>
          <w:p>
            <w:pPr>
              <w:spacing w:line="360" w:lineRule="exact"/>
              <w:jc w:val="center"/>
              <w:rPr>
                <w:rFonts w:ascii="宋体" w:hAnsi="宋体" w:eastAsia="宋体"/>
                <w:b/>
                <w:color w:val="auto"/>
                <w:sz w:val="21"/>
                <w:szCs w:val="21"/>
                <w:lang w:eastAsia="zh-CN"/>
              </w:rPr>
            </w:pPr>
            <w:r>
              <w:rPr>
                <w:rFonts w:hint="eastAsia" w:ascii="宋体" w:hAnsi="宋体" w:eastAsia="宋体"/>
                <w:b/>
                <w:color w:val="auto"/>
                <w:sz w:val="21"/>
                <w:szCs w:val="21"/>
                <w:lang w:eastAsia="zh-CN"/>
              </w:rPr>
              <w:t>用途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54" w:hRule="atLeast"/>
          <w:jc w:val="center"/>
        </w:trPr>
        <w:tc>
          <w:tcPr>
            <w:tcW w:w="1435"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rPr>
              <w:t>生产车间</w:t>
            </w:r>
          </w:p>
        </w:tc>
        <w:tc>
          <w:tcPr>
            <w:tcW w:w="1540" w:type="dxa"/>
            <w:shd w:val="clear" w:color="auto" w:fill="FFFFFF"/>
            <w:vAlign w:val="center"/>
          </w:tcPr>
          <w:p>
            <w:pPr>
              <w:jc w:val="center"/>
              <w:rPr>
                <w:rFonts w:ascii="宋体" w:hAnsi="宋体" w:eastAsia="宋体"/>
                <w:color w:val="auto"/>
                <w:sz w:val="21"/>
                <w:szCs w:val="21"/>
              </w:rPr>
            </w:pPr>
            <w:r>
              <w:rPr>
                <w:rFonts w:ascii="宋体" w:hAnsi="宋体" w:eastAsia="宋体"/>
                <w:color w:val="auto"/>
                <w:sz w:val="21"/>
                <w:szCs w:val="21"/>
              </w:rPr>
              <w:t>1500</w:t>
            </w:r>
          </w:p>
        </w:tc>
        <w:tc>
          <w:tcPr>
            <w:tcW w:w="1129" w:type="dxa"/>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bidi="en-US"/>
              </w:rPr>
              <w:t>9.15</w:t>
            </w:r>
          </w:p>
        </w:tc>
        <w:tc>
          <w:tcPr>
            <w:tcW w:w="703" w:type="dxa"/>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lang w:eastAsia="en-US" w:bidi="en-US"/>
              </w:rPr>
              <w:t>1</w:t>
            </w:r>
          </w:p>
        </w:tc>
        <w:tc>
          <w:tcPr>
            <w:tcW w:w="1273"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rPr>
              <w:t>钢架结构</w:t>
            </w:r>
          </w:p>
        </w:tc>
        <w:tc>
          <w:tcPr>
            <w:tcW w:w="1134" w:type="dxa"/>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二级</w:t>
            </w:r>
          </w:p>
        </w:tc>
        <w:tc>
          <w:tcPr>
            <w:tcW w:w="1160" w:type="dxa"/>
            <w:shd w:val="clear" w:color="auto" w:fill="FFFFFF"/>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lang w:bidi="en-US"/>
              </w:rPr>
              <w:t>甲类</w:t>
            </w:r>
          </w:p>
        </w:tc>
        <w:tc>
          <w:tcPr>
            <w:tcW w:w="824" w:type="dxa"/>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产品生产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54" w:hRule="atLeast"/>
          <w:jc w:val="center"/>
        </w:trPr>
        <w:tc>
          <w:tcPr>
            <w:tcW w:w="1435"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rPr>
              <w:t>甲类仓库</w:t>
            </w:r>
          </w:p>
        </w:tc>
        <w:tc>
          <w:tcPr>
            <w:tcW w:w="1540" w:type="dxa"/>
            <w:shd w:val="clear" w:color="auto" w:fill="FFFFFF"/>
            <w:vAlign w:val="center"/>
          </w:tcPr>
          <w:p>
            <w:pPr>
              <w:jc w:val="center"/>
              <w:rPr>
                <w:rFonts w:ascii="宋体" w:hAnsi="宋体" w:eastAsia="宋体"/>
                <w:color w:val="auto"/>
                <w:sz w:val="21"/>
                <w:szCs w:val="21"/>
              </w:rPr>
            </w:pPr>
            <w:r>
              <w:rPr>
                <w:rFonts w:ascii="宋体" w:hAnsi="宋体" w:eastAsia="宋体"/>
                <w:color w:val="auto"/>
                <w:sz w:val="21"/>
                <w:szCs w:val="21"/>
              </w:rPr>
              <w:t>1500</w:t>
            </w:r>
          </w:p>
        </w:tc>
        <w:tc>
          <w:tcPr>
            <w:tcW w:w="1129" w:type="dxa"/>
            <w:shd w:val="clear" w:color="auto" w:fill="FFFFFF"/>
            <w:vAlign w:val="center"/>
          </w:tcPr>
          <w:p>
            <w:pPr>
              <w:spacing w:line="360" w:lineRule="exact"/>
              <w:jc w:val="center"/>
              <w:rPr>
                <w:rFonts w:ascii="宋体" w:hAnsi="宋体" w:eastAsia="宋体"/>
                <w:color w:val="auto"/>
                <w:sz w:val="21"/>
                <w:szCs w:val="21"/>
                <w:lang w:eastAsia="zh-CN"/>
              </w:rPr>
            </w:pPr>
            <w:r>
              <w:rPr>
                <w:rFonts w:ascii="宋体" w:hAnsi="宋体" w:eastAsia="宋体"/>
                <w:color w:val="auto"/>
                <w:sz w:val="21"/>
                <w:szCs w:val="21"/>
                <w:lang w:eastAsia="en-US" w:bidi="en-US"/>
              </w:rPr>
              <w:t>9.15</w:t>
            </w:r>
          </w:p>
        </w:tc>
        <w:tc>
          <w:tcPr>
            <w:tcW w:w="703" w:type="dxa"/>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lang w:eastAsia="en-US" w:bidi="en-US"/>
              </w:rPr>
              <w:t>1</w:t>
            </w:r>
          </w:p>
        </w:tc>
        <w:tc>
          <w:tcPr>
            <w:tcW w:w="1273"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rPr>
              <w:t>钢架结构</w:t>
            </w:r>
          </w:p>
        </w:tc>
        <w:tc>
          <w:tcPr>
            <w:tcW w:w="1134" w:type="dxa"/>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二级</w:t>
            </w:r>
          </w:p>
        </w:tc>
        <w:tc>
          <w:tcPr>
            <w:tcW w:w="1160" w:type="dxa"/>
            <w:shd w:val="clear" w:color="auto" w:fill="FFFFFF"/>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lang w:bidi="en-US"/>
              </w:rPr>
              <w:t>甲类</w:t>
            </w:r>
          </w:p>
        </w:tc>
        <w:tc>
          <w:tcPr>
            <w:tcW w:w="824" w:type="dxa"/>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原料及产品储存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54" w:hRule="atLeast"/>
          <w:jc w:val="center"/>
        </w:trPr>
        <w:tc>
          <w:tcPr>
            <w:tcW w:w="1435"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lang w:eastAsia="zh-CN"/>
              </w:rPr>
              <w:t>配</w:t>
            </w:r>
            <w:r>
              <w:rPr>
                <w:rFonts w:hint="eastAsia" w:ascii="宋体" w:hAnsi="宋体" w:eastAsia="宋体"/>
                <w:color w:val="auto"/>
                <w:sz w:val="21"/>
                <w:szCs w:val="21"/>
              </w:rPr>
              <w:t>电房</w:t>
            </w:r>
          </w:p>
        </w:tc>
        <w:tc>
          <w:tcPr>
            <w:tcW w:w="1540" w:type="dxa"/>
            <w:shd w:val="clear" w:color="auto" w:fill="FFFFFF"/>
            <w:vAlign w:val="center"/>
          </w:tcPr>
          <w:p>
            <w:pPr>
              <w:jc w:val="center"/>
              <w:rPr>
                <w:rFonts w:ascii="宋体" w:hAnsi="宋体" w:eastAsia="宋体"/>
                <w:color w:val="auto"/>
                <w:sz w:val="21"/>
                <w:szCs w:val="21"/>
              </w:rPr>
            </w:pPr>
            <w:r>
              <w:rPr>
                <w:rFonts w:ascii="宋体" w:hAnsi="宋体" w:eastAsia="宋体"/>
                <w:color w:val="auto"/>
                <w:sz w:val="21"/>
                <w:szCs w:val="21"/>
              </w:rPr>
              <w:t>160</w:t>
            </w:r>
          </w:p>
        </w:tc>
        <w:tc>
          <w:tcPr>
            <w:tcW w:w="1129" w:type="dxa"/>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4</w:t>
            </w:r>
          </w:p>
        </w:tc>
        <w:tc>
          <w:tcPr>
            <w:tcW w:w="703" w:type="dxa"/>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lang w:eastAsia="en-US" w:bidi="en-US"/>
              </w:rPr>
              <w:t>1</w:t>
            </w:r>
          </w:p>
        </w:tc>
        <w:tc>
          <w:tcPr>
            <w:tcW w:w="1273" w:type="dxa"/>
            <w:shd w:val="clear" w:color="auto" w:fill="FFFFFF"/>
            <w:vAlign w:val="center"/>
          </w:tcPr>
          <w:p>
            <w:pPr>
              <w:jc w:val="center"/>
              <w:rPr>
                <w:rFonts w:ascii="宋体" w:hAnsi="宋体" w:eastAsia="宋体"/>
                <w:color w:val="auto"/>
                <w:sz w:val="21"/>
                <w:szCs w:val="21"/>
              </w:rPr>
            </w:pPr>
            <w:r>
              <w:rPr>
                <w:rFonts w:hint="eastAsia" w:ascii="宋体" w:hAnsi="宋体" w:eastAsia="宋体" w:cs="Arial"/>
                <w:color w:val="auto"/>
                <w:sz w:val="21"/>
                <w:szCs w:val="21"/>
                <w:shd w:val="clear" w:color="auto" w:fill="FFFFFF"/>
              </w:rPr>
              <w:t>钢筋混凝土</w:t>
            </w:r>
          </w:p>
        </w:tc>
        <w:tc>
          <w:tcPr>
            <w:tcW w:w="1134" w:type="dxa"/>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二级</w:t>
            </w:r>
          </w:p>
        </w:tc>
        <w:tc>
          <w:tcPr>
            <w:tcW w:w="1160" w:type="dxa"/>
            <w:shd w:val="clear" w:color="auto" w:fill="FFFFFF"/>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lang w:eastAsia="zh-CN" w:bidi="en-US"/>
              </w:rPr>
              <w:t>丁</w:t>
            </w:r>
            <w:r>
              <w:rPr>
                <w:rFonts w:hint="eastAsia" w:ascii="宋体" w:hAnsi="宋体" w:eastAsia="宋体"/>
                <w:color w:val="auto"/>
                <w:sz w:val="21"/>
                <w:szCs w:val="21"/>
                <w:lang w:bidi="en-US"/>
              </w:rPr>
              <w:t>类</w:t>
            </w:r>
          </w:p>
        </w:tc>
        <w:tc>
          <w:tcPr>
            <w:tcW w:w="824" w:type="dxa"/>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动力供应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54" w:hRule="atLeast"/>
          <w:jc w:val="center"/>
        </w:trPr>
        <w:tc>
          <w:tcPr>
            <w:tcW w:w="1435" w:type="dxa"/>
            <w:shd w:val="clear" w:color="auto" w:fill="FFFFFF"/>
            <w:vAlign w:val="center"/>
          </w:tcPr>
          <w:p>
            <w:pPr>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办公楼</w:t>
            </w:r>
          </w:p>
        </w:tc>
        <w:tc>
          <w:tcPr>
            <w:tcW w:w="1540" w:type="dxa"/>
            <w:shd w:val="clear" w:color="auto" w:fill="FFFFFF"/>
            <w:vAlign w:val="center"/>
          </w:tcPr>
          <w:p>
            <w:pPr>
              <w:jc w:val="center"/>
              <w:rPr>
                <w:rFonts w:ascii="宋体" w:hAnsi="宋体" w:eastAsia="宋体"/>
                <w:color w:val="auto"/>
                <w:sz w:val="21"/>
                <w:szCs w:val="21"/>
              </w:rPr>
            </w:pPr>
            <w:r>
              <w:rPr>
                <w:rFonts w:ascii="宋体" w:hAnsi="宋体" w:eastAsia="宋体"/>
                <w:color w:val="auto"/>
                <w:sz w:val="21"/>
                <w:szCs w:val="21"/>
              </w:rPr>
              <w:t>900</w:t>
            </w:r>
          </w:p>
        </w:tc>
        <w:tc>
          <w:tcPr>
            <w:tcW w:w="1129" w:type="dxa"/>
            <w:shd w:val="clear" w:color="auto" w:fill="FFFFFF"/>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lang w:eastAsia="zh-CN" w:bidi="en-US"/>
              </w:rPr>
              <w:t>9.5</w:t>
            </w:r>
            <w:r>
              <w:rPr>
                <w:rFonts w:ascii="宋体" w:hAnsi="宋体" w:eastAsia="宋体"/>
                <w:color w:val="auto"/>
                <w:sz w:val="21"/>
                <w:szCs w:val="21"/>
              </w:rPr>
              <w:t>1</w:t>
            </w:r>
          </w:p>
        </w:tc>
        <w:tc>
          <w:tcPr>
            <w:tcW w:w="703" w:type="dxa"/>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bidi="en-US"/>
              </w:rPr>
              <w:t>2</w:t>
            </w:r>
          </w:p>
        </w:tc>
        <w:tc>
          <w:tcPr>
            <w:tcW w:w="1273"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rPr>
              <w:t>钢架结构</w:t>
            </w:r>
          </w:p>
        </w:tc>
        <w:tc>
          <w:tcPr>
            <w:tcW w:w="1134" w:type="dxa"/>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二级</w:t>
            </w:r>
          </w:p>
        </w:tc>
        <w:tc>
          <w:tcPr>
            <w:tcW w:w="1160" w:type="dxa"/>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bidi="en-US"/>
              </w:rPr>
              <w:t>民建</w:t>
            </w:r>
          </w:p>
        </w:tc>
        <w:tc>
          <w:tcPr>
            <w:tcW w:w="824" w:type="dxa"/>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办公场所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54" w:hRule="atLeast"/>
          <w:jc w:val="center"/>
        </w:trPr>
        <w:tc>
          <w:tcPr>
            <w:tcW w:w="1435" w:type="dxa"/>
            <w:shd w:val="clear" w:color="auto" w:fill="FFFFFF"/>
            <w:vAlign w:val="center"/>
          </w:tcPr>
          <w:p>
            <w:pPr>
              <w:jc w:val="center"/>
              <w:rPr>
                <w:rFonts w:ascii="宋体" w:hAnsi="宋体" w:eastAsia="宋体"/>
                <w:color w:val="auto"/>
                <w:sz w:val="21"/>
                <w:szCs w:val="21"/>
                <w:lang w:eastAsia="zh-CN"/>
              </w:rPr>
            </w:pPr>
            <w:r>
              <w:rPr>
                <w:rFonts w:hint="eastAsia" w:ascii="宋体" w:hAnsi="宋体" w:eastAsia="宋体"/>
                <w:color w:val="auto"/>
                <w:sz w:val="21"/>
                <w:szCs w:val="21"/>
              </w:rPr>
              <w:t>宿舍</w:t>
            </w:r>
            <w:r>
              <w:rPr>
                <w:rFonts w:hint="eastAsia" w:ascii="宋体" w:hAnsi="宋体" w:eastAsia="宋体"/>
                <w:color w:val="auto"/>
                <w:sz w:val="21"/>
                <w:szCs w:val="21"/>
                <w:lang w:eastAsia="zh-CN"/>
              </w:rPr>
              <w:t>楼</w:t>
            </w:r>
          </w:p>
        </w:tc>
        <w:tc>
          <w:tcPr>
            <w:tcW w:w="1540" w:type="dxa"/>
            <w:shd w:val="clear" w:color="auto" w:fill="FFFFFF"/>
            <w:vAlign w:val="center"/>
          </w:tcPr>
          <w:p>
            <w:pPr>
              <w:jc w:val="center"/>
              <w:rPr>
                <w:rFonts w:ascii="宋体" w:hAnsi="宋体" w:eastAsia="宋体"/>
                <w:color w:val="auto"/>
                <w:sz w:val="21"/>
                <w:szCs w:val="21"/>
                <w:lang w:eastAsia="zh-CN"/>
              </w:rPr>
            </w:pPr>
            <w:r>
              <w:rPr>
                <w:rFonts w:ascii="宋体" w:hAnsi="宋体" w:eastAsia="宋体"/>
                <w:color w:val="auto"/>
                <w:sz w:val="21"/>
                <w:szCs w:val="21"/>
              </w:rPr>
              <w:t>18</w:t>
            </w:r>
            <w:r>
              <w:rPr>
                <w:rFonts w:hint="eastAsia" w:ascii="宋体" w:hAnsi="宋体" w:eastAsia="宋体"/>
                <w:color w:val="auto"/>
                <w:sz w:val="21"/>
                <w:szCs w:val="21"/>
                <w:lang w:eastAsia="zh-CN"/>
              </w:rPr>
              <w:t>00</w:t>
            </w:r>
          </w:p>
        </w:tc>
        <w:tc>
          <w:tcPr>
            <w:tcW w:w="1129" w:type="dxa"/>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bidi="en-US"/>
              </w:rPr>
              <w:t>18.2</w:t>
            </w:r>
          </w:p>
        </w:tc>
        <w:tc>
          <w:tcPr>
            <w:tcW w:w="703" w:type="dxa"/>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bidi="en-US"/>
              </w:rPr>
              <w:t>5</w:t>
            </w:r>
          </w:p>
        </w:tc>
        <w:tc>
          <w:tcPr>
            <w:tcW w:w="1273" w:type="dxa"/>
            <w:shd w:val="clear" w:color="auto" w:fill="FFFFFF"/>
            <w:vAlign w:val="center"/>
          </w:tcPr>
          <w:p>
            <w:pPr>
              <w:jc w:val="center"/>
              <w:rPr>
                <w:rFonts w:ascii="宋体" w:hAnsi="宋体" w:eastAsia="宋体"/>
                <w:color w:val="auto"/>
                <w:sz w:val="21"/>
                <w:szCs w:val="21"/>
              </w:rPr>
            </w:pPr>
            <w:r>
              <w:rPr>
                <w:rFonts w:hint="eastAsia" w:ascii="宋体" w:hAnsi="宋体" w:eastAsia="宋体" w:cs="Arial"/>
                <w:color w:val="auto"/>
                <w:sz w:val="21"/>
                <w:szCs w:val="21"/>
                <w:shd w:val="clear" w:color="auto" w:fill="FFFFFF"/>
              </w:rPr>
              <w:t>钢筋混凝土</w:t>
            </w:r>
          </w:p>
        </w:tc>
        <w:tc>
          <w:tcPr>
            <w:tcW w:w="1134" w:type="dxa"/>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二级</w:t>
            </w:r>
          </w:p>
        </w:tc>
        <w:tc>
          <w:tcPr>
            <w:tcW w:w="1160" w:type="dxa"/>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bidi="en-US"/>
              </w:rPr>
              <w:t>民建</w:t>
            </w:r>
          </w:p>
        </w:tc>
        <w:tc>
          <w:tcPr>
            <w:tcW w:w="824" w:type="dxa"/>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生活场所</w:t>
            </w:r>
          </w:p>
        </w:tc>
      </w:tr>
    </w:tbl>
    <w:p>
      <w:pPr>
        <w:spacing w:line="560" w:lineRule="exact"/>
        <w:jc w:val="center"/>
        <w:rPr>
          <w:rFonts w:ascii="宋体" w:hAnsi="宋体" w:eastAsia="宋体"/>
          <w:b/>
          <w:color w:val="auto"/>
        </w:rPr>
      </w:pPr>
      <w:r>
        <w:rPr>
          <w:rFonts w:ascii="宋体" w:hAnsi="宋体" w:eastAsia="宋体"/>
          <w:b/>
          <w:color w:val="auto"/>
        </w:rPr>
        <w:t>表2-4厂内各建(构)筑物间距一览表</w:t>
      </w:r>
    </w:p>
    <w:tbl>
      <w:tblPr>
        <w:tblStyle w:val="45"/>
        <w:tblW w:w="5000" w:type="pct"/>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 w:type="dxa"/>
          <w:bottom w:w="0" w:type="dxa"/>
          <w:right w:w="10" w:type="dxa"/>
        </w:tblCellMar>
      </w:tblPr>
      <w:tblGrid>
        <w:gridCol w:w="664"/>
        <w:gridCol w:w="832"/>
        <w:gridCol w:w="807"/>
        <w:gridCol w:w="1104"/>
        <w:gridCol w:w="851"/>
        <w:gridCol w:w="632"/>
        <w:gridCol w:w="715"/>
        <w:gridCol w:w="2874"/>
        <w:gridCol w:w="719"/>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tblHeader/>
          <w:jc w:val="center"/>
        </w:trPr>
        <w:tc>
          <w:tcPr>
            <w:tcW w:w="664" w:type="dxa"/>
            <w:vMerge w:val="restart"/>
            <w:shd w:val="clear" w:color="auto" w:fill="FFFFFF"/>
            <w:vAlign w:val="center"/>
          </w:tcPr>
          <w:p>
            <w:pPr>
              <w:spacing w:line="360" w:lineRule="exact"/>
              <w:jc w:val="center"/>
              <w:rPr>
                <w:rFonts w:ascii="宋体" w:hAnsi="宋体" w:eastAsia="宋体"/>
                <w:b/>
                <w:color w:val="auto"/>
                <w:sz w:val="21"/>
                <w:szCs w:val="21"/>
              </w:rPr>
            </w:pPr>
            <w:r>
              <w:rPr>
                <w:rFonts w:ascii="宋体" w:hAnsi="宋体" w:eastAsia="宋体"/>
                <w:b/>
                <w:color w:val="auto"/>
                <w:sz w:val="21"/>
                <w:szCs w:val="21"/>
              </w:rPr>
              <w:t>序号</w:t>
            </w:r>
          </w:p>
        </w:tc>
        <w:tc>
          <w:tcPr>
            <w:tcW w:w="1639" w:type="dxa"/>
            <w:gridSpan w:val="2"/>
            <w:shd w:val="clear" w:color="auto" w:fill="FFFFFF"/>
            <w:vAlign w:val="center"/>
          </w:tcPr>
          <w:p>
            <w:pPr>
              <w:spacing w:line="360" w:lineRule="exact"/>
              <w:jc w:val="center"/>
              <w:rPr>
                <w:rFonts w:ascii="宋体" w:hAnsi="宋体" w:eastAsia="宋体"/>
                <w:b/>
                <w:color w:val="auto"/>
                <w:sz w:val="21"/>
                <w:szCs w:val="21"/>
              </w:rPr>
            </w:pPr>
            <w:r>
              <w:rPr>
                <w:rFonts w:ascii="宋体" w:hAnsi="宋体" w:eastAsia="宋体"/>
                <w:b/>
                <w:color w:val="auto"/>
                <w:sz w:val="21"/>
                <w:szCs w:val="21"/>
              </w:rPr>
              <w:t>建筑物</w:t>
            </w:r>
          </w:p>
        </w:tc>
        <w:tc>
          <w:tcPr>
            <w:tcW w:w="1955" w:type="dxa"/>
            <w:gridSpan w:val="2"/>
            <w:shd w:val="clear" w:color="auto" w:fill="FFFFFF"/>
            <w:vAlign w:val="center"/>
          </w:tcPr>
          <w:p>
            <w:pPr>
              <w:spacing w:line="360" w:lineRule="exact"/>
              <w:jc w:val="center"/>
              <w:rPr>
                <w:rFonts w:ascii="宋体" w:hAnsi="宋体" w:eastAsia="宋体"/>
                <w:b/>
                <w:color w:val="auto"/>
                <w:sz w:val="21"/>
                <w:szCs w:val="21"/>
              </w:rPr>
            </w:pPr>
            <w:r>
              <w:rPr>
                <w:rFonts w:ascii="宋体" w:hAnsi="宋体" w:eastAsia="宋体"/>
                <w:b/>
                <w:color w:val="auto"/>
                <w:sz w:val="21"/>
                <w:szCs w:val="21"/>
              </w:rPr>
              <w:t>相邻建筑物</w:t>
            </w:r>
          </w:p>
        </w:tc>
        <w:tc>
          <w:tcPr>
            <w:tcW w:w="4221" w:type="dxa"/>
            <w:gridSpan w:val="3"/>
            <w:shd w:val="clear" w:color="auto" w:fill="FFFFFF"/>
            <w:vAlign w:val="center"/>
          </w:tcPr>
          <w:p>
            <w:pPr>
              <w:spacing w:line="360" w:lineRule="exact"/>
              <w:jc w:val="center"/>
              <w:rPr>
                <w:rFonts w:ascii="宋体" w:hAnsi="宋体" w:eastAsia="宋体"/>
                <w:b/>
                <w:color w:val="auto"/>
                <w:sz w:val="21"/>
                <w:szCs w:val="21"/>
              </w:rPr>
            </w:pPr>
            <w:r>
              <w:rPr>
                <w:rFonts w:ascii="宋体" w:hAnsi="宋体" w:eastAsia="宋体"/>
                <w:b/>
                <w:color w:val="auto"/>
                <w:sz w:val="21"/>
                <w:szCs w:val="21"/>
              </w:rPr>
              <w:t>防火间距</w:t>
            </w:r>
          </w:p>
        </w:tc>
        <w:tc>
          <w:tcPr>
            <w:tcW w:w="719" w:type="dxa"/>
            <w:vMerge w:val="restart"/>
            <w:shd w:val="clear" w:color="auto" w:fill="FFFFFF"/>
            <w:vAlign w:val="center"/>
          </w:tcPr>
          <w:p>
            <w:pPr>
              <w:spacing w:line="360" w:lineRule="exact"/>
              <w:jc w:val="center"/>
              <w:rPr>
                <w:rFonts w:ascii="宋体" w:hAnsi="宋体" w:eastAsia="宋体"/>
                <w:b/>
                <w:color w:val="auto"/>
                <w:sz w:val="21"/>
                <w:szCs w:val="21"/>
              </w:rPr>
            </w:pPr>
            <w:r>
              <w:rPr>
                <w:rFonts w:ascii="宋体" w:hAnsi="宋体" w:eastAsia="宋体"/>
                <w:b/>
                <w:color w:val="auto"/>
                <w:sz w:val="21"/>
                <w:szCs w:val="21"/>
              </w:rPr>
              <w:t>是否</w:t>
            </w:r>
          </w:p>
          <w:p>
            <w:pPr>
              <w:spacing w:line="360" w:lineRule="exact"/>
              <w:jc w:val="center"/>
              <w:rPr>
                <w:rFonts w:ascii="宋体" w:hAnsi="宋体" w:eastAsia="宋体"/>
                <w:b/>
                <w:color w:val="auto"/>
                <w:sz w:val="21"/>
                <w:szCs w:val="21"/>
              </w:rPr>
            </w:pPr>
            <w:r>
              <w:rPr>
                <w:rFonts w:ascii="宋体" w:hAnsi="宋体" w:eastAsia="宋体"/>
                <w:b/>
                <w:color w:val="auto"/>
                <w:sz w:val="21"/>
                <w:szCs w:val="21"/>
              </w:rPr>
              <w:t>达标</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tblHeader/>
          <w:jc w:val="center"/>
        </w:trPr>
        <w:tc>
          <w:tcPr>
            <w:tcW w:w="664" w:type="dxa"/>
            <w:vMerge w:val="continue"/>
            <w:shd w:val="clear" w:color="auto" w:fill="FFFFFF"/>
            <w:vAlign w:val="center"/>
          </w:tcPr>
          <w:p>
            <w:pPr>
              <w:spacing w:line="360" w:lineRule="exact"/>
              <w:jc w:val="center"/>
              <w:rPr>
                <w:rFonts w:ascii="宋体" w:hAnsi="宋体" w:eastAsia="宋体"/>
                <w:b/>
                <w:color w:val="auto"/>
                <w:sz w:val="21"/>
                <w:szCs w:val="21"/>
              </w:rPr>
            </w:pPr>
          </w:p>
        </w:tc>
        <w:tc>
          <w:tcPr>
            <w:tcW w:w="832" w:type="dxa"/>
            <w:shd w:val="clear" w:color="auto" w:fill="FFFFFF"/>
            <w:vAlign w:val="center"/>
          </w:tcPr>
          <w:p>
            <w:pPr>
              <w:spacing w:line="360" w:lineRule="exact"/>
              <w:jc w:val="center"/>
              <w:rPr>
                <w:rFonts w:ascii="宋体" w:hAnsi="宋体" w:eastAsia="宋体"/>
                <w:b/>
                <w:color w:val="auto"/>
                <w:sz w:val="21"/>
                <w:szCs w:val="21"/>
              </w:rPr>
            </w:pPr>
            <w:r>
              <w:rPr>
                <w:rFonts w:ascii="宋体" w:hAnsi="宋体" w:eastAsia="宋体"/>
                <w:b/>
                <w:color w:val="auto"/>
                <w:sz w:val="21"/>
                <w:szCs w:val="21"/>
              </w:rPr>
              <w:t>名称</w:t>
            </w:r>
          </w:p>
        </w:tc>
        <w:tc>
          <w:tcPr>
            <w:tcW w:w="807" w:type="dxa"/>
            <w:shd w:val="clear" w:color="auto" w:fill="FFFFFF"/>
            <w:vAlign w:val="center"/>
          </w:tcPr>
          <w:p>
            <w:pPr>
              <w:spacing w:line="360" w:lineRule="exact"/>
              <w:jc w:val="center"/>
              <w:rPr>
                <w:rFonts w:ascii="宋体" w:hAnsi="宋体" w:eastAsia="宋体"/>
                <w:b/>
                <w:color w:val="auto"/>
                <w:sz w:val="21"/>
                <w:szCs w:val="21"/>
              </w:rPr>
            </w:pPr>
            <w:r>
              <w:rPr>
                <w:rFonts w:ascii="宋体" w:hAnsi="宋体" w:eastAsia="宋体"/>
                <w:b/>
                <w:color w:val="auto"/>
                <w:sz w:val="21"/>
                <w:szCs w:val="21"/>
              </w:rPr>
              <w:t>火灾危险</w:t>
            </w:r>
          </w:p>
        </w:tc>
        <w:tc>
          <w:tcPr>
            <w:tcW w:w="1104" w:type="dxa"/>
            <w:shd w:val="clear" w:color="auto" w:fill="FFFFFF"/>
            <w:vAlign w:val="center"/>
          </w:tcPr>
          <w:p>
            <w:pPr>
              <w:spacing w:line="360" w:lineRule="exact"/>
              <w:jc w:val="center"/>
              <w:rPr>
                <w:rFonts w:ascii="宋体" w:hAnsi="宋体" w:eastAsia="宋体"/>
                <w:b/>
                <w:color w:val="auto"/>
                <w:sz w:val="21"/>
                <w:szCs w:val="21"/>
              </w:rPr>
            </w:pPr>
            <w:r>
              <w:rPr>
                <w:rFonts w:ascii="宋体" w:hAnsi="宋体" w:eastAsia="宋体"/>
                <w:b/>
                <w:color w:val="auto"/>
                <w:sz w:val="21"/>
                <w:szCs w:val="21"/>
              </w:rPr>
              <w:t>名称</w:t>
            </w:r>
          </w:p>
        </w:tc>
        <w:tc>
          <w:tcPr>
            <w:tcW w:w="851" w:type="dxa"/>
            <w:shd w:val="clear" w:color="auto" w:fill="FFFFFF"/>
            <w:vAlign w:val="center"/>
          </w:tcPr>
          <w:p>
            <w:pPr>
              <w:spacing w:line="360" w:lineRule="exact"/>
              <w:jc w:val="center"/>
              <w:rPr>
                <w:rFonts w:ascii="宋体" w:hAnsi="宋体" w:eastAsia="宋体"/>
                <w:b/>
                <w:color w:val="auto"/>
                <w:sz w:val="21"/>
                <w:szCs w:val="21"/>
              </w:rPr>
            </w:pPr>
            <w:r>
              <w:rPr>
                <w:rFonts w:ascii="宋体" w:hAnsi="宋体" w:eastAsia="宋体"/>
                <w:b/>
                <w:color w:val="auto"/>
                <w:sz w:val="21"/>
                <w:szCs w:val="21"/>
              </w:rPr>
              <w:t>火灾危险</w:t>
            </w:r>
          </w:p>
        </w:tc>
        <w:tc>
          <w:tcPr>
            <w:tcW w:w="632" w:type="dxa"/>
            <w:shd w:val="clear" w:color="auto" w:fill="FFFFFF"/>
            <w:vAlign w:val="center"/>
          </w:tcPr>
          <w:p>
            <w:pPr>
              <w:spacing w:line="360" w:lineRule="exact"/>
              <w:jc w:val="center"/>
              <w:rPr>
                <w:rFonts w:ascii="宋体" w:hAnsi="宋体" w:eastAsia="宋体"/>
                <w:b/>
                <w:color w:val="auto"/>
                <w:sz w:val="21"/>
                <w:szCs w:val="21"/>
              </w:rPr>
            </w:pPr>
            <w:r>
              <w:rPr>
                <w:rFonts w:ascii="宋体" w:hAnsi="宋体" w:eastAsia="宋体"/>
                <w:b/>
                <w:color w:val="auto"/>
                <w:sz w:val="21"/>
                <w:szCs w:val="21"/>
              </w:rPr>
              <w:t>实测</w:t>
            </w:r>
          </w:p>
        </w:tc>
        <w:tc>
          <w:tcPr>
            <w:tcW w:w="715" w:type="dxa"/>
            <w:shd w:val="clear" w:color="auto" w:fill="FFFFFF"/>
            <w:vAlign w:val="center"/>
          </w:tcPr>
          <w:p>
            <w:pPr>
              <w:spacing w:line="360" w:lineRule="exact"/>
              <w:jc w:val="center"/>
              <w:rPr>
                <w:rFonts w:ascii="宋体" w:hAnsi="宋体" w:eastAsia="宋体"/>
                <w:b/>
                <w:color w:val="auto"/>
                <w:sz w:val="21"/>
                <w:szCs w:val="21"/>
              </w:rPr>
            </w:pPr>
            <w:r>
              <w:rPr>
                <w:rFonts w:ascii="宋体" w:hAnsi="宋体" w:eastAsia="宋体"/>
                <w:b/>
                <w:color w:val="auto"/>
                <w:sz w:val="21"/>
                <w:szCs w:val="21"/>
              </w:rPr>
              <w:t>标准</w:t>
            </w:r>
          </w:p>
        </w:tc>
        <w:tc>
          <w:tcPr>
            <w:tcW w:w="2874" w:type="dxa"/>
            <w:shd w:val="clear" w:color="auto" w:fill="FFFFFF"/>
            <w:vAlign w:val="center"/>
          </w:tcPr>
          <w:p>
            <w:pPr>
              <w:spacing w:line="360" w:lineRule="exact"/>
              <w:jc w:val="center"/>
              <w:rPr>
                <w:rFonts w:ascii="宋体" w:hAnsi="宋体" w:eastAsia="宋体"/>
                <w:b/>
                <w:color w:val="auto"/>
                <w:sz w:val="21"/>
                <w:szCs w:val="21"/>
              </w:rPr>
            </w:pPr>
            <w:r>
              <w:rPr>
                <w:rFonts w:ascii="宋体" w:hAnsi="宋体" w:eastAsia="宋体"/>
                <w:b/>
                <w:color w:val="auto"/>
                <w:sz w:val="21"/>
                <w:szCs w:val="21"/>
              </w:rPr>
              <w:t>依据</w:t>
            </w:r>
          </w:p>
        </w:tc>
        <w:tc>
          <w:tcPr>
            <w:tcW w:w="719" w:type="dxa"/>
            <w:vMerge w:val="continue"/>
            <w:shd w:val="clear" w:color="auto" w:fill="FFFFFF"/>
            <w:vAlign w:val="center"/>
          </w:tcPr>
          <w:p>
            <w:pPr>
              <w:spacing w:line="360" w:lineRule="exact"/>
              <w:jc w:val="center"/>
              <w:rPr>
                <w:rFonts w:ascii="宋体" w:hAnsi="宋体" w:eastAsia="宋体"/>
                <w:b/>
                <w:color w:val="auto"/>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475" w:hRule="atLeast"/>
          <w:jc w:val="center"/>
        </w:trPr>
        <w:tc>
          <w:tcPr>
            <w:tcW w:w="664" w:type="dxa"/>
            <w:vMerge w:val="restart"/>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1</w:t>
            </w:r>
          </w:p>
        </w:tc>
        <w:tc>
          <w:tcPr>
            <w:tcW w:w="832" w:type="dxa"/>
            <w:vMerge w:val="restart"/>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甲类</w:t>
            </w:r>
            <w:r>
              <w:rPr>
                <w:rFonts w:hint="eastAsia" w:ascii="宋体" w:hAnsi="宋体" w:eastAsia="宋体"/>
                <w:color w:val="auto"/>
                <w:sz w:val="21"/>
                <w:szCs w:val="21"/>
                <w:lang w:eastAsia="zh-CN"/>
              </w:rPr>
              <w:t>生产</w:t>
            </w:r>
            <w:r>
              <w:rPr>
                <w:rFonts w:ascii="宋体" w:hAnsi="宋体" w:eastAsia="宋体"/>
                <w:color w:val="auto"/>
                <w:sz w:val="21"/>
                <w:szCs w:val="21"/>
              </w:rPr>
              <w:t>车间</w:t>
            </w:r>
          </w:p>
        </w:tc>
        <w:tc>
          <w:tcPr>
            <w:tcW w:w="807" w:type="dxa"/>
            <w:vMerge w:val="restart"/>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甲</w:t>
            </w:r>
          </w:p>
        </w:tc>
        <w:tc>
          <w:tcPr>
            <w:tcW w:w="1104" w:type="dxa"/>
            <w:tcBorders>
              <w:bottom w:val="single" w:color="auto" w:sz="4" w:space="0"/>
            </w:tcBorders>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甲类仓库</w:t>
            </w:r>
          </w:p>
        </w:tc>
        <w:tc>
          <w:tcPr>
            <w:tcW w:w="851" w:type="dxa"/>
            <w:tcBorders>
              <w:bottom w:val="single" w:color="auto" w:sz="4" w:space="0"/>
            </w:tcBorders>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甲</w:t>
            </w:r>
          </w:p>
        </w:tc>
        <w:tc>
          <w:tcPr>
            <w:tcW w:w="632" w:type="dxa"/>
            <w:tcBorders>
              <w:bottom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15</w:t>
            </w:r>
          </w:p>
        </w:tc>
        <w:tc>
          <w:tcPr>
            <w:tcW w:w="715" w:type="dxa"/>
            <w:tcBorders>
              <w:bottom w:val="single" w:color="auto" w:sz="4" w:space="0"/>
            </w:tcBorders>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15</w:t>
            </w:r>
          </w:p>
        </w:tc>
        <w:tc>
          <w:tcPr>
            <w:tcW w:w="2874" w:type="dxa"/>
            <w:tcBorders>
              <w:bottom w:val="single" w:color="auto" w:sz="4" w:space="0"/>
            </w:tcBorders>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《建规》第3.5.1条</w:t>
            </w:r>
          </w:p>
        </w:tc>
        <w:tc>
          <w:tcPr>
            <w:tcW w:w="719" w:type="dxa"/>
            <w:tcBorders>
              <w:bottom w:val="single" w:color="auto" w:sz="4" w:space="0"/>
            </w:tcBorders>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是</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137" w:hRule="atLeast"/>
          <w:jc w:val="center"/>
        </w:trPr>
        <w:tc>
          <w:tcPr>
            <w:tcW w:w="664" w:type="dxa"/>
            <w:vMerge w:val="continue"/>
            <w:shd w:val="clear" w:color="auto" w:fill="FFFFFF"/>
            <w:vAlign w:val="center"/>
          </w:tcPr>
          <w:p>
            <w:pPr>
              <w:spacing w:line="360" w:lineRule="exact"/>
              <w:jc w:val="center"/>
              <w:rPr>
                <w:rFonts w:ascii="宋体" w:hAnsi="宋体" w:eastAsia="宋体"/>
                <w:color w:val="auto"/>
                <w:sz w:val="21"/>
                <w:szCs w:val="21"/>
              </w:rPr>
            </w:pPr>
          </w:p>
        </w:tc>
        <w:tc>
          <w:tcPr>
            <w:tcW w:w="832" w:type="dxa"/>
            <w:vMerge w:val="continue"/>
            <w:shd w:val="clear" w:color="auto" w:fill="FFFFFF"/>
            <w:vAlign w:val="center"/>
          </w:tcPr>
          <w:p>
            <w:pPr>
              <w:spacing w:line="360" w:lineRule="exact"/>
              <w:jc w:val="center"/>
              <w:rPr>
                <w:rFonts w:ascii="宋体" w:hAnsi="宋体" w:eastAsia="宋体"/>
                <w:color w:val="auto"/>
                <w:sz w:val="21"/>
                <w:szCs w:val="21"/>
              </w:rPr>
            </w:pPr>
          </w:p>
        </w:tc>
        <w:tc>
          <w:tcPr>
            <w:tcW w:w="807" w:type="dxa"/>
            <w:vMerge w:val="continue"/>
            <w:shd w:val="clear" w:color="auto" w:fill="FFFFFF"/>
            <w:vAlign w:val="center"/>
          </w:tcPr>
          <w:p>
            <w:pPr>
              <w:spacing w:line="360" w:lineRule="exact"/>
              <w:jc w:val="center"/>
              <w:rPr>
                <w:rFonts w:ascii="宋体" w:hAnsi="宋体" w:eastAsia="宋体"/>
                <w:color w:val="auto"/>
                <w:sz w:val="21"/>
                <w:szCs w:val="21"/>
                <w:lang w:eastAsia="zh-CN"/>
              </w:rPr>
            </w:pPr>
          </w:p>
        </w:tc>
        <w:tc>
          <w:tcPr>
            <w:tcW w:w="1104" w:type="dxa"/>
            <w:tcBorders>
              <w:top w:val="single" w:color="auto" w:sz="4" w:space="0"/>
              <w:bottom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办公楼</w:t>
            </w:r>
          </w:p>
        </w:tc>
        <w:tc>
          <w:tcPr>
            <w:tcW w:w="851" w:type="dxa"/>
            <w:tcBorders>
              <w:top w:val="single" w:color="auto" w:sz="4" w:space="0"/>
              <w:bottom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民建</w:t>
            </w:r>
          </w:p>
        </w:tc>
        <w:tc>
          <w:tcPr>
            <w:tcW w:w="632" w:type="dxa"/>
            <w:tcBorders>
              <w:top w:val="single" w:color="auto" w:sz="4" w:space="0"/>
              <w:bottom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70</w:t>
            </w:r>
          </w:p>
        </w:tc>
        <w:tc>
          <w:tcPr>
            <w:tcW w:w="715" w:type="dxa"/>
            <w:tcBorders>
              <w:top w:val="single" w:color="auto" w:sz="4" w:space="0"/>
              <w:bottom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25</w:t>
            </w:r>
          </w:p>
        </w:tc>
        <w:tc>
          <w:tcPr>
            <w:tcW w:w="2874" w:type="dxa"/>
            <w:tcBorders>
              <w:top w:val="single" w:color="auto" w:sz="4" w:space="0"/>
              <w:bottom w:val="single" w:color="auto" w:sz="4" w:space="0"/>
            </w:tcBorders>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《建规》第3.4.1条</w:t>
            </w:r>
          </w:p>
        </w:tc>
        <w:tc>
          <w:tcPr>
            <w:tcW w:w="719" w:type="dxa"/>
            <w:tcBorders>
              <w:top w:val="single" w:color="auto" w:sz="4" w:space="0"/>
              <w:bottom w:val="single" w:color="auto" w:sz="4" w:space="0"/>
            </w:tcBorders>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是</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237" w:hRule="atLeast"/>
          <w:jc w:val="center"/>
        </w:trPr>
        <w:tc>
          <w:tcPr>
            <w:tcW w:w="664" w:type="dxa"/>
            <w:vMerge w:val="continue"/>
            <w:shd w:val="clear" w:color="auto" w:fill="FFFFFF"/>
            <w:vAlign w:val="center"/>
          </w:tcPr>
          <w:p>
            <w:pPr>
              <w:spacing w:line="360" w:lineRule="exact"/>
              <w:jc w:val="center"/>
              <w:rPr>
                <w:rFonts w:ascii="宋体" w:hAnsi="宋体" w:eastAsia="宋体"/>
                <w:color w:val="auto"/>
                <w:sz w:val="21"/>
                <w:szCs w:val="21"/>
              </w:rPr>
            </w:pPr>
          </w:p>
        </w:tc>
        <w:tc>
          <w:tcPr>
            <w:tcW w:w="832" w:type="dxa"/>
            <w:vMerge w:val="continue"/>
            <w:shd w:val="clear" w:color="auto" w:fill="FFFFFF"/>
            <w:vAlign w:val="center"/>
          </w:tcPr>
          <w:p>
            <w:pPr>
              <w:spacing w:line="360" w:lineRule="exact"/>
              <w:jc w:val="center"/>
              <w:rPr>
                <w:rFonts w:ascii="宋体" w:hAnsi="宋体" w:eastAsia="宋体"/>
                <w:color w:val="auto"/>
                <w:sz w:val="21"/>
                <w:szCs w:val="21"/>
              </w:rPr>
            </w:pPr>
          </w:p>
        </w:tc>
        <w:tc>
          <w:tcPr>
            <w:tcW w:w="807" w:type="dxa"/>
            <w:vMerge w:val="continue"/>
            <w:shd w:val="clear" w:color="auto" w:fill="FFFFFF"/>
            <w:vAlign w:val="center"/>
          </w:tcPr>
          <w:p>
            <w:pPr>
              <w:spacing w:line="360" w:lineRule="exact"/>
              <w:jc w:val="center"/>
              <w:rPr>
                <w:rFonts w:ascii="宋体" w:hAnsi="宋体" w:eastAsia="宋体"/>
                <w:color w:val="auto"/>
                <w:sz w:val="21"/>
                <w:szCs w:val="21"/>
                <w:lang w:eastAsia="zh-CN"/>
              </w:rPr>
            </w:pPr>
          </w:p>
        </w:tc>
        <w:tc>
          <w:tcPr>
            <w:tcW w:w="1104" w:type="dxa"/>
            <w:tcBorders>
              <w:top w:val="single" w:color="auto" w:sz="4" w:space="0"/>
              <w:bottom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宿舍楼</w:t>
            </w:r>
          </w:p>
        </w:tc>
        <w:tc>
          <w:tcPr>
            <w:tcW w:w="851" w:type="dxa"/>
            <w:tcBorders>
              <w:top w:val="single" w:color="auto" w:sz="4" w:space="0"/>
              <w:bottom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民建</w:t>
            </w:r>
          </w:p>
        </w:tc>
        <w:tc>
          <w:tcPr>
            <w:tcW w:w="632" w:type="dxa"/>
            <w:tcBorders>
              <w:top w:val="single" w:color="auto" w:sz="4" w:space="0"/>
              <w:bottom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70</w:t>
            </w:r>
          </w:p>
        </w:tc>
        <w:tc>
          <w:tcPr>
            <w:tcW w:w="715" w:type="dxa"/>
            <w:tcBorders>
              <w:top w:val="single" w:color="auto" w:sz="4" w:space="0"/>
              <w:bottom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25</w:t>
            </w:r>
          </w:p>
        </w:tc>
        <w:tc>
          <w:tcPr>
            <w:tcW w:w="2874" w:type="dxa"/>
            <w:tcBorders>
              <w:top w:val="single" w:color="auto" w:sz="4" w:space="0"/>
              <w:bottom w:val="single" w:color="auto" w:sz="4" w:space="0"/>
            </w:tcBorders>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《建规》第3.4.1条</w:t>
            </w:r>
          </w:p>
        </w:tc>
        <w:tc>
          <w:tcPr>
            <w:tcW w:w="719" w:type="dxa"/>
            <w:tcBorders>
              <w:top w:val="single" w:color="auto" w:sz="4" w:space="0"/>
              <w:bottom w:val="single" w:color="auto" w:sz="4" w:space="0"/>
            </w:tcBorders>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是</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240" w:hRule="atLeast"/>
          <w:jc w:val="center"/>
        </w:trPr>
        <w:tc>
          <w:tcPr>
            <w:tcW w:w="664" w:type="dxa"/>
            <w:vMerge w:val="continue"/>
            <w:shd w:val="clear" w:color="auto" w:fill="FFFFFF"/>
            <w:vAlign w:val="center"/>
          </w:tcPr>
          <w:p>
            <w:pPr>
              <w:spacing w:line="360" w:lineRule="exact"/>
              <w:jc w:val="center"/>
              <w:rPr>
                <w:rFonts w:ascii="宋体" w:hAnsi="宋体" w:eastAsia="宋体"/>
                <w:color w:val="auto"/>
                <w:sz w:val="21"/>
                <w:szCs w:val="21"/>
              </w:rPr>
            </w:pPr>
          </w:p>
        </w:tc>
        <w:tc>
          <w:tcPr>
            <w:tcW w:w="832" w:type="dxa"/>
            <w:vMerge w:val="continue"/>
            <w:shd w:val="clear" w:color="auto" w:fill="FFFFFF"/>
            <w:vAlign w:val="center"/>
          </w:tcPr>
          <w:p>
            <w:pPr>
              <w:spacing w:line="360" w:lineRule="exact"/>
              <w:jc w:val="center"/>
              <w:rPr>
                <w:rFonts w:ascii="宋体" w:hAnsi="宋体" w:eastAsia="宋体"/>
                <w:color w:val="auto"/>
                <w:sz w:val="21"/>
                <w:szCs w:val="21"/>
              </w:rPr>
            </w:pPr>
          </w:p>
        </w:tc>
        <w:tc>
          <w:tcPr>
            <w:tcW w:w="807" w:type="dxa"/>
            <w:vMerge w:val="continue"/>
            <w:shd w:val="clear" w:color="auto" w:fill="FFFFFF"/>
            <w:vAlign w:val="center"/>
          </w:tcPr>
          <w:p>
            <w:pPr>
              <w:spacing w:line="360" w:lineRule="exact"/>
              <w:jc w:val="center"/>
              <w:rPr>
                <w:rFonts w:ascii="宋体" w:hAnsi="宋体" w:eastAsia="宋体"/>
                <w:color w:val="auto"/>
                <w:sz w:val="21"/>
                <w:szCs w:val="21"/>
                <w:lang w:eastAsia="zh-CN"/>
              </w:rPr>
            </w:pPr>
          </w:p>
        </w:tc>
        <w:tc>
          <w:tcPr>
            <w:tcW w:w="1104" w:type="dxa"/>
            <w:tcBorders>
              <w:top w:val="single" w:color="auto" w:sz="4" w:space="0"/>
              <w:bottom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配电房</w:t>
            </w:r>
          </w:p>
        </w:tc>
        <w:tc>
          <w:tcPr>
            <w:tcW w:w="851" w:type="dxa"/>
            <w:tcBorders>
              <w:top w:val="single" w:color="auto" w:sz="4" w:space="0"/>
              <w:bottom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丁</w:t>
            </w:r>
          </w:p>
        </w:tc>
        <w:tc>
          <w:tcPr>
            <w:tcW w:w="632" w:type="dxa"/>
            <w:tcBorders>
              <w:top w:val="single" w:color="auto" w:sz="4" w:space="0"/>
              <w:bottom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37</w:t>
            </w:r>
          </w:p>
        </w:tc>
        <w:tc>
          <w:tcPr>
            <w:tcW w:w="715" w:type="dxa"/>
            <w:tcBorders>
              <w:top w:val="single" w:color="auto" w:sz="4" w:space="0"/>
              <w:bottom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12</w:t>
            </w:r>
          </w:p>
        </w:tc>
        <w:tc>
          <w:tcPr>
            <w:tcW w:w="2874" w:type="dxa"/>
            <w:tcBorders>
              <w:top w:val="single" w:color="auto" w:sz="4" w:space="0"/>
              <w:bottom w:val="single" w:color="auto" w:sz="4" w:space="0"/>
            </w:tcBorders>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《建规》第3.4.1条</w:t>
            </w:r>
          </w:p>
        </w:tc>
        <w:tc>
          <w:tcPr>
            <w:tcW w:w="719" w:type="dxa"/>
            <w:tcBorders>
              <w:top w:val="single" w:color="auto" w:sz="4" w:space="0"/>
              <w:bottom w:val="single" w:color="auto" w:sz="4" w:space="0"/>
            </w:tcBorders>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是</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105" w:hRule="atLeast"/>
          <w:jc w:val="center"/>
        </w:trPr>
        <w:tc>
          <w:tcPr>
            <w:tcW w:w="664" w:type="dxa"/>
            <w:vMerge w:val="continue"/>
            <w:shd w:val="clear" w:color="auto" w:fill="FFFFFF"/>
            <w:vAlign w:val="center"/>
          </w:tcPr>
          <w:p>
            <w:pPr>
              <w:spacing w:line="360" w:lineRule="exact"/>
              <w:jc w:val="center"/>
              <w:rPr>
                <w:rFonts w:ascii="宋体" w:hAnsi="宋体" w:eastAsia="宋体"/>
                <w:color w:val="auto"/>
                <w:sz w:val="21"/>
                <w:szCs w:val="21"/>
              </w:rPr>
            </w:pPr>
          </w:p>
        </w:tc>
        <w:tc>
          <w:tcPr>
            <w:tcW w:w="832" w:type="dxa"/>
            <w:vMerge w:val="continue"/>
            <w:shd w:val="clear" w:color="auto" w:fill="FFFFFF"/>
            <w:vAlign w:val="center"/>
          </w:tcPr>
          <w:p>
            <w:pPr>
              <w:spacing w:line="360" w:lineRule="exact"/>
              <w:jc w:val="center"/>
              <w:rPr>
                <w:rFonts w:ascii="宋体" w:hAnsi="宋体" w:eastAsia="宋体"/>
                <w:color w:val="auto"/>
                <w:sz w:val="21"/>
                <w:szCs w:val="21"/>
              </w:rPr>
            </w:pPr>
          </w:p>
        </w:tc>
        <w:tc>
          <w:tcPr>
            <w:tcW w:w="807" w:type="dxa"/>
            <w:vMerge w:val="continue"/>
            <w:shd w:val="clear" w:color="auto" w:fill="FFFFFF"/>
            <w:vAlign w:val="center"/>
          </w:tcPr>
          <w:p>
            <w:pPr>
              <w:spacing w:line="360" w:lineRule="exact"/>
              <w:jc w:val="center"/>
              <w:rPr>
                <w:rFonts w:ascii="宋体" w:hAnsi="宋体" w:eastAsia="宋体"/>
                <w:color w:val="auto"/>
                <w:sz w:val="21"/>
                <w:szCs w:val="21"/>
                <w:lang w:eastAsia="zh-CN"/>
              </w:rPr>
            </w:pPr>
          </w:p>
        </w:tc>
        <w:tc>
          <w:tcPr>
            <w:tcW w:w="1104" w:type="dxa"/>
            <w:tcBorders>
              <w:top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围墙</w:t>
            </w:r>
          </w:p>
        </w:tc>
        <w:tc>
          <w:tcPr>
            <w:tcW w:w="851" w:type="dxa"/>
            <w:tcBorders>
              <w:top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w:t>
            </w:r>
          </w:p>
        </w:tc>
        <w:tc>
          <w:tcPr>
            <w:tcW w:w="632" w:type="dxa"/>
            <w:tcBorders>
              <w:top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12</w:t>
            </w:r>
          </w:p>
        </w:tc>
        <w:tc>
          <w:tcPr>
            <w:tcW w:w="715" w:type="dxa"/>
            <w:tcBorders>
              <w:top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5</w:t>
            </w:r>
          </w:p>
        </w:tc>
        <w:tc>
          <w:tcPr>
            <w:tcW w:w="2874" w:type="dxa"/>
            <w:tcBorders>
              <w:top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ascii="宋体" w:hAnsi="宋体" w:eastAsia="宋体"/>
                <w:color w:val="auto"/>
                <w:sz w:val="21"/>
                <w:szCs w:val="21"/>
              </w:rPr>
              <w:t>《建规》</w:t>
            </w:r>
            <w:r>
              <w:rPr>
                <w:rFonts w:hint="eastAsia" w:ascii="宋体" w:hAnsi="宋体" w:eastAsia="宋体"/>
                <w:color w:val="auto"/>
                <w:sz w:val="21"/>
                <w:szCs w:val="21"/>
                <w:lang w:eastAsia="zh-CN"/>
              </w:rPr>
              <w:t>第3.4.12</w:t>
            </w:r>
          </w:p>
        </w:tc>
        <w:tc>
          <w:tcPr>
            <w:tcW w:w="719" w:type="dxa"/>
            <w:tcBorders>
              <w:top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是</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664" w:type="dxa"/>
            <w:vMerge w:val="restart"/>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2</w:t>
            </w:r>
          </w:p>
        </w:tc>
        <w:tc>
          <w:tcPr>
            <w:tcW w:w="832" w:type="dxa"/>
            <w:vMerge w:val="restart"/>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甲类仓库</w:t>
            </w:r>
          </w:p>
        </w:tc>
        <w:tc>
          <w:tcPr>
            <w:tcW w:w="807" w:type="dxa"/>
            <w:vMerge w:val="restart"/>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甲</w:t>
            </w:r>
          </w:p>
        </w:tc>
        <w:tc>
          <w:tcPr>
            <w:tcW w:w="1104" w:type="dxa"/>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办公楼</w:t>
            </w:r>
          </w:p>
        </w:tc>
        <w:tc>
          <w:tcPr>
            <w:tcW w:w="851" w:type="dxa"/>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民建</w:t>
            </w:r>
          </w:p>
        </w:tc>
        <w:tc>
          <w:tcPr>
            <w:tcW w:w="632" w:type="dxa"/>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35</w:t>
            </w:r>
          </w:p>
        </w:tc>
        <w:tc>
          <w:tcPr>
            <w:tcW w:w="715" w:type="dxa"/>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30</w:t>
            </w:r>
          </w:p>
        </w:tc>
        <w:tc>
          <w:tcPr>
            <w:tcW w:w="2874" w:type="dxa"/>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《建规》第3.4.1条</w:t>
            </w:r>
          </w:p>
        </w:tc>
        <w:tc>
          <w:tcPr>
            <w:tcW w:w="719" w:type="dxa"/>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是</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49" w:hRule="atLeast"/>
          <w:jc w:val="center"/>
        </w:trPr>
        <w:tc>
          <w:tcPr>
            <w:tcW w:w="664" w:type="dxa"/>
            <w:vMerge w:val="continue"/>
            <w:shd w:val="clear" w:color="auto" w:fill="FFFFFF"/>
            <w:vAlign w:val="center"/>
          </w:tcPr>
          <w:p>
            <w:pPr>
              <w:spacing w:line="360" w:lineRule="exact"/>
              <w:jc w:val="center"/>
              <w:rPr>
                <w:rFonts w:ascii="宋体" w:hAnsi="宋体" w:eastAsia="宋体"/>
                <w:color w:val="auto"/>
                <w:sz w:val="21"/>
                <w:szCs w:val="21"/>
              </w:rPr>
            </w:pPr>
          </w:p>
        </w:tc>
        <w:tc>
          <w:tcPr>
            <w:tcW w:w="832" w:type="dxa"/>
            <w:vMerge w:val="continue"/>
            <w:shd w:val="clear" w:color="auto" w:fill="FFFFFF"/>
            <w:vAlign w:val="center"/>
          </w:tcPr>
          <w:p>
            <w:pPr>
              <w:spacing w:line="360" w:lineRule="exact"/>
              <w:jc w:val="center"/>
              <w:rPr>
                <w:rFonts w:ascii="宋体" w:hAnsi="宋体" w:eastAsia="宋体"/>
                <w:color w:val="auto"/>
                <w:sz w:val="21"/>
                <w:szCs w:val="21"/>
              </w:rPr>
            </w:pPr>
          </w:p>
        </w:tc>
        <w:tc>
          <w:tcPr>
            <w:tcW w:w="807" w:type="dxa"/>
            <w:vMerge w:val="continue"/>
            <w:shd w:val="clear" w:color="auto" w:fill="FFFFFF"/>
            <w:vAlign w:val="center"/>
          </w:tcPr>
          <w:p>
            <w:pPr>
              <w:spacing w:line="360" w:lineRule="exact"/>
              <w:jc w:val="center"/>
              <w:rPr>
                <w:rFonts w:ascii="宋体" w:hAnsi="宋体" w:eastAsia="宋体"/>
                <w:color w:val="auto"/>
                <w:sz w:val="21"/>
                <w:szCs w:val="21"/>
              </w:rPr>
            </w:pPr>
          </w:p>
        </w:tc>
        <w:tc>
          <w:tcPr>
            <w:tcW w:w="1104" w:type="dxa"/>
            <w:tcBorders>
              <w:bottom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宿舍楼</w:t>
            </w:r>
          </w:p>
        </w:tc>
        <w:tc>
          <w:tcPr>
            <w:tcW w:w="851" w:type="dxa"/>
            <w:tcBorders>
              <w:bottom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民建</w:t>
            </w:r>
          </w:p>
        </w:tc>
        <w:tc>
          <w:tcPr>
            <w:tcW w:w="632" w:type="dxa"/>
            <w:tcBorders>
              <w:bottom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35</w:t>
            </w:r>
          </w:p>
        </w:tc>
        <w:tc>
          <w:tcPr>
            <w:tcW w:w="715" w:type="dxa"/>
            <w:tcBorders>
              <w:bottom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30</w:t>
            </w:r>
          </w:p>
        </w:tc>
        <w:tc>
          <w:tcPr>
            <w:tcW w:w="2874" w:type="dxa"/>
            <w:tcBorders>
              <w:bottom w:val="single" w:color="auto" w:sz="4" w:space="0"/>
            </w:tcBorders>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《建规》第3.4.1条</w:t>
            </w:r>
          </w:p>
        </w:tc>
        <w:tc>
          <w:tcPr>
            <w:tcW w:w="719" w:type="dxa"/>
            <w:tcBorders>
              <w:bottom w:val="single" w:color="auto" w:sz="4" w:space="0"/>
            </w:tcBorders>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是</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195" w:hRule="atLeast"/>
          <w:jc w:val="center"/>
        </w:trPr>
        <w:tc>
          <w:tcPr>
            <w:tcW w:w="664" w:type="dxa"/>
            <w:vMerge w:val="continue"/>
            <w:shd w:val="clear" w:color="auto" w:fill="FFFFFF"/>
            <w:vAlign w:val="center"/>
          </w:tcPr>
          <w:p>
            <w:pPr>
              <w:spacing w:line="360" w:lineRule="exact"/>
              <w:jc w:val="center"/>
              <w:rPr>
                <w:rFonts w:ascii="宋体" w:hAnsi="宋体" w:eastAsia="宋体"/>
                <w:color w:val="auto"/>
                <w:sz w:val="21"/>
                <w:szCs w:val="21"/>
              </w:rPr>
            </w:pPr>
          </w:p>
        </w:tc>
        <w:tc>
          <w:tcPr>
            <w:tcW w:w="832" w:type="dxa"/>
            <w:vMerge w:val="continue"/>
            <w:shd w:val="clear" w:color="auto" w:fill="FFFFFF"/>
            <w:vAlign w:val="center"/>
          </w:tcPr>
          <w:p>
            <w:pPr>
              <w:spacing w:line="360" w:lineRule="exact"/>
              <w:jc w:val="center"/>
              <w:rPr>
                <w:rFonts w:ascii="宋体" w:hAnsi="宋体" w:eastAsia="宋体"/>
                <w:color w:val="auto"/>
                <w:sz w:val="21"/>
                <w:szCs w:val="21"/>
              </w:rPr>
            </w:pPr>
          </w:p>
        </w:tc>
        <w:tc>
          <w:tcPr>
            <w:tcW w:w="807" w:type="dxa"/>
            <w:vMerge w:val="continue"/>
            <w:shd w:val="clear" w:color="auto" w:fill="FFFFFF"/>
            <w:vAlign w:val="center"/>
          </w:tcPr>
          <w:p>
            <w:pPr>
              <w:spacing w:line="360" w:lineRule="exact"/>
              <w:jc w:val="center"/>
              <w:rPr>
                <w:rFonts w:ascii="宋体" w:hAnsi="宋体" w:eastAsia="宋体"/>
                <w:color w:val="auto"/>
                <w:sz w:val="21"/>
                <w:szCs w:val="21"/>
              </w:rPr>
            </w:pPr>
          </w:p>
        </w:tc>
        <w:tc>
          <w:tcPr>
            <w:tcW w:w="1104" w:type="dxa"/>
            <w:tcBorders>
              <w:top w:val="single" w:color="auto" w:sz="4" w:space="0"/>
              <w:bottom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配电房</w:t>
            </w:r>
          </w:p>
        </w:tc>
        <w:tc>
          <w:tcPr>
            <w:tcW w:w="851" w:type="dxa"/>
            <w:tcBorders>
              <w:top w:val="single" w:color="auto" w:sz="4" w:space="0"/>
              <w:bottom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丁</w:t>
            </w:r>
          </w:p>
        </w:tc>
        <w:tc>
          <w:tcPr>
            <w:tcW w:w="632" w:type="dxa"/>
            <w:tcBorders>
              <w:top w:val="single" w:color="auto" w:sz="4" w:space="0"/>
              <w:bottom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85</w:t>
            </w:r>
          </w:p>
        </w:tc>
        <w:tc>
          <w:tcPr>
            <w:tcW w:w="715" w:type="dxa"/>
            <w:tcBorders>
              <w:top w:val="single" w:color="auto" w:sz="4" w:space="0"/>
              <w:bottom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15</w:t>
            </w:r>
          </w:p>
        </w:tc>
        <w:tc>
          <w:tcPr>
            <w:tcW w:w="2874" w:type="dxa"/>
            <w:tcBorders>
              <w:top w:val="single" w:color="auto" w:sz="4" w:space="0"/>
              <w:bottom w:val="single" w:color="auto" w:sz="4" w:space="0"/>
            </w:tcBorders>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《建规》第3.4.1条</w:t>
            </w:r>
          </w:p>
        </w:tc>
        <w:tc>
          <w:tcPr>
            <w:tcW w:w="719" w:type="dxa"/>
            <w:tcBorders>
              <w:top w:val="single" w:color="auto" w:sz="4" w:space="0"/>
              <w:bottom w:val="single" w:color="auto" w:sz="4" w:space="0"/>
            </w:tcBorders>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是</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150" w:hRule="atLeast"/>
          <w:jc w:val="center"/>
        </w:trPr>
        <w:tc>
          <w:tcPr>
            <w:tcW w:w="664" w:type="dxa"/>
            <w:vMerge w:val="continue"/>
            <w:tcBorders>
              <w:bottom w:val="single" w:color="auto" w:sz="4" w:space="0"/>
            </w:tcBorders>
            <w:shd w:val="clear" w:color="auto" w:fill="FFFFFF"/>
            <w:vAlign w:val="center"/>
          </w:tcPr>
          <w:p>
            <w:pPr>
              <w:spacing w:line="360" w:lineRule="exact"/>
              <w:jc w:val="center"/>
              <w:rPr>
                <w:rFonts w:ascii="宋体" w:hAnsi="宋体" w:eastAsia="宋体"/>
                <w:color w:val="auto"/>
                <w:sz w:val="21"/>
                <w:szCs w:val="21"/>
              </w:rPr>
            </w:pPr>
          </w:p>
        </w:tc>
        <w:tc>
          <w:tcPr>
            <w:tcW w:w="832" w:type="dxa"/>
            <w:vMerge w:val="continue"/>
            <w:tcBorders>
              <w:bottom w:val="single" w:color="auto" w:sz="4" w:space="0"/>
            </w:tcBorders>
            <w:shd w:val="clear" w:color="auto" w:fill="FFFFFF"/>
            <w:vAlign w:val="center"/>
          </w:tcPr>
          <w:p>
            <w:pPr>
              <w:spacing w:line="360" w:lineRule="exact"/>
              <w:jc w:val="center"/>
              <w:rPr>
                <w:rFonts w:ascii="宋体" w:hAnsi="宋体" w:eastAsia="宋体"/>
                <w:color w:val="auto"/>
                <w:sz w:val="21"/>
                <w:szCs w:val="21"/>
              </w:rPr>
            </w:pPr>
          </w:p>
        </w:tc>
        <w:tc>
          <w:tcPr>
            <w:tcW w:w="807" w:type="dxa"/>
            <w:vMerge w:val="continue"/>
            <w:tcBorders>
              <w:bottom w:val="single" w:color="auto" w:sz="4" w:space="0"/>
            </w:tcBorders>
            <w:shd w:val="clear" w:color="auto" w:fill="FFFFFF"/>
            <w:vAlign w:val="center"/>
          </w:tcPr>
          <w:p>
            <w:pPr>
              <w:spacing w:line="360" w:lineRule="exact"/>
              <w:jc w:val="center"/>
              <w:rPr>
                <w:rFonts w:ascii="宋体" w:hAnsi="宋体" w:eastAsia="宋体"/>
                <w:color w:val="auto"/>
                <w:sz w:val="21"/>
                <w:szCs w:val="21"/>
              </w:rPr>
            </w:pPr>
          </w:p>
        </w:tc>
        <w:tc>
          <w:tcPr>
            <w:tcW w:w="1104" w:type="dxa"/>
            <w:tcBorders>
              <w:top w:val="single" w:color="auto" w:sz="4" w:space="0"/>
              <w:bottom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围墙</w:t>
            </w:r>
          </w:p>
        </w:tc>
        <w:tc>
          <w:tcPr>
            <w:tcW w:w="851" w:type="dxa"/>
            <w:tcBorders>
              <w:top w:val="single" w:color="auto" w:sz="4" w:space="0"/>
              <w:bottom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w:t>
            </w:r>
          </w:p>
        </w:tc>
        <w:tc>
          <w:tcPr>
            <w:tcW w:w="632" w:type="dxa"/>
            <w:tcBorders>
              <w:top w:val="single" w:color="auto" w:sz="4" w:space="0"/>
              <w:bottom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12</w:t>
            </w:r>
          </w:p>
        </w:tc>
        <w:tc>
          <w:tcPr>
            <w:tcW w:w="715" w:type="dxa"/>
            <w:tcBorders>
              <w:top w:val="single" w:color="auto" w:sz="4" w:space="0"/>
              <w:bottom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5</w:t>
            </w:r>
          </w:p>
        </w:tc>
        <w:tc>
          <w:tcPr>
            <w:tcW w:w="2874" w:type="dxa"/>
            <w:tcBorders>
              <w:top w:val="single" w:color="auto" w:sz="4" w:space="0"/>
              <w:bottom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ascii="宋体" w:hAnsi="宋体" w:eastAsia="宋体"/>
                <w:color w:val="auto"/>
                <w:sz w:val="21"/>
                <w:szCs w:val="21"/>
              </w:rPr>
              <w:t>《建规》</w:t>
            </w:r>
            <w:r>
              <w:rPr>
                <w:rFonts w:hint="eastAsia" w:ascii="宋体" w:hAnsi="宋体" w:eastAsia="宋体"/>
                <w:color w:val="auto"/>
                <w:sz w:val="21"/>
                <w:szCs w:val="21"/>
                <w:lang w:eastAsia="zh-CN"/>
              </w:rPr>
              <w:t>第3.4.12</w:t>
            </w:r>
          </w:p>
        </w:tc>
        <w:tc>
          <w:tcPr>
            <w:tcW w:w="719" w:type="dxa"/>
            <w:tcBorders>
              <w:top w:val="single" w:color="auto" w:sz="4" w:space="0"/>
              <w:bottom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是</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195" w:hRule="atLeast"/>
          <w:jc w:val="center"/>
        </w:trPr>
        <w:tc>
          <w:tcPr>
            <w:tcW w:w="664" w:type="dxa"/>
            <w:vMerge w:val="restart"/>
            <w:tcBorders>
              <w:top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3</w:t>
            </w:r>
          </w:p>
        </w:tc>
        <w:tc>
          <w:tcPr>
            <w:tcW w:w="832" w:type="dxa"/>
            <w:vMerge w:val="restart"/>
            <w:tcBorders>
              <w:top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办公楼</w:t>
            </w:r>
          </w:p>
        </w:tc>
        <w:tc>
          <w:tcPr>
            <w:tcW w:w="807" w:type="dxa"/>
            <w:vMerge w:val="restart"/>
            <w:tcBorders>
              <w:top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民建</w:t>
            </w:r>
          </w:p>
        </w:tc>
        <w:tc>
          <w:tcPr>
            <w:tcW w:w="1104" w:type="dxa"/>
            <w:tcBorders>
              <w:top w:val="single" w:color="auto" w:sz="4" w:space="0"/>
              <w:bottom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配电房</w:t>
            </w:r>
          </w:p>
        </w:tc>
        <w:tc>
          <w:tcPr>
            <w:tcW w:w="851" w:type="dxa"/>
            <w:tcBorders>
              <w:top w:val="single" w:color="auto" w:sz="4" w:space="0"/>
              <w:bottom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丁</w:t>
            </w:r>
          </w:p>
        </w:tc>
        <w:tc>
          <w:tcPr>
            <w:tcW w:w="632" w:type="dxa"/>
            <w:tcBorders>
              <w:top w:val="single" w:color="auto" w:sz="4" w:space="0"/>
              <w:bottom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&gt;100</w:t>
            </w:r>
          </w:p>
        </w:tc>
        <w:tc>
          <w:tcPr>
            <w:tcW w:w="715" w:type="dxa"/>
            <w:tcBorders>
              <w:top w:val="single" w:color="auto" w:sz="4" w:space="0"/>
              <w:bottom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10</w:t>
            </w:r>
          </w:p>
        </w:tc>
        <w:tc>
          <w:tcPr>
            <w:tcW w:w="2874" w:type="dxa"/>
            <w:tcBorders>
              <w:top w:val="single" w:color="auto" w:sz="4" w:space="0"/>
              <w:bottom w:val="single" w:color="auto" w:sz="4" w:space="0"/>
            </w:tcBorders>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《建规》第3.4.1条</w:t>
            </w:r>
          </w:p>
        </w:tc>
        <w:tc>
          <w:tcPr>
            <w:tcW w:w="719" w:type="dxa"/>
            <w:tcBorders>
              <w:top w:val="single" w:color="auto" w:sz="4" w:space="0"/>
              <w:bottom w:val="single" w:color="auto" w:sz="4" w:space="0"/>
            </w:tcBorders>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是</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150" w:hRule="atLeast"/>
          <w:jc w:val="center"/>
        </w:trPr>
        <w:tc>
          <w:tcPr>
            <w:tcW w:w="664" w:type="dxa"/>
            <w:vMerge w:val="continue"/>
            <w:tcBorders>
              <w:bottom w:val="single" w:color="auto" w:sz="4" w:space="0"/>
            </w:tcBorders>
            <w:shd w:val="clear" w:color="auto" w:fill="FFFFFF"/>
            <w:vAlign w:val="center"/>
          </w:tcPr>
          <w:p>
            <w:pPr>
              <w:spacing w:line="360" w:lineRule="exact"/>
              <w:jc w:val="center"/>
              <w:rPr>
                <w:rFonts w:ascii="宋体" w:hAnsi="宋体" w:eastAsia="宋体"/>
                <w:color w:val="auto"/>
                <w:sz w:val="21"/>
                <w:szCs w:val="21"/>
              </w:rPr>
            </w:pPr>
          </w:p>
        </w:tc>
        <w:tc>
          <w:tcPr>
            <w:tcW w:w="832" w:type="dxa"/>
            <w:vMerge w:val="continue"/>
            <w:tcBorders>
              <w:bottom w:val="single" w:color="auto" w:sz="4" w:space="0"/>
            </w:tcBorders>
            <w:shd w:val="clear" w:color="auto" w:fill="FFFFFF"/>
            <w:vAlign w:val="center"/>
          </w:tcPr>
          <w:p>
            <w:pPr>
              <w:spacing w:line="360" w:lineRule="exact"/>
              <w:jc w:val="center"/>
              <w:rPr>
                <w:rFonts w:ascii="宋体" w:hAnsi="宋体" w:eastAsia="宋体"/>
                <w:color w:val="auto"/>
                <w:sz w:val="21"/>
                <w:szCs w:val="21"/>
              </w:rPr>
            </w:pPr>
          </w:p>
        </w:tc>
        <w:tc>
          <w:tcPr>
            <w:tcW w:w="807" w:type="dxa"/>
            <w:vMerge w:val="continue"/>
            <w:tcBorders>
              <w:bottom w:val="single" w:color="auto" w:sz="4" w:space="0"/>
            </w:tcBorders>
            <w:shd w:val="clear" w:color="auto" w:fill="FFFFFF"/>
            <w:vAlign w:val="center"/>
          </w:tcPr>
          <w:p>
            <w:pPr>
              <w:spacing w:line="360" w:lineRule="exact"/>
              <w:jc w:val="center"/>
              <w:rPr>
                <w:rFonts w:ascii="宋体" w:hAnsi="宋体" w:eastAsia="宋体"/>
                <w:color w:val="auto"/>
                <w:sz w:val="21"/>
                <w:szCs w:val="21"/>
              </w:rPr>
            </w:pPr>
          </w:p>
        </w:tc>
        <w:tc>
          <w:tcPr>
            <w:tcW w:w="1104" w:type="dxa"/>
            <w:tcBorders>
              <w:top w:val="single" w:color="auto" w:sz="4" w:space="0"/>
              <w:bottom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围墙</w:t>
            </w:r>
          </w:p>
        </w:tc>
        <w:tc>
          <w:tcPr>
            <w:tcW w:w="851" w:type="dxa"/>
            <w:tcBorders>
              <w:top w:val="single" w:color="auto" w:sz="4" w:space="0"/>
              <w:bottom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w:t>
            </w:r>
          </w:p>
        </w:tc>
        <w:tc>
          <w:tcPr>
            <w:tcW w:w="632" w:type="dxa"/>
            <w:tcBorders>
              <w:top w:val="single" w:color="auto" w:sz="4" w:space="0"/>
              <w:bottom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5</w:t>
            </w:r>
          </w:p>
        </w:tc>
        <w:tc>
          <w:tcPr>
            <w:tcW w:w="715" w:type="dxa"/>
            <w:tcBorders>
              <w:top w:val="single" w:color="auto" w:sz="4" w:space="0"/>
              <w:bottom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5</w:t>
            </w:r>
          </w:p>
        </w:tc>
        <w:tc>
          <w:tcPr>
            <w:tcW w:w="2874" w:type="dxa"/>
            <w:tcBorders>
              <w:top w:val="single" w:color="auto" w:sz="4" w:space="0"/>
              <w:bottom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ascii="宋体" w:hAnsi="宋体" w:eastAsia="宋体"/>
                <w:color w:val="auto"/>
                <w:sz w:val="21"/>
                <w:szCs w:val="21"/>
              </w:rPr>
              <w:t>《建规》</w:t>
            </w:r>
            <w:r>
              <w:rPr>
                <w:rFonts w:hint="eastAsia" w:ascii="宋体" w:hAnsi="宋体" w:eastAsia="宋体"/>
                <w:color w:val="auto"/>
                <w:sz w:val="21"/>
                <w:szCs w:val="21"/>
                <w:lang w:eastAsia="zh-CN"/>
              </w:rPr>
              <w:t>第3.4.12</w:t>
            </w:r>
          </w:p>
        </w:tc>
        <w:tc>
          <w:tcPr>
            <w:tcW w:w="719" w:type="dxa"/>
            <w:tcBorders>
              <w:top w:val="single" w:color="auto" w:sz="4" w:space="0"/>
              <w:bottom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是</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105" w:hRule="atLeast"/>
          <w:jc w:val="center"/>
        </w:trPr>
        <w:tc>
          <w:tcPr>
            <w:tcW w:w="664" w:type="dxa"/>
            <w:vMerge w:val="restart"/>
            <w:tcBorders>
              <w:top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4</w:t>
            </w:r>
          </w:p>
        </w:tc>
        <w:tc>
          <w:tcPr>
            <w:tcW w:w="832" w:type="dxa"/>
            <w:vMerge w:val="restart"/>
            <w:tcBorders>
              <w:top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宿舍楼</w:t>
            </w:r>
          </w:p>
        </w:tc>
        <w:tc>
          <w:tcPr>
            <w:tcW w:w="807" w:type="dxa"/>
            <w:vMerge w:val="restart"/>
            <w:tcBorders>
              <w:top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民建</w:t>
            </w:r>
          </w:p>
        </w:tc>
        <w:tc>
          <w:tcPr>
            <w:tcW w:w="1104" w:type="dxa"/>
            <w:tcBorders>
              <w:top w:val="single" w:color="auto" w:sz="4" w:space="0"/>
              <w:bottom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配电房</w:t>
            </w:r>
          </w:p>
        </w:tc>
        <w:tc>
          <w:tcPr>
            <w:tcW w:w="851" w:type="dxa"/>
            <w:tcBorders>
              <w:top w:val="single" w:color="auto" w:sz="4" w:space="0"/>
              <w:bottom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丁</w:t>
            </w:r>
          </w:p>
        </w:tc>
        <w:tc>
          <w:tcPr>
            <w:tcW w:w="632" w:type="dxa"/>
            <w:tcBorders>
              <w:top w:val="single" w:color="auto" w:sz="4" w:space="0"/>
              <w:bottom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&gt;100</w:t>
            </w:r>
          </w:p>
        </w:tc>
        <w:tc>
          <w:tcPr>
            <w:tcW w:w="715" w:type="dxa"/>
            <w:tcBorders>
              <w:top w:val="single" w:color="auto" w:sz="4" w:space="0"/>
              <w:bottom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10</w:t>
            </w:r>
          </w:p>
        </w:tc>
        <w:tc>
          <w:tcPr>
            <w:tcW w:w="2874" w:type="dxa"/>
            <w:tcBorders>
              <w:top w:val="single" w:color="auto" w:sz="4" w:space="0"/>
              <w:bottom w:val="single" w:color="auto" w:sz="4" w:space="0"/>
            </w:tcBorders>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《建规》第3.4.1条</w:t>
            </w:r>
          </w:p>
        </w:tc>
        <w:tc>
          <w:tcPr>
            <w:tcW w:w="719" w:type="dxa"/>
            <w:tcBorders>
              <w:top w:val="single" w:color="auto" w:sz="4" w:space="0"/>
              <w:bottom w:val="single" w:color="auto" w:sz="4" w:space="0"/>
            </w:tcBorders>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是</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240" w:hRule="atLeast"/>
          <w:jc w:val="center"/>
        </w:trPr>
        <w:tc>
          <w:tcPr>
            <w:tcW w:w="664" w:type="dxa"/>
            <w:vMerge w:val="continue"/>
            <w:shd w:val="clear" w:color="auto" w:fill="FFFFFF"/>
            <w:vAlign w:val="center"/>
          </w:tcPr>
          <w:p>
            <w:pPr>
              <w:spacing w:line="360" w:lineRule="exact"/>
              <w:jc w:val="center"/>
              <w:rPr>
                <w:rFonts w:ascii="宋体" w:hAnsi="宋体" w:eastAsia="宋体"/>
                <w:color w:val="auto"/>
                <w:sz w:val="21"/>
                <w:szCs w:val="21"/>
              </w:rPr>
            </w:pPr>
          </w:p>
        </w:tc>
        <w:tc>
          <w:tcPr>
            <w:tcW w:w="832" w:type="dxa"/>
            <w:vMerge w:val="continue"/>
            <w:shd w:val="clear" w:color="auto" w:fill="FFFFFF"/>
            <w:vAlign w:val="center"/>
          </w:tcPr>
          <w:p>
            <w:pPr>
              <w:spacing w:line="360" w:lineRule="exact"/>
              <w:jc w:val="center"/>
              <w:rPr>
                <w:rFonts w:ascii="宋体" w:hAnsi="宋体" w:eastAsia="宋体"/>
                <w:color w:val="auto"/>
                <w:sz w:val="21"/>
                <w:szCs w:val="21"/>
              </w:rPr>
            </w:pPr>
          </w:p>
        </w:tc>
        <w:tc>
          <w:tcPr>
            <w:tcW w:w="807" w:type="dxa"/>
            <w:vMerge w:val="continue"/>
            <w:shd w:val="clear" w:color="auto" w:fill="FFFFFF"/>
            <w:vAlign w:val="center"/>
          </w:tcPr>
          <w:p>
            <w:pPr>
              <w:spacing w:line="360" w:lineRule="exact"/>
              <w:jc w:val="center"/>
              <w:rPr>
                <w:rFonts w:ascii="宋体" w:hAnsi="宋体" w:eastAsia="宋体"/>
                <w:color w:val="auto"/>
                <w:sz w:val="21"/>
                <w:szCs w:val="21"/>
              </w:rPr>
            </w:pPr>
          </w:p>
        </w:tc>
        <w:tc>
          <w:tcPr>
            <w:tcW w:w="1104" w:type="dxa"/>
            <w:tcBorders>
              <w:top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围墙</w:t>
            </w:r>
          </w:p>
        </w:tc>
        <w:tc>
          <w:tcPr>
            <w:tcW w:w="851" w:type="dxa"/>
            <w:tcBorders>
              <w:top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w:t>
            </w:r>
          </w:p>
        </w:tc>
        <w:tc>
          <w:tcPr>
            <w:tcW w:w="632" w:type="dxa"/>
            <w:tcBorders>
              <w:top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5</w:t>
            </w:r>
          </w:p>
        </w:tc>
        <w:tc>
          <w:tcPr>
            <w:tcW w:w="715" w:type="dxa"/>
            <w:tcBorders>
              <w:top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5</w:t>
            </w:r>
          </w:p>
        </w:tc>
        <w:tc>
          <w:tcPr>
            <w:tcW w:w="2874" w:type="dxa"/>
            <w:tcBorders>
              <w:top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ascii="宋体" w:hAnsi="宋体" w:eastAsia="宋体"/>
                <w:color w:val="auto"/>
                <w:sz w:val="21"/>
                <w:szCs w:val="21"/>
              </w:rPr>
              <w:t>《建规》</w:t>
            </w:r>
            <w:r>
              <w:rPr>
                <w:rFonts w:hint="eastAsia" w:ascii="宋体" w:hAnsi="宋体" w:eastAsia="宋体"/>
                <w:color w:val="auto"/>
                <w:sz w:val="21"/>
                <w:szCs w:val="21"/>
                <w:lang w:eastAsia="zh-CN"/>
              </w:rPr>
              <w:t>第3.4.12</w:t>
            </w:r>
          </w:p>
        </w:tc>
        <w:tc>
          <w:tcPr>
            <w:tcW w:w="719" w:type="dxa"/>
            <w:tcBorders>
              <w:top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是</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9198" w:type="dxa"/>
            <w:gridSpan w:val="9"/>
            <w:shd w:val="clear" w:color="auto" w:fill="FFFFFF"/>
            <w:vAlign w:val="center"/>
          </w:tcPr>
          <w:p>
            <w:pPr>
              <w:spacing w:line="360" w:lineRule="exact"/>
              <w:rPr>
                <w:rFonts w:ascii="宋体" w:hAnsi="宋体" w:eastAsia="宋体"/>
                <w:color w:val="auto"/>
                <w:sz w:val="21"/>
                <w:szCs w:val="21"/>
              </w:rPr>
            </w:pPr>
            <w:r>
              <w:rPr>
                <w:rFonts w:ascii="宋体" w:hAnsi="宋体" w:eastAsia="宋体"/>
                <w:color w:val="auto"/>
                <w:sz w:val="21"/>
                <w:szCs w:val="21"/>
              </w:rPr>
              <w:t>注：</w:t>
            </w:r>
            <w:r>
              <w:rPr>
                <w:rFonts w:hint="eastAsia" w:ascii="宋体" w:hAnsi="宋体" w:eastAsia="宋体"/>
                <w:color w:val="auto"/>
                <w:sz w:val="21"/>
                <w:szCs w:val="21"/>
                <w:lang w:eastAsia="zh-CN"/>
              </w:rPr>
              <w:t>表中《建规》为</w:t>
            </w:r>
            <w:r>
              <w:rPr>
                <w:rFonts w:ascii="宋体" w:hAnsi="宋体" w:eastAsia="宋体"/>
                <w:color w:val="auto"/>
                <w:sz w:val="21"/>
                <w:szCs w:val="21"/>
              </w:rPr>
              <w:t>《建筑设计防火规范》(</w:t>
            </w:r>
            <w:r>
              <w:rPr>
                <w:rFonts w:ascii="宋体" w:hAnsi="宋体" w:eastAsia="宋体"/>
                <w:color w:val="auto"/>
                <w:sz w:val="21"/>
                <w:szCs w:val="21"/>
                <w:lang w:eastAsia="zh-CN"/>
              </w:rPr>
              <w:t>GB50016-2014</w:t>
            </w:r>
            <w:r>
              <w:rPr>
                <w:rFonts w:hint="eastAsia" w:ascii="宋体" w:hAnsi="宋体" w:eastAsia="宋体"/>
                <w:color w:val="auto"/>
                <w:sz w:val="21"/>
                <w:szCs w:val="21"/>
                <w:lang w:eastAsia="zh-CN"/>
              </w:rPr>
              <w:t>，2018年版</w:t>
            </w:r>
            <w:r>
              <w:rPr>
                <w:rFonts w:ascii="宋体" w:hAnsi="宋体" w:eastAsia="宋体"/>
                <w:color w:val="auto"/>
                <w:sz w:val="21"/>
                <w:szCs w:val="21"/>
              </w:rPr>
              <w:t>)</w:t>
            </w:r>
            <w:r>
              <w:rPr>
                <w:rFonts w:hint="eastAsia" w:ascii="宋体" w:hAnsi="宋体" w:eastAsia="宋体"/>
                <w:color w:val="auto"/>
                <w:sz w:val="21"/>
                <w:szCs w:val="21"/>
                <w:lang w:eastAsia="zh-CN"/>
              </w:rPr>
              <w:t>，</w:t>
            </w:r>
            <w:r>
              <w:rPr>
                <w:rFonts w:ascii="宋体" w:hAnsi="宋体" w:eastAsia="宋体"/>
                <w:color w:val="auto"/>
                <w:sz w:val="21"/>
                <w:szCs w:val="21"/>
              </w:rPr>
              <w:t>标准值均取自</w:t>
            </w:r>
            <w:r>
              <w:rPr>
                <w:rFonts w:hint="eastAsia" w:ascii="宋体" w:hAnsi="宋体" w:eastAsia="宋体"/>
                <w:color w:val="auto"/>
                <w:sz w:val="21"/>
                <w:szCs w:val="21"/>
                <w:lang w:eastAsia="zh-CN"/>
              </w:rPr>
              <w:t>该规范</w:t>
            </w:r>
            <w:r>
              <w:rPr>
                <w:rFonts w:ascii="宋体" w:hAnsi="宋体" w:eastAsia="宋体"/>
                <w:color w:val="auto"/>
                <w:sz w:val="21"/>
                <w:szCs w:val="21"/>
              </w:rPr>
              <w:t>。</w:t>
            </w:r>
          </w:p>
          <w:p>
            <w:pPr>
              <w:spacing w:line="360" w:lineRule="exact"/>
              <w:rPr>
                <w:rFonts w:ascii="宋体" w:hAnsi="宋体" w:eastAsia="宋体"/>
                <w:color w:val="auto"/>
                <w:sz w:val="21"/>
                <w:szCs w:val="21"/>
              </w:rPr>
            </w:pPr>
            <w:r>
              <w:rPr>
                <w:rFonts w:ascii="宋体" w:hAnsi="宋体" w:eastAsia="宋体"/>
                <w:color w:val="auto"/>
                <w:sz w:val="21"/>
                <w:szCs w:val="21"/>
              </w:rPr>
              <w:t>结论：厂区内各建(构)筑物之间的防火间距满足规范要求。</w:t>
            </w:r>
          </w:p>
        </w:tc>
      </w:tr>
    </w:tbl>
    <w:p>
      <w:pPr>
        <w:spacing w:line="560" w:lineRule="exact"/>
        <w:jc w:val="both"/>
        <w:outlineLvl w:val="1"/>
        <w:rPr>
          <w:rFonts w:ascii="楷体_GB2312" w:hAnsi="Times New Roman" w:eastAsia="楷体_GB2312" w:cs="Times New Roman"/>
          <w:bCs/>
          <w:color w:val="auto"/>
          <w:kern w:val="2"/>
          <w:sz w:val="32"/>
          <w:lang w:val="en-US" w:eastAsia="zh-CN" w:bidi="ar-SA"/>
        </w:rPr>
      </w:pPr>
      <w:bookmarkStart w:id="19" w:name="_Toc40045886"/>
      <w:bookmarkStart w:id="20" w:name="bookmark16"/>
      <w:r>
        <w:rPr>
          <w:rFonts w:ascii="楷体_GB2312" w:hAnsi="Times New Roman" w:eastAsia="楷体_GB2312" w:cs="Times New Roman"/>
          <w:bCs/>
          <w:color w:val="auto"/>
          <w:kern w:val="2"/>
          <w:sz w:val="32"/>
          <w:lang w:val="en-US" w:eastAsia="zh-CN" w:bidi="ar-SA"/>
        </w:rPr>
        <w:t>2.2危险化学品生产工艺装置、储存设施等基本情况</w:t>
      </w:r>
      <w:bookmarkEnd w:id="19"/>
    </w:p>
    <w:p>
      <w:pPr>
        <w:spacing w:line="560" w:lineRule="exact"/>
        <w:jc w:val="both"/>
        <w:outlineLvl w:val="2"/>
        <w:rPr>
          <w:rFonts w:ascii="宋体" w:hAnsi="宋体" w:eastAsia="宋体" w:cs="Times New Roman"/>
          <w:bCs/>
          <w:color w:val="auto"/>
          <w:kern w:val="2"/>
          <w:sz w:val="28"/>
          <w:szCs w:val="28"/>
          <w:lang w:val="en-US" w:eastAsia="zh-CN" w:bidi="ar-SA"/>
        </w:rPr>
      </w:pPr>
      <w:r>
        <w:rPr>
          <w:rFonts w:ascii="宋体" w:hAnsi="宋体" w:eastAsia="宋体" w:cs="Times New Roman"/>
          <w:bCs/>
          <w:color w:val="auto"/>
          <w:kern w:val="2"/>
          <w:sz w:val="28"/>
          <w:szCs w:val="28"/>
          <w:lang w:val="en-US" w:eastAsia="zh-CN" w:bidi="ar-SA"/>
        </w:rPr>
        <w:t>2.2.1主要原、辅料和产品</w:t>
      </w:r>
      <w:bookmarkEnd w:id="20"/>
    </w:p>
    <w:p>
      <w:pPr>
        <w:spacing w:line="560" w:lineRule="exact"/>
        <w:ind w:firstLine="425" w:firstLineChars="152"/>
        <w:rPr>
          <w:rFonts w:ascii="宋体" w:hAnsi="宋体" w:eastAsia="宋体"/>
          <w:color w:val="auto"/>
          <w:sz w:val="28"/>
          <w:szCs w:val="28"/>
          <w:lang w:eastAsia="zh-CN"/>
        </w:rPr>
      </w:pPr>
      <w:r>
        <w:rPr>
          <w:rFonts w:ascii="宋体" w:hAnsi="宋体" w:eastAsia="宋体"/>
          <w:color w:val="auto"/>
          <w:sz w:val="28"/>
          <w:szCs w:val="28"/>
          <w:lang w:eastAsia="zh-CN"/>
        </w:rPr>
        <w:t>对照《危险化学品目录(2015版)》(安全监管总局、工业和信息化部、公安部等公告2015年第5号)辨识，该公司属于危险化学品生产项目，主要产品、半成品和原料情况见下表所示。</w:t>
      </w:r>
    </w:p>
    <w:p>
      <w:pPr>
        <w:spacing w:line="560" w:lineRule="exact"/>
        <w:jc w:val="center"/>
        <w:rPr>
          <w:rFonts w:ascii="宋体" w:hAnsi="宋体" w:eastAsia="宋体"/>
          <w:b/>
          <w:color w:val="auto"/>
        </w:rPr>
      </w:pPr>
      <w:r>
        <w:rPr>
          <w:rFonts w:ascii="宋体" w:hAnsi="宋体" w:eastAsia="宋体"/>
          <w:b/>
          <w:color w:val="auto"/>
        </w:rPr>
        <w:t>表2-5主要产品及生产规模表</w:t>
      </w:r>
    </w:p>
    <w:tbl>
      <w:tblPr>
        <w:tblStyle w:val="45"/>
        <w:tblW w:w="5000" w:type="pct"/>
        <w:jc w:val="center"/>
        <w:tblLayout w:type="fixed"/>
        <w:tblCellMar>
          <w:top w:w="0" w:type="dxa"/>
          <w:left w:w="10" w:type="dxa"/>
          <w:bottom w:w="0" w:type="dxa"/>
          <w:right w:w="10" w:type="dxa"/>
        </w:tblCellMar>
      </w:tblPr>
      <w:tblGrid>
        <w:gridCol w:w="444"/>
        <w:gridCol w:w="2113"/>
        <w:gridCol w:w="1139"/>
        <w:gridCol w:w="41"/>
        <w:gridCol w:w="951"/>
        <w:gridCol w:w="775"/>
        <w:gridCol w:w="1148"/>
        <w:gridCol w:w="1099"/>
        <w:gridCol w:w="1488"/>
      </w:tblGrid>
      <w:tr>
        <w:trPr>
          <w:trHeight w:val="510" w:hRule="atLeast"/>
          <w:tblHeader/>
          <w:jc w:val="center"/>
        </w:trPr>
        <w:tc>
          <w:tcPr>
            <w:tcW w:w="444" w:type="dxa"/>
            <w:tcBorders>
              <w:top w:val="single" w:color="auto" w:sz="2" w:space="0"/>
              <w:left w:val="single" w:color="auto" w:sz="2" w:space="0"/>
              <w:bottom w:val="single" w:color="auto" w:sz="2" w:space="0"/>
              <w:right w:val="single" w:color="auto" w:sz="2" w:space="0"/>
            </w:tcBorders>
            <w:shd w:val="clear" w:color="auto" w:fill="FFFFFF"/>
            <w:vAlign w:val="center"/>
          </w:tcPr>
          <w:p>
            <w:pPr>
              <w:spacing w:line="360" w:lineRule="exact"/>
              <w:jc w:val="center"/>
              <w:rPr>
                <w:rFonts w:ascii="宋体" w:hAnsi="宋体" w:eastAsia="宋体"/>
                <w:b/>
                <w:color w:val="auto"/>
                <w:sz w:val="21"/>
                <w:szCs w:val="21"/>
              </w:rPr>
            </w:pPr>
            <w:r>
              <w:rPr>
                <w:rFonts w:ascii="宋体" w:hAnsi="宋体" w:eastAsia="宋体"/>
                <w:b/>
                <w:color w:val="auto"/>
                <w:sz w:val="21"/>
                <w:szCs w:val="21"/>
              </w:rPr>
              <w:t>序号</w:t>
            </w:r>
          </w:p>
        </w:tc>
        <w:tc>
          <w:tcPr>
            <w:tcW w:w="2113" w:type="dxa"/>
            <w:tcBorders>
              <w:top w:val="single" w:color="auto" w:sz="2" w:space="0"/>
              <w:left w:val="single" w:color="auto" w:sz="2" w:space="0"/>
              <w:bottom w:val="single" w:color="auto" w:sz="2" w:space="0"/>
              <w:right w:val="single" w:color="auto" w:sz="2" w:space="0"/>
            </w:tcBorders>
            <w:shd w:val="clear" w:color="auto" w:fill="FFFFFF"/>
            <w:vAlign w:val="center"/>
          </w:tcPr>
          <w:p>
            <w:pPr>
              <w:spacing w:line="360" w:lineRule="exact"/>
              <w:jc w:val="center"/>
              <w:rPr>
                <w:rFonts w:ascii="宋体" w:hAnsi="宋体" w:eastAsia="宋体"/>
                <w:b/>
                <w:color w:val="auto"/>
                <w:sz w:val="21"/>
                <w:szCs w:val="21"/>
              </w:rPr>
            </w:pPr>
            <w:r>
              <w:rPr>
                <w:rFonts w:ascii="宋体" w:hAnsi="宋体" w:eastAsia="宋体"/>
                <w:b/>
                <w:color w:val="auto"/>
                <w:sz w:val="21"/>
                <w:szCs w:val="21"/>
              </w:rPr>
              <w:t>产品名称</w:t>
            </w:r>
          </w:p>
        </w:tc>
        <w:tc>
          <w:tcPr>
            <w:tcW w:w="1180" w:type="dxa"/>
            <w:gridSpan w:val="2"/>
            <w:tcBorders>
              <w:top w:val="single" w:color="auto" w:sz="2" w:space="0"/>
              <w:left w:val="single" w:color="auto" w:sz="2" w:space="0"/>
              <w:bottom w:val="single" w:color="auto" w:sz="2" w:space="0"/>
              <w:right w:val="single" w:color="auto" w:sz="2" w:space="0"/>
            </w:tcBorders>
            <w:shd w:val="clear" w:color="auto" w:fill="FFFFFF"/>
            <w:vAlign w:val="center"/>
          </w:tcPr>
          <w:p>
            <w:pPr>
              <w:spacing w:line="360" w:lineRule="exact"/>
              <w:jc w:val="center"/>
              <w:rPr>
                <w:rFonts w:ascii="宋体" w:hAnsi="宋体" w:eastAsia="宋体"/>
                <w:b/>
                <w:color w:val="auto"/>
                <w:sz w:val="21"/>
                <w:szCs w:val="21"/>
              </w:rPr>
            </w:pPr>
            <w:r>
              <w:rPr>
                <w:rFonts w:ascii="宋体" w:hAnsi="宋体" w:eastAsia="宋体"/>
                <w:b/>
                <w:color w:val="auto"/>
                <w:sz w:val="21"/>
                <w:szCs w:val="21"/>
              </w:rPr>
              <w:t>危险化学品目录序号</w:t>
            </w:r>
          </w:p>
        </w:tc>
        <w:tc>
          <w:tcPr>
            <w:tcW w:w="951" w:type="dxa"/>
            <w:tcBorders>
              <w:top w:val="single" w:color="auto" w:sz="2" w:space="0"/>
              <w:left w:val="single" w:color="auto" w:sz="2" w:space="0"/>
              <w:bottom w:val="single" w:color="auto" w:sz="2" w:space="0"/>
              <w:right w:val="single" w:color="auto" w:sz="2" w:space="0"/>
            </w:tcBorders>
            <w:shd w:val="clear" w:color="auto" w:fill="FFFFFF"/>
            <w:vAlign w:val="center"/>
          </w:tcPr>
          <w:p>
            <w:pPr>
              <w:spacing w:line="360" w:lineRule="exact"/>
              <w:jc w:val="center"/>
              <w:rPr>
                <w:rFonts w:ascii="宋体" w:hAnsi="宋体" w:eastAsia="宋体"/>
                <w:b/>
                <w:color w:val="auto"/>
                <w:sz w:val="21"/>
                <w:szCs w:val="21"/>
              </w:rPr>
            </w:pPr>
            <w:r>
              <w:rPr>
                <w:rFonts w:ascii="宋体" w:hAnsi="宋体" w:eastAsia="宋体"/>
                <w:b/>
                <w:color w:val="auto"/>
                <w:sz w:val="21"/>
                <w:szCs w:val="21"/>
              </w:rPr>
              <w:t>CAS</w:t>
            </w:r>
          </w:p>
        </w:tc>
        <w:tc>
          <w:tcPr>
            <w:tcW w:w="775" w:type="dxa"/>
            <w:tcBorders>
              <w:top w:val="single" w:color="auto" w:sz="2" w:space="0"/>
              <w:left w:val="single" w:color="auto" w:sz="2" w:space="0"/>
              <w:bottom w:val="single" w:color="auto" w:sz="2" w:space="0"/>
              <w:right w:val="single" w:color="auto" w:sz="2" w:space="0"/>
            </w:tcBorders>
            <w:shd w:val="clear" w:color="auto" w:fill="FFFFFF"/>
            <w:vAlign w:val="center"/>
          </w:tcPr>
          <w:p>
            <w:pPr>
              <w:spacing w:line="360" w:lineRule="exact"/>
              <w:jc w:val="center"/>
              <w:rPr>
                <w:rFonts w:ascii="宋体" w:hAnsi="宋体" w:eastAsia="宋体"/>
                <w:b/>
                <w:color w:val="auto"/>
                <w:sz w:val="21"/>
                <w:szCs w:val="21"/>
              </w:rPr>
            </w:pPr>
            <w:r>
              <w:rPr>
                <w:rFonts w:ascii="宋体" w:hAnsi="宋体" w:eastAsia="宋体"/>
                <w:b/>
                <w:color w:val="auto"/>
                <w:sz w:val="21"/>
                <w:szCs w:val="21"/>
              </w:rPr>
              <w:t>火灾危</w:t>
            </w:r>
          </w:p>
          <w:p>
            <w:pPr>
              <w:spacing w:line="360" w:lineRule="exact"/>
              <w:jc w:val="center"/>
              <w:rPr>
                <w:rFonts w:ascii="宋体" w:hAnsi="宋体" w:eastAsia="宋体"/>
                <w:b/>
                <w:color w:val="auto"/>
                <w:sz w:val="21"/>
                <w:szCs w:val="21"/>
              </w:rPr>
            </w:pPr>
            <w:r>
              <w:rPr>
                <w:rFonts w:ascii="宋体" w:hAnsi="宋体" w:eastAsia="宋体"/>
                <w:b/>
                <w:color w:val="auto"/>
                <w:sz w:val="21"/>
                <w:szCs w:val="21"/>
              </w:rPr>
              <w:t>险性</w:t>
            </w:r>
          </w:p>
        </w:tc>
        <w:tc>
          <w:tcPr>
            <w:tcW w:w="1148" w:type="dxa"/>
            <w:tcBorders>
              <w:top w:val="single" w:color="auto" w:sz="2" w:space="0"/>
              <w:left w:val="single" w:color="auto" w:sz="2" w:space="0"/>
              <w:bottom w:val="single" w:color="auto" w:sz="2" w:space="0"/>
              <w:right w:val="single" w:color="auto" w:sz="2" w:space="0"/>
            </w:tcBorders>
            <w:shd w:val="clear" w:color="auto" w:fill="FFFFFF"/>
            <w:vAlign w:val="center"/>
          </w:tcPr>
          <w:p>
            <w:pPr>
              <w:spacing w:line="360" w:lineRule="exact"/>
              <w:jc w:val="center"/>
              <w:rPr>
                <w:rFonts w:ascii="宋体" w:hAnsi="宋体" w:eastAsia="宋体"/>
                <w:b/>
                <w:color w:val="auto"/>
                <w:sz w:val="21"/>
                <w:szCs w:val="21"/>
                <w:lang w:eastAsia="zh-CN"/>
              </w:rPr>
            </w:pPr>
            <w:r>
              <w:rPr>
                <w:rFonts w:ascii="宋体" w:hAnsi="宋体" w:eastAsia="宋体"/>
                <w:b/>
                <w:color w:val="auto"/>
                <w:sz w:val="21"/>
                <w:szCs w:val="21"/>
              </w:rPr>
              <w:t>年生产能力</w:t>
            </w:r>
            <w:r>
              <w:rPr>
                <w:rFonts w:hint="eastAsia" w:ascii="宋体" w:hAnsi="宋体" w:eastAsia="宋体"/>
                <w:b/>
                <w:color w:val="auto"/>
                <w:sz w:val="21"/>
                <w:szCs w:val="21"/>
                <w:lang w:eastAsia="zh-CN"/>
              </w:rPr>
              <w:t>(t)</w:t>
            </w:r>
          </w:p>
        </w:tc>
        <w:tc>
          <w:tcPr>
            <w:tcW w:w="1099" w:type="dxa"/>
            <w:tcBorders>
              <w:top w:val="single" w:color="auto" w:sz="2" w:space="0"/>
              <w:left w:val="single" w:color="auto" w:sz="2" w:space="0"/>
              <w:bottom w:val="single" w:color="auto" w:sz="2" w:space="0"/>
              <w:right w:val="single" w:color="auto" w:sz="2" w:space="0"/>
            </w:tcBorders>
            <w:shd w:val="clear" w:color="auto" w:fill="FFFFFF"/>
            <w:vAlign w:val="center"/>
          </w:tcPr>
          <w:p>
            <w:pPr>
              <w:spacing w:line="360" w:lineRule="exact"/>
              <w:jc w:val="center"/>
              <w:rPr>
                <w:rFonts w:hint="eastAsia" w:ascii="宋体" w:hAnsi="宋体" w:eastAsia="宋体"/>
                <w:b/>
                <w:color w:val="auto"/>
                <w:sz w:val="21"/>
                <w:szCs w:val="21"/>
                <w:lang w:eastAsia="zh-CN"/>
              </w:rPr>
            </w:pPr>
            <w:r>
              <w:rPr>
                <w:rFonts w:hint="eastAsia" w:ascii="宋体" w:hAnsi="宋体" w:eastAsia="宋体"/>
                <w:b/>
                <w:color w:val="auto"/>
                <w:sz w:val="21"/>
                <w:szCs w:val="21"/>
                <w:lang w:eastAsia="zh-CN"/>
              </w:rPr>
              <w:t>最大设计储存量（</w:t>
            </w:r>
            <w:r>
              <w:rPr>
                <w:rFonts w:hint="eastAsia" w:ascii="宋体" w:hAnsi="宋体" w:eastAsia="宋体"/>
                <w:b/>
                <w:color w:val="auto"/>
                <w:sz w:val="21"/>
                <w:szCs w:val="21"/>
                <w:lang w:val="en-US" w:eastAsia="zh-CN"/>
              </w:rPr>
              <w:t>t</w:t>
            </w:r>
            <w:r>
              <w:rPr>
                <w:rFonts w:hint="eastAsia" w:ascii="宋体" w:hAnsi="宋体" w:eastAsia="宋体"/>
                <w:b/>
                <w:color w:val="auto"/>
                <w:sz w:val="21"/>
                <w:szCs w:val="21"/>
                <w:lang w:eastAsia="zh-CN"/>
              </w:rPr>
              <w:t>）</w:t>
            </w:r>
          </w:p>
        </w:tc>
        <w:tc>
          <w:tcPr>
            <w:tcW w:w="1488" w:type="dxa"/>
            <w:tcBorders>
              <w:top w:val="single" w:color="auto" w:sz="2" w:space="0"/>
              <w:left w:val="single" w:color="auto" w:sz="2" w:space="0"/>
              <w:bottom w:val="single" w:color="auto" w:sz="2" w:space="0"/>
              <w:right w:val="single" w:color="auto" w:sz="2" w:space="0"/>
            </w:tcBorders>
            <w:shd w:val="clear" w:color="auto" w:fill="FFFFFF"/>
            <w:vAlign w:val="center"/>
          </w:tcPr>
          <w:p>
            <w:pPr>
              <w:spacing w:line="360" w:lineRule="exact"/>
              <w:jc w:val="center"/>
              <w:rPr>
                <w:rFonts w:ascii="宋体" w:hAnsi="宋体" w:eastAsia="宋体"/>
                <w:b/>
                <w:color w:val="auto"/>
                <w:sz w:val="21"/>
                <w:szCs w:val="21"/>
              </w:rPr>
            </w:pPr>
            <w:r>
              <w:rPr>
                <w:rFonts w:ascii="宋体" w:hAnsi="宋体" w:eastAsia="宋体"/>
                <w:b/>
                <w:color w:val="auto"/>
                <w:sz w:val="21"/>
                <w:szCs w:val="21"/>
              </w:rPr>
              <w:t>储存场所</w:t>
            </w:r>
          </w:p>
        </w:tc>
      </w:tr>
      <w:tr>
        <w:tblPrEx>
          <w:tblCellMar>
            <w:top w:w="0" w:type="dxa"/>
            <w:left w:w="10" w:type="dxa"/>
            <w:bottom w:w="0" w:type="dxa"/>
            <w:right w:w="10" w:type="dxa"/>
          </w:tblCellMar>
        </w:tblPrEx>
        <w:trPr>
          <w:trHeight w:val="371" w:hRule="atLeast"/>
          <w:jc w:val="center"/>
        </w:trPr>
        <w:tc>
          <w:tcPr>
            <w:tcW w:w="444" w:type="dxa"/>
            <w:tcBorders>
              <w:top w:val="single" w:color="auto" w:sz="4" w:space="0"/>
              <w:left w:val="single" w:color="auto" w:sz="2" w:space="0"/>
              <w:bottom w:val="single" w:color="auto" w:sz="2" w:space="0"/>
              <w:right w:val="single" w:color="auto" w:sz="2"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1</w:t>
            </w:r>
          </w:p>
        </w:tc>
        <w:tc>
          <w:tcPr>
            <w:tcW w:w="2113" w:type="dxa"/>
            <w:tcBorders>
              <w:top w:val="single" w:color="auto" w:sz="4" w:space="0"/>
              <w:left w:val="single" w:color="auto" w:sz="2" w:space="0"/>
              <w:bottom w:val="single" w:color="auto" w:sz="2" w:space="0"/>
              <w:right w:val="single" w:color="auto" w:sz="2" w:space="0"/>
            </w:tcBorders>
            <w:shd w:val="clear" w:color="auto" w:fill="FFFFFF"/>
            <w:vAlign w:val="center"/>
          </w:tcPr>
          <w:p>
            <w:pPr>
              <w:spacing w:line="440" w:lineRule="exact"/>
              <w:jc w:val="center"/>
              <w:rPr>
                <w:rFonts w:ascii="宋体" w:hAnsi="宋体" w:eastAsiaTheme="minorEastAsia"/>
                <w:color w:val="auto"/>
                <w:lang w:eastAsia="zh-CN"/>
              </w:rPr>
            </w:pPr>
            <w:r>
              <w:rPr>
                <w:rFonts w:hint="eastAsia" w:ascii="宋体" w:hAnsi="宋体"/>
                <w:color w:val="auto"/>
              </w:rPr>
              <w:t>聚氨酯漆稀释剂</w:t>
            </w:r>
          </w:p>
        </w:tc>
        <w:tc>
          <w:tcPr>
            <w:tcW w:w="1139" w:type="dxa"/>
            <w:tcBorders>
              <w:top w:val="single" w:color="auto" w:sz="4" w:space="0"/>
              <w:left w:val="single" w:color="auto" w:sz="2" w:space="0"/>
              <w:bottom w:val="single" w:color="auto" w:sz="2" w:space="0"/>
              <w:right w:val="single" w:color="auto" w:sz="2" w:space="0"/>
            </w:tcBorders>
            <w:shd w:val="clear" w:color="auto" w:fill="FFFFFF"/>
            <w:vAlign w:val="center"/>
          </w:tcPr>
          <w:p>
            <w:pPr>
              <w:spacing w:line="360" w:lineRule="exact"/>
              <w:jc w:val="center"/>
              <w:rPr>
                <w:rFonts w:ascii="宋体" w:hAnsi="宋体" w:eastAsia="宋体"/>
                <w:color w:val="auto"/>
                <w:sz w:val="21"/>
                <w:szCs w:val="21"/>
              </w:rPr>
            </w:pPr>
            <w:r>
              <w:rPr>
                <w:rFonts w:hint="eastAsia" w:ascii="宋体" w:hAnsi="宋体"/>
                <w:color w:val="auto"/>
              </w:rPr>
              <w:t>2828</w:t>
            </w:r>
          </w:p>
        </w:tc>
        <w:tc>
          <w:tcPr>
            <w:tcW w:w="992" w:type="dxa"/>
            <w:gridSpan w:val="2"/>
            <w:tcBorders>
              <w:top w:val="single" w:color="auto" w:sz="4" w:space="0"/>
              <w:left w:val="single" w:color="auto" w:sz="2" w:space="0"/>
              <w:bottom w:val="single" w:color="auto" w:sz="2" w:space="0"/>
              <w:right w:val="single" w:color="auto" w:sz="2"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w:t>
            </w:r>
          </w:p>
        </w:tc>
        <w:tc>
          <w:tcPr>
            <w:tcW w:w="775" w:type="dxa"/>
            <w:tcBorders>
              <w:top w:val="single" w:color="auto" w:sz="4" w:space="0"/>
              <w:left w:val="single" w:color="auto" w:sz="2" w:space="0"/>
              <w:bottom w:val="single" w:color="auto" w:sz="2" w:space="0"/>
              <w:right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乙</w:t>
            </w:r>
          </w:p>
        </w:tc>
        <w:tc>
          <w:tcPr>
            <w:tcW w:w="1148" w:type="dxa"/>
            <w:tcBorders>
              <w:top w:val="single" w:color="auto" w:sz="4" w:space="0"/>
              <w:left w:val="single" w:color="auto" w:sz="4" w:space="0"/>
              <w:bottom w:val="single" w:color="auto" w:sz="2" w:space="0"/>
              <w:right w:val="single" w:color="auto" w:sz="2" w:space="0"/>
            </w:tcBorders>
            <w:shd w:val="clear" w:color="auto" w:fill="FFFFFF"/>
            <w:vAlign w:val="center"/>
          </w:tcPr>
          <w:p>
            <w:pPr>
              <w:spacing w:line="440" w:lineRule="exact"/>
              <w:jc w:val="center"/>
              <w:rPr>
                <w:rFonts w:ascii="宋体" w:hAnsi="宋体"/>
                <w:color w:val="auto"/>
              </w:rPr>
            </w:pPr>
            <w:r>
              <w:rPr>
                <w:rFonts w:ascii="宋体" w:hAnsi="宋体"/>
                <w:color w:val="auto"/>
              </w:rPr>
              <w:t>300</w:t>
            </w:r>
          </w:p>
        </w:tc>
        <w:tc>
          <w:tcPr>
            <w:tcW w:w="1099" w:type="dxa"/>
            <w:tcBorders>
              <w:top w:val="single" w:color="auto" w:sz="4" w:space="0"/>
              <w:left w:val="single" w:color="auto" w:sz="2" w:space="0"/>
              <w:bottom w:val="single" w:color="auto" w:sz="2" w:space="0"/>
              <w:right w:val="single" w:color="auto" w:sz="2" w:space="0"/>
            </w:tcBorders>
            <w:shd w:val="clear" w:color="auto" w:fill="FFFFFF"/>
            <w:vAlign w:val="center"/>
          </w:tcPr>
          <w:p>
            <w:pPr>
              <w:spacing w:line="440" w:lineRule="exact"/>
              <w:jc w:val="center"/>
              <w:rPr>
                <w:rFonts w:ascii="宋体" w:hAnsi="宋体"/>
                <w:color w:val="auto"/>
              </w:rPr>
            </w:pPr>
            <w:r>
              <w:rPr>
                <w:rFonts w:ascii="宋体" w:hAnsi="宋体"/>
                <w:color w:val="auto"/>
              </w:rPr>
              <w:t>20</w:t>
            </w:r>
          </w:p>
        </w:tc>
        <w:tc>
          <w:tcPr>
            <w:tcW w:w="1488" w:type="dxa"/>
            <w:tcBorders>
              <w:top w:val="single" w:color="auto" w:sz="4" w:space="0"/>
              <w:left w:val="single" w:color="auto" w:sz="2" w:space="0"/>
              <w:bottom w:val="single" w:color="auto" w:sz="2" w:space="0"/>
              <w:right w:val="single" w:color="auto" w:sz="2"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甲类仓库</w:t>
            </w:r>
          </w:p>
        </w:tc>
      </w:tr>
      <w:tr>
        <w:tblPrEx>
          <w:tblCellMar>
            <w:top w:w="0" w:type="dxa"/>
            <w:left w:w="10" w:type="dxa"/>
            <w:bottom w:w="0" w:type="dxa"/>
            <w:right w:w="10" w:type="dxa"/>
          </w:tblCellMar>
        </w:tblPrEx>
        <w:trPr>
          <w:trHeight w:val="510" w:hRule="atLeast"/>
          <w:jc w:val="center"/>
        </w:trPr>
        <w:tc>
          <w:tcPr>
            <w:tcW w:w="444" w:type="dxa"/>
            <w:tcBorders>
              <w:top w:val="single" w:color="auto" w:sz="2" w:space="0"/>
              <w:left w:val="single" w:color="auto" w:sz="2" w:space="0"/>
              <w:bottom w:val="single" w:color="auto" w:sz="2" w:space="0"/>
              <w:right w:val="single" w:color="auto" w:sz="2" w:space="0"/>
            </w:tcBorders>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1</w:t>
            </w:r>
          </w:p>
        </w:tc>
        <w:tc>
          <w:tcPr>
            <w:tcW w:w="2113" w:type="dxa"/>
            <w:tcBorders>
              <w:top w:val="single" w:color="auto" w:sz="2" w:space="0"/>
              <w:left w:val="single" w:color="auto" w:sz="2" w:space="0"/>
              <w:bottom w:val="single" w:color="auto" w:sz="2" w:space="0"/>
              <w:right w:val="single" w:color="auto" w:sz="2" w:space="0"/>
            </w:tcBorders>
            <w:shd w:val="clear" w:color="auto" w:fill="FFFFFF"/>
            <w:vAlign w:val="center"/>
          </w:tcPr>
          <w:p>
            <w:pPr>
              <w:spacing w:line="440" w:lineRule="exact"/>
              <w:jc w:val="center"/>
              <w:rPr>
                <w:rFonts w:ascii="宋体" w:hAnsi="宋体" w:eastAsiaTheme="minorEastAsia"/>
                <w:color w:val="auto"/>
                <w:lang w:eastAsia="zh-CN"/>
              </w:rPr>
            </w:pPr>
            <w:r>
              <w:rPr>
                <w:rFonts w:hint="eastAsia" w:ascii="宋体" w:hAnsi="宋体"/>
                <w:color w:val="auto"/>
              </w:rPr>
              <w:t>聚酯树脂清漆</w:t>
            </w:r>
          </w:p>
        </w:tc>
        <w:tc>
          <w:tcPr>
            <w:tcW w:w="1139" w:type="dxa"/>
            <w:tcBorders>
              <w:top w:val="single" w:color="auto" w:sz="2" w:space="0"/>
              <w:left w:val="single" w:color="auto" w:sz="2" w:space="0"/>
              <w:bottom w:val="single" w:color="auto" w:sz="2" w:space="0"/>
              <w:right w:val="single" w:color="auto" w:sz="2" w:space="0"/>
            </w:tcBorders>
            <w:shd w:val="clear" w:color="auto" w:fill="FFFFFF"/>
            <w:vAlign w:val="center"/>
          </w:tcPr>
          <w:p>
            <w:pPr>
              <w:spacing w:line="360" w:lineRule="exact"/>
              <w:jc w:val="center"/>
              <w:rPr>
                <w:rFonts w:ascii="宋体" w:hAnsi="宋体" w:eastAsia="宋体"/>
                <w:color w:val="auto"/>
                <w:sz w:val="21"/>
                <w:szCs w:val="21"/>
              </w:rPr>
            </w:pPr>
            <w:r>
              <w:rPr>
                <w:rFonts w:hint="eastAsia" w:ascii="宋体" w:hAnsi="宋体"/>
                <w:color w:val="auto"/>
              </w:rPr>
              <w:t>2828</w:t>
            </w:r>
          </w:p>
        </w:tc>
        <w:tc>
          <w:tcPr>
            <w:tcW w:w="992" w:type="dxa"/>
            <w:gridSpan w:val="2"/>
            <w:tcBorders>
              <w:top w:val="single" w:color="auto" w:sz="2" w:space="0"/>
              <w:left w:val="single" w:color="auto" w:sz="2" w:space="0"/>
              <w:bottom w:val="single" w:color="auto" w:sz="2" w:space="0"/>
              <w:right w:val="single" w:color="auto" w:sz="2" w:space="0"/>
            </w:tcBorders>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w:t>
            </w:r>
          </w:p>
        </w:tc>
        <w:tc>
          <w:tcPr>
            <w:tcW w:w="775" w:type="dxa"/>
            <w:tcBorders>
              <w:top w:val="single" w:color="auto" w:sz="2" w:space="0"/>
              <w:left w:val="single" w:color="auto" w:sz="2" w:space="0"/>
              <w:bottom w:val="single" w:color="auto" w:sz="2" w:space="0"/>
              <w:right w:val="single" w:color="auto" w:sz="2"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乙</w:t>
            </w:r>
          </w:p>
        </w:tc>
        <w:tc>
          <w:tcPr>
            <w:tcW w:w="1148" w:type="dxa"/>
            <w:tcBorders>
              <w:top w:val="single" w:color="auto" w:sz="2" w:space="0"/>
              <w:left w:val="single" w:color="auto" w:sz="2" w:space="0"/>
              <w:bottom w:val="single" w:color="auto" w:sz="2" w:space="0"/>
              <w:right w:val="single" w:color="auto" w:sz="2" w:space="0"/>
            </w:tcBorders>
            <w:shd w:val="clear" w:color="auto" w:fill="FFFFFF"/>
            <w:vAlign w:val="center"/>
          </w:tcPr>
          <w:p>
            <w:pPr>
              <w:spacing w:line="440" w:lineRule="exact"/>
              <w:jc w:val="center"/>
              <w:rPr>
                <w:rFonts w:ascii="宋体" w:hAnsi="宋体"/>
                <w:color w:val="auto"/>
              </w:rPr>
            </w:pPr>
            <w:r>
              <w:rPr>
                <w:rFonts w:ascii="宋体" w:hAnsi="宋体"/>
                <w:color w:val="auto"/>
              </w:rPr>
              <w:t>600</w:t>
            </w:r>
          </w:p>
        </w:tc>
        <w:tc>
          <w:tcPr>
            <w:tcW w:w="1099" w:type="dxa"/>
            <w:tcBorders>
              <w:top w:val="single" w:color="auto" w:sz="2" w:space="0"/>
              <w:left w:val="single" w:color="auto" w:sz="2" w:space="0"/>
              <w:bottom w:val="single" w:color="auto" w:sz="2" w:space="0"/>
              <w:right w:val="single" w:color="auto" w:sz="2" w:space="0"/>
            </w:tcBorders>
            <w:shd w:val="clear" w:color="auto" w:fill="FFFFFF"/>
            <w:vAlign w:val="center"/>
          </w:tcPr>
          <w:p>
            <w:pPr>
              <w:spacing w:line="440" w:lineRule="exact"/>
              <w:jc w:val="center"/>
              <w:rPr>
                <w:rFonts w:ascii="宋体" w:hAnsi="宋体"/>
                <w:color w:val="auto"/>
              </w:rPr>
            </w:pPr>
            <w:r>
              <w:rPr>
                <w:rFonts w:ascii="宋体" w:hAnsi="宋体"/>
                <w:color w:val="auto"/>
              </w:rPr>
              <w:t>20</w:t>
            </w:r>
          </w:p>
        </w:tc>
        <w:tc>
          <w:tcPr>
            <w:tcW w:w="1488" w:type="dxa"/>
            <w:tcBorders>
              <w:top w:val="single" w:color="auto" w:sz="2" w:space="0"/>
              <w:left w:val="single" w:color="auto" w:sz="2" w:space="0"/>
              <w:bottom w:val="single" w:color="auto" w:sz="2" w:space="0"/>
              <w:right w:val="single" w:color="auto" w:sz="2" w:space="0"/>
            </w:tcBorders>
            <w:shd w:val="clear" w:color="auto" w:fill="FFFFFF"/>
            <w:vAlign w:val="center"/>
          </w:tcPr>
          <w:p>
            <w:pPr>
              <w:jc w:val="center"/>
              <w:rPr>
                <w:color w:val="auto"/>
              </w:rPr>
            </w:pPr>
            <w:r>
              <w:rPr>
                <w:rFonts w:hint="eastAsia" w:ascii="宋体" w:hAnsi="宋体" w:eastAsia="宋体"/>
                <w:color w:val="auto"/>
                <w:sz w:val="21"/>
                <w:szCs w:val="21"/>
                <w:lang w:eastAsia="zh-CN"/>
              </w:rPr>
              <w:t>甲类仓库</w:t>
            </w:r>
          </w:p>
        </w:tc>
      </w:tr>
      <w:tr>
        <w:tblPrEx>
          <w:tblCellMar>
            <w:top w:w="0" w:type="dxa"/>
            <w:left w:w="10" w:type="dxa"/>
            <w:bottom w:w="0" w:type="dxa"/>
            <w:right w:w="10" w:type="dxa"/>
          </w:tblCellMar>
        </w:tblPrEx>
        <w:trPr>
          <w:trHeight w:val="510" w:hRule="atLeast"/>
          <w:jc w:val="center"/>
        </w:trPr>
        <w:tc>
          <w:tcPr>
            <w:tcW w:w="444" w:type="dxa"/>
            <w:tcBorders>
              <w:top w:val="single" w:color="auto" w:sz="2" w:space="0"/>
              <w:left w:val="single" w:color="auto" w:sz="2" w:space="0"/>
              <w:bottom w:val="single" w:color="auto" w:sz="2" w:space="0"/>
              <w:right w:val="single" w:color="auto" w:sz="2" w:space="0"/>
            </w:tcBorders>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2</w:t>
            </w:r>
          </w:p>
        </w:tc>
        <w:tc>
          <w:tcPr>
            <w:tcW w:w="2113" w:type="dxa"/>
            <w:tcBorders>
              <w:top w:val="single" w:color="auto" w:sz="2" w:space="0"/>
              <w:left w:val="single" w:color="auto" w:sz="2" w:space="0"/>
              <w:bottom w:val="single" w:color="auto" w:sz="2" w:space="0"/>
              <w:right w:val="single" w:color="auto" w:sz="2" w:space="0"/>
            </w:tcBorders>
            <w:shd w:val="clear" w:color="auto" w:fill="FFFFFF"/>
            <w:vAlign w:val="center"/>
          </w:tcPr>
          <w:p>
            <w:pPr>
              <w:spacing w:line="440" w:lineRule="exact"/>
              <w:jc w:val="center"/>
              <w:rPr>
                <w:rFonts w:ascii="宋体" w:hAnsi="宋体" w:eastAsiaTheme="minorEastAsia"/>
                <w:color w:val="auto"/>
                <w:lang w:eastAsia="zh-CN"/>
              </w:rPr>
            </w:pPr>
            <w:r>
              <w:rPr>
                <w:rFonts w:hint="eastAsia" w:ascii="宋体" w:hAnsi="宋体"/>
                <w:color w:val="auto"/>
              </w:rPr>
              <w:t>硝基清漆</w:t>
            </w:r>
          </w:p>
        </w:tc>
        <w:tc>
          <w:tcPr>
            <w:tcW w:w="1139" w:type="dxa"/>
            <w:tcBorders>
              <w:top w:val="single" w:color="auto" w:sz="2" w:space="0"/>
              <w:left w:val="single" w:color="auto" w:sz="2" w:space="0"/>
              <w:bottom w:val="single" w:color="auto" w:sz="2" w:space="0"/>
              <w:right w:val="single" w:color="auto" w:sz="2" w:space="0"/>
            </w:tcBorders>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2828</w:t>
            </w:r>
          </w:p>
        </w:tc>
        <w:tc>
          <w:tcPr>
            <w:tcW w:w="992" w:type="dxa"/>
            <w:gridSpan w:val="2"/>
            <w:tcBorders>
              <w:top w:val="single" w:color="auto" w:sz="2" w:space="0"/>
              <w:left w:val="single" w:color="auto" w:sz="2" w:space="0"/>
              <w:bottom w:val="single" w:color="auto" w:sz="2" w:space="0"/>
              <w:right w:val="single" w:color="auto" w:sz="2" w:space="0"/>
            </w:tcBorders>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w:t>
            </w:r>
          </w:p>
        </w:tc>
        <w:tc>
          <w:tcPr>
            <w:tcW w:w="775" w:type="dxa"/>
            <w:tcBorders>
              <w:top w:val="single" w:color="auto" w:sz="2" w:space="0"/>
              <w:left w:val="single" w:color="auto" w:sz="2" w:space="0"/>
              <w:bottom w:val="single" w:color="auto" w:sz="2" w:space="0"/>
              <w:right w:val="single" w:color="auto" w:sz="2" w:space="0"/>
            </w:tcBorders>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甲</w:t>
            </w:r>
          </w:p>
        </w:tc>
        <w:tc>
          <w:tcPr>
            <w:tcW w:w="1148" w:type="dxa"/>
            <w:tcBorders>
              <w:top w:val="single" w:color="auto" w:sz="2" w:space="0"/>
              <w:left w:val="single" w:color="auto" w:sz="2" w:space="0"/>
              <w:bottom w:val="single" w:color="auto" w:sz="2" w:space="0"/>
              <w:right w:val="single" w:color="auto" w:sz="2" w:space="0"/>
            </w:tcBorders>
            <w:shd w:val="clear" w:color="auto" w:fill="FFFFFF"/>
            <w:vAlign w:val="center"/>
          </w:tcPr>
          <w:p>
            <w:pPr>
              <w:spacing w:line="440" w:lineRule="exact"/>
              <w:jc w:val="center"/>
              <w:rPr>
                <w:rFonts w:ascii="宋体" w:hAnsi="宋体"/>
                <w:color w:val="auto"/>
              </w:rPr>
            </w:pPr>
            <w:r>
              <w:rPr>
                <w:rFonts w:ascii="宋体" w:hAnsi="宋体"/>
                <w:color w:val="auto"/>
              </w:rPr>
              <w:t>300</w:t>
            </w:r>
          </w:p>
        </w:tc>
        <w:tc>
          <w:tcPr>
            <w:tcW w:w="1099" w:type="dxa"/>
            <w:tcBorders>
              <w:top w:val="single" w:color="auto" w:sz="2" w:space="0"/>
              <w:left w:val="single" w:color="auto" w:sz="2" w:space="0"/>
              <w:bottom w:val="single" w:color="auto" w:sz="2" w:space="0"/>
              <w:right w:val="single" w:color="auto" w:sz="2" w:space="0"/>
            </w:tcBorders>
            <w:shd w:val="clear" w:color="auto" w:fill="FFFFFF"/>
            <w:vAlign w:val="center"/>
          </w:tcPr>
          <w:p>
            <w:pPr>
              <w:spacing w:line="440" w:lineRule="exact"/>
              <w:jc w:val="center"/>
              <w:rPr>
                <w:rFonts w:ascii="宋体" w:hAnsi="宋体"/>
                <w:color w:val="auto"/>
              </w:rPr>
            </w:pPr>
            <w:r>
              <w:rPr>
                <w:rFonts w:ascii="宋体" w:hAnsi="宋体"/>
                <w:color w:val="auto"/>
              </w:rPr>
              <w:t>5</w:t>
            </w:r>
          </w:p>
        </w:tc>
        <w:tc>
          <w:tcPr>
            <w:tcW w:w="1488" w:type="dxa"/>
            <w:tcBorders>
              <w:top w:val="single" w:color="auto" w:sz="2" w:space="0"/>
              <w:left w:val="single" w:color="auto" w:sz="2" w:space="0"/>
              <w:bottom w:val="single" w:color="auto" w:sz="2" w:space="0"/>
              <w:right w:val="single" w:color="auto" w:sz="2" w:space="0"/>
            </w:tcBorders>
            <w:shd w:val="clear" w:color="auto" w:fill="FFFFFF"/>
            <w:vAlign w:val="center"/>
          </w:tcPr>
          <w:p>
            <w:pPr>
              <w:jc w:val="center"/>
              <w:rPr>
                <w:color w:val="auto"/>
              </w:rPr>
            </w:pPr>
            <w:r>
              <w:rPr>
                <w:rFonts w:hint="eastAsia" w:ascii="宋体" w:hAnsi="宋体" w:eastAsia="宋体"/>
                <w:color w:val="auto"/>
                <w:sz w:val="21"/>
                <w:szCs w:val="21"/>
                <w:lang w:eastAsia="zh-CN"/>
              </w:rPr>
              <w:t>甲类仓库</w:t>
            </w:r>
          </w:p>
        </w:tc>
      </w:tr>
      <w:tr>
        <w:tblPrEx>
          <w:tblCellMar>
            <w:top w:w="0" w:type="dxa"/>
            <w:left w:w="10" w:type="dxa"/>
            <w:bottom w:w="0" w:type="dxa"/>
            <w:right w:w="10" w:type="dxa"/>
          </w:tblCellMar>
        </w:tblPrEx>
        <w:trPr>
          <w:trHeight w:val="510" w:hRule="atLeast"/>
          <w:jc w:val="center"/>
        </w:trPr>
        <w:tc>
          <w:tcPr>
            <w:tcW w:w="444" w:type="dxa"/>
            <w:tcBorders>
              <w:top w:val="single" w:color="auto" w:sz="2" w:space="0"/>
              <w:left w:val="single" w:color="auto" w:sz="2" w:space="0"/>
              <w:bottom w:val="single" w:color="auto" w:sz="2" w:space="0"/>
              <w:right w:val="single" w:color="auto" w:sz="2" w:space="0"/>
            </w:tcBorders>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3</w:t>
            </w:r>
          </w:p>
        </w:tc>
        <w:tc>
          <w:tcPr>
            <w:tcW w:w="2113" w:type="dxa"/>
            <w:tcBorders>
              <w:top w:val="single" w:color="auto" w:sz="2" w:space="0"/>
              <w:left w:val="single" w:color="auto" w:sz="2" w:space="0"/>
              <w:bottom w:val="single" w:color="auto" w:sz="2" w:space="0"/>
              <w:right w:val="single" w:color="auto" w:sz="2" w:space="0"/>
            </w:tcBorders>
            <w:shd w:val="clear" w:color="auto" w:fill="FFFFFF"/>
            <w:vAlign w:val="center"/>
          </w:tcPr>
          <w:p>
            <w:pPr>
              <w:spacing w:line="440" w:lineRule="exact"/>
              <w:jc w:val="center"/>
              <w:rPr>
                <w:rFonts w:ascii="宋体" w:hAnsi="宋体" w:eastAsiaTheme="minorEastAsia"/>
                <w:color w:val="auto"/>
                <w:lang w:eastAsia="zh-CN"/>
              </w:rPr>
            </w:pPr>
            <w:r>
              <w:rPr>
                <w:rFonts w:hint="eastAsia" w:ascii="宋体" w:hAnsi="宋体"/>
                <w:color w:val="auto"/>
              </w:rPr>
              <w:t>硝基漆稀释剂</w:t>
            </w:r>
          </w:p>
        </w:tc>
        <w:tc>
          <w:tcPr>
            <w:tcW w:w="1139" w:type="dxa"/>
            <w:tcBorders>
              <w:top w:val="single" w:color="auto" w:sz="2" w:space="0"/>
              <w:left w:val="single" w:color="auto" w:sz="2" w:space="0"/>
              <w:bottom w:val="single" w:color="auto" w:sz="2" w:space="0"/>
              <w:right w:val="single" w:color="auto" w:sz="2" w:space="0"/>
            </w:tcBorders>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2828</w:t>
            </w:r>
          </w:p>
        </w:tc>
        <w:tc>
          <w:tcPr>
            <w:tcW w:w="992" w:type="dxa"/>
            <w:gridSpan w:val="2"/>
            <w:tcBorders>
              <w:top w:val="single" w:color="auto" w:sz="2" w:space="0"/>
              <w:left w:val="single" w:color="auto" w:sz="2" w:space="0"/>
              <w:bottom w:val="single" w:color="auto" w:sz="2" w:space="0"/>
              <w:right w:val="single" w:color="auto" w:sz="2" w:space="0"/>
            </w:tcBorders>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w:t>
            </w:r>
          </w:p>
        </w:tc>
        <w:tc>
          <w:tcPr>
            <w:tcW w:w="775" w:type="dxa"/>
            <w:tcBorders>
              <w:top w:val="single" w:color="auto" w:sz="2" w:space="0"/>
              <w:left w:val="single" w:color="auto" w:sz="2" w:space="0"/>
              <w:bottom w:val="single" w:color="auto" w:sz="2" w:space="0"/>
              <w:right w:val="single" w:color="auto" w:sz="2" w:space="0"/>
            </w:tcBorders>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甲</w:t>
            </w:r>
          </w:p>
        </w:tc>
        <w:tc>
          <w:tcPr>
            <w:tcW w:w="1148" w:type="dxa"/>
            <w:tcBorders>
              <w:top w:val="single" w:color="auto" w:sz="2" w:space="0"/>
              <w:left w:val="single" w:color="auto" w:sz="2" w:space="0"/>
              <w:bottom w:val="single" w:color="auto" w:sz="2" w:space="0"/>
              <w:right w:val="single" w:color="auto" w:sz="2" w:space="0"/>
            </w:tcBorders>
            <w:shd w:val="clear" w:color="auto" w:fill="FFFFFF"/>
            <w:vAlign w:val="center"/>
          </w:tcPr>
          <w:p>
            <w:pPr>
              <w:spacing w:line="440" w:lineRule="exact"/>
              <w:jc w:val="center"/>
              <w:rPr>
                <w:rFonts w:ascii="宋体" w:hAnsi="宋体"/>
                <w:color w:val="auto"/>
              </w:rPr>
            </w:pPr>
            <w:r>
              <w:rPr>
                <w:rFonts w:ascii="宋体" w:hAnsi="宋体"/>
                <w:color w:val="auto"/>
              </w:rPr>
              <w:t>300</w:t>
            </w:r>
          </w:p>
        </w:tc>
        <w:tc>
          <w:tcPr>
            <w:tcW w:w="1099" w:type="dxa"/>
            <w:tcBorders>
              <w:top w:val="single" w:color="auto" w:sz="2" w:space="0"/>
              <w:left w:val="single" w:color="auto" w:sz="2" w:space="0"/>
              <w:bottom w:val="single" w:color="auto" w:sz="2" w:space="0"/>
              <w:right w:val="single" w:color="auto" w:sz="2" w:space="0"/>
            </w:tcBorders>
            <w:shd w:val="clear" w:color="auto" w:fill="FFFFFF"/>
            <w:vAlign w:val="center"/>
          </w:tcPr>
          <w:p>
            <w:pPr>
              <w:spacing w:line="440" w:lineRule="exact"/>
              <w:jc w:val="center"/>
              <w:rPr>
                <w:rFonts w:ascii="宋体" w:hAnsi="宋体"/>
                <w:color w:val="auto"/>
              </w:rPr>
            </w:pPr>
            <w:r>
              <w:rPr>
                <w:rFonts w:ascii="宋体" w:hAnsi="宋体"/>
                <w:color w:val="auto"/>
              </w:rPr>
              <w:t>5</w:t>
            </w:r>
          </w:p>
        </w:tc>
        <w:tc>
          <w:tcPr>
            <w:tcW w:w="1488" w:type="dxa"/>
            <w:tcBorders>
              <w:top w:val="single" w:color="auto" w:sz="2" w:space="0"/>
              <w:left w:val="single" w:color="auto" w:sz="2" w:space="0"/>
              <w:bottom w:val="single" w:color="auto" w:sz="2" w:space="0"/>
              <w:right w:val="single" w:color="auto" w:sz="2" w:space="0"/>
            </w:tcBorders>
            <w:shd w:val="clear" w:color="auto" w:fill="FFFFFF"/>
            <w:vAlign w:val="center"/>
          </w:tcPr>
          <w:p>
            <w:pPr>
              <w:jc w:val="center"/>
              <w:rPr>
                <w:color w:val="auto"/>
              </w:rPr>
            </w:pPr>
            <w:r>
              <w:rPr>
                <w:rFonts w:hint="eastAsia" w:ascii="宋体" w:hAnsi="宋体" w:eastAsia="宋体"/>
                <w:color w:val="auto"/>
                <w:sz w:val="21"/>
                <w:szCs w:val="21"/>
                <w:lang w:eastAsia="zh-CN"/>
              </w:rPr>
              <w:t>甲类仓库</w:t>
            </w:r>
          </w:p>
        </w:tc>
      </w:tr>
    </w:tbl>
    <w:p>
      <w:pPr>
        <w:spacing w:line="560" w:lineRule="exact"/>
        <w:rPr>
          <w:rFonts w:ascii="宋体" w:hAnsi="宋体" w:eastAsiaTheme="minorEastAsia"/>
          <w:b/>
          <w:color w:val="auto"/>
          <w:lang w:eastAsia="zh-CN"/>
        </w:rPr>
      </w:pPr>
    </w:p>
    <w:p>
      <w:pPr>
        <w:spacing w:line="560" w:lineRule="exact"/>
        <w:jc w:val="center"/>
        <w:rPr>
          <w:rFonts w:ascii="宋体" w:hAnsi="宋体" w:eastAsia="宋体"/>
          <w:b/>
          <w:color w:val="auto"/>
        </w:rPr>
      </w:pPr>
      <w:r>
        <w:rPr>
          <w:rFonts w:ascii="宋体" w:hAnsi="宋体" w:eastAsia="宋体"/>
          <w:b/>
          <w:color w:val="auto"/>
        </w:rPr>
        <w:t>表2-</w:t>
      </w:r>
      <w:r>
        <w:rPr>
          <w:rFonts w:hint="eastAsia" w:ascii="宋体" w:hAnsi="宋体" w:eastAsia="宋体"/>
          <w:b/>
          <w:color w:val="auto"/>
        </w:rPr>
        <w:t>6</w:t>
      </w:r>
      <w:r>
        <w:rPr>
          <w:rFonts w:ascii="宋体" w:hAnsi="宋体" w:eastAsia="宋体"/>
          <w:b/>
          <w:color w:val="auto"/>
        </w:rPr>
        <w:t>主要原材料及其消耗量表</w:t>
      </w:r>
    </w:p>
    <w:tbl>
      <w:tblPr>
        <w:tblStyle w:val="45"/>
        <w:tblW w:w="5000" w:type="pct"/>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 w:type="dxa"/>
          <w:bottom w:w="0" w:type="dxa"/>
          <w:right w:w="10" w:type="dxa"/>
        </w:tblCellMar>
      </w:tblPr>
      <w:tblGrid>
        <w:gridCol w:w="719"/>
        <w:gridCol w:w="2552"/>
        <w:gridCol w:w="762"/>
        <w:gridCol w:w="1501"/>
        <w:gridCol w:w="1107"/>
        <w:gridCol w:w="1166"/>
        <w:gridCol w:w="1391"/>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tblHeader/>
          <w:jc w:val="center"/>
        </w:trPr>
        <w:tc>
          <w:tcPr>
            <w:tcW w:w="719" w:type="dxa"/>
            <w:shd w:val="clear" w:color="auto" w:fill="FFFFFF"/>
            <w:vAlign w:val="center"/>
          </w:tcPr>
          <w:p>
            <w:pPr>
              <w:spacing w:line="360" w:lineRule="exact"/>
              <w:jc w:val="center"/>
              <w:rPr>
                <w:rFonts w:ascii="宋体" w:hAnsi="宋体" w:eastAsia="宋体"/>
                <w:b/>
                <w:color w:val="auto"/>
                <w:sz w:val="21"/>
                <w:szCs w:val="21"/>
              </w:rPr>
            </w:pPr>
            <w:r>
              <w:rPr>
                <w:rFonts w:ascii="宋体" w:hAnsi="宋体" w:eastAsia="宋体"/>
                <w:b/>
                <w:color w:val="auto"/>
                <w:sz w:val="21"/>
                <w:szCs w:val="21"/>
              </w:rPr>
              <w:t>序号</w:t>
            </w:r>
          </w:p>
        </w:tc>
        <w:tc>
          <w:tcPr>
            <w:tcW w:w="2552" w:type="dxa"/>
            <w:tcBorders>
              <w:right w:val="single" w:color="auto" w:sz="4" w:space="0"/>
            </w:tcBorders>
            <w:shd w:val="clear" w:color="auto" w:fill="FFFFFF"/>
            <w:vAlign w:val="center"/>
          </w:tcPr>
          <w:p>
            <w:pPr>
              <w:spacing w:line="360" w:lineRule="exact"/>
              <w:jc w:val="center"/>
              <w:rPr>
                <w:rFonts w:ascii="宋体" w:hAnsi="宋体" w:eastAsia="宋体"/>
                <w:b/>
                <w:color w:val="auto"/>
                <w:sz w:val="21"/>
                <w:szCs w:val="21"/>
              </w:rPr>
            </w:pPr>
            <w:r>
              <w:rPr>
                <w:rFonts w:ascii="宋体" w:hAnsi="宋体" w:eastAsia="宋体"/>
                <w:b/>
                <w:color w:val="auto"/>
                <w:sz w:val="21"/>
                <w:szCs w:val="21"/>
              </w:rPr>
              <w:t>原材料名称</w:t>
            </w:r>
          </w:p>
        </w:tc>
        <w:tc>
          <w:tcPr>
            <w:tcW w:w="762" w:type="dxa"/>
            <w:tcBorders>
              <w:left w:val="single" w:color="auto" w:sz="4" w:space="0"/>
            </w:tcBorders>
            <w:shd w:val="clear" w:color="auto" w:fill="FFFFFF"/>
            <w:vAlign w:val="center"/>
          </w:tcPr>
          <w:p>
            <w:pPr>
              <w:spacing w:line="360" w:lineRule="exact"/>
              <w:jc w:val="center"/>
              <w:rPr>
                <w:rFonts w:ascii="宋体" w:hAnsi="宋体" w:eastAsia="宋体"/>
                <w:b/>
                <w:color w:val="auto"/>
                <w:sz w:val="21"/>
                <w:szCs w:val="21"/>
                <w:lang w:eastAsia="zh-CN"/>
              </w:rPr>
            </w:pPr>
            <w:r>
              <w:rPr>
                <w:rFonts w:hint="eastAsia" w:ascii="宋体" w:hAnsi="宋体" w:eastAsia="宋体"/>
                <w:b/>
                <w:color w:val="auto"/>
                <w:sz w:val="21"/>
                <w:szCs w:val="21"/>
                <w:lang w:eastAsia="zh-CN"/>
              </w:rPr>
              <w:t>火灾危险性</w:t>
            </w:r>
          </w:p>
        </w:tc>
        <w:tc>
          <w:tcPr>
            <w:tcW w:w="1501" w:type="dxa"/>
            <w:tcBorders>
              <w:right w:val="single" w:color="auto" w:sz="4" w:space="0"/>
            </w:tcBorders>
            <w:shd w:val="clear" w:color="auto" w:fill="FFFFFF"/>
            <w:vAlign w:val="center"/>
          </w:tcPr>
          <w:p>
            <w:pPr>
              <w:spacing w:line="360" w:lineRule="exact"/>
              <w:jc w:val="center"/>
              <w:rPr>
                <w:rFonts w:ascii="宋体" w:hAnsi="宋体" w:eastAsia="宋体"/>
                <w:b/>
                <w:color w:val="auto"/>
                <w:sz w:val="21"/>
                <w:szCs w:val="21"/>
              </w:rPr>
            </w:pPr>
            <w:r>
              <w:rPr>
                <w:rFonts w:ascii="宋体" w:hAnsi="宋体" w:eastAsia="宋体"/>
                <w:b/>
                <w:color w:val="auto"/>
                <w:sz w:val="21"/>
                <w:szCs w:val="21"/>
              </w:rPr>
              <w:t>危险化学品序号</w:t>
            </w:r>
          </w:p>
        </w:tc>
        <w:tc>
          <w:tcPr>
            <w:tcW w:w="1107" w:type="dxa"/>
            <w:shd w:val="clear" w:color="auto" w:fill="FFFFFF"/>
            <w:vAlign w:val="center"/>
          </w:tcPr>
          <w:p>
            <w:pPr>
              <w:spacing w:line="360" w:lineRule="exact"/>
              <w:jc w:val="center"/>
              <w:rPr>
                <w:rFonts w:ascii="宋体" w:hAnsi="宋体" w:eastAsia="宋体"/>
                <w:b/>
                <w:color w:val="auto"/>
                <w:sz w:val="21"/>
                <w:szCs w:val="21"/>
              </w:rPr>
            </w:pPr>
            <w:r>
              <w:rPr>
                <w:rFonts w:ascii="宋体" w:hAnsi="宋体" w:eastAsia="宋体"/>
                <w:b/>
                <w:color w:val="auto"/>
                <w:sz w:val="21"/>
                <w:szCs w:val="21"/>
              </w:rPr>
              <w:t>年用量</w:t>
            </w:r>
            <w:r>
              <w:rPr>
                <w:rFonts w:hint="eastAsia" w:ascii="宋体" w:hAnsi="宋体" w:eastAsia="宋体"/>
                <w:b/>
                <w:color w:val="auto"/>
                <w:sz w:val="21"/>
                <w:szCs w:val="21"/>
                <w:lang w:eastAsia="zh-CN"/>
              </w:rPr>
              <w:t>(t)</w:t>
            </w:r>
          </w:p>
        </w:tc>
        <w:tc>
          <w:tcPr>
            <w:tcW w:w="1166" w:type="dxa"/>
            <w:shd w:val="clear" w:color="auto" w:fill="FFFFFF"/>
            <w:vAlign w:val="center"/>
          </w:tcPr>
          <w:p>
            <w:pPr>
              <w:spacing w:line="360" w:lineRule="exact"/>
              <w:jc w:val="center"/>
              <w:rPr>
                <w:rFonts w:ascii="宋体" w:hAnsi="宋体" w:eastAsia="宋体"/>
                <w:b/>
                <w:color w:val="auto"/>
                <w:sz w:val="21"/>
                <w:szCs w:val="21"/>
              </w:rPr>
            </w:pPr>
            <w:r>
              <w:rPr>
                <w:rFonts w:ascii="宋体" w:hAnsi="宋体" w:eastAsia="宋体"/>
                <w:b/>
                <w:color w:val="auto"/>
                <w:sz w:val="21"/>
                <w:szCs w:val="21"/>
              </w:rPr>
              <w:t>储存地点</w:t>
            </w:r>
          </w:p>
        </w:tc>
        <w:tc>
          <w:tcPr>
            <w:tcW w:w="1391" w:type="dxa"/>
            <w:shd w:val="clear" w:color="auto" w:fill="FFFFFF"/>
            <w:vAlign w:val="center"/>
          </w:tcPr>
          <w:p>
            <w:pPr>
              <w:spacing w:line="360" w:lineRule="exact"/>
              <w:jc w:val="center"/>
              <w:rPr>
                <w:rFonts w:ascii="宋体" w:hAnsi="宋体" w:eastAsia="宋体"/>
                <w:b/>
                <w:color w:val="auto"/>
                <w:sz w:val="21"/>
                <w:szCs w:val="21"/>
              </w:rPr>
            </w:pPr>
            <w:r>
              <w:rPr>
                <w:rFonts w:hint="eastAsia" w:ascii="宋体" w:hAnsi="宋体" w:eastAsia="宋体"/>
                <w:b/>
                <w:color w:val="auto"/>
                <w:sz w:val="21"/>
                <w:szCs w:val="21"/>
                <w:lang w:eastAsia="zh-CN"/>
              </w:rPr>
              <w:t>最大设计储存量（</w:t>
            </w:r>
            <w:r>
              <w:rPr>
                <w:rFonts w:hint="eastAsia" w:ascii="宋体" w:hAnsi="宋体" w:eastAsia="宋体"/>
                <w:b/>
                <w:color w:val="auto"/>
                <w:sz w:val="21"/>
                <w:szCs w:val="21"/>
                <w:lang w:val="en-US" w:eastAsia="zh-CN"/>
              </w:rPr>
              <w:t>t</w:t>
            </w:r>
            <w:r>
              <w:rPr>
                <w:rFonts w:hint="eastAsia" w:ascii="宋体" w:hAnsi="宋体" w:eastAsia="宋体"/>
                <w:b/>
                <w:color w:val="auto"/>
                <w:sz w:val="21"/>
                <w:szCs w:val="21"/>
                <w:lang w:eastAsia="zh-CN"/>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719" w:type="dxa"/>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1</w:t>
            </w:r>
          </w:p>
        </w:tc>
        <w:tc>
          <w:tcPr>
            <w:tcW w:w="2552" w:type="dxa"/>
            <w:tcBorders>
              <w:right w:val="single" w:color="auto" w:sz="4" w:space="0"/>
            </w:tcBorders>
            <w:shd w:val="clear" w:color="auto" w:fill="FFFFFF"/>
            <w:vAlign w:val="center"/>
          </w:tcPr>
          <w:p>
            <w:pPr>
              <w:jc w:val="center"/>
              <w:rPr>
                <w:rFonts w:ascii="宋体" w:hAnsi="宋体" w:eastAsia="宋体"/>
                <w:color w:val="auto"/>
                <w:sz w:val="21"/>
                <w:szCs w:val="21"/>
                <w:lang w:eastAsia="zh-CN"/>
              </w:rPr>
            </w:pPr>
            <w:r>
              <w:rPr>
                <w:rFonts w:hint="eastAsia" w:ascii="宋体" w:hAnsi="宋体" w:eastAsia="宋体"/>
                <w:color w:val="auto"/>
                <w:sz w:val="21"/>
                <w:szCs w:val="21"/>
              </w:rPr>
              <w:t>二甲苯异构体混合物</w:t>
            </w:r>
          </w:p>
        </w:tc>
        <w:tc>
          <w:tcPr>
            <w:tcW w:w="762" w:type="dxa"/>
            <w:tcBorders>
              <w:left w:val="single" w:color="auto" w:sz="4" w:space="0"/>
            </w:tcBorders>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甲</w:t>
            </w:r>
          </w:p>
        </w:tc>
        <w:tc>
          <w:tcPr>
            <w:tcW w:w="1501" w:type="dxa"/>
            <w:tcBorders>
              <w:right w:val="single" w:color="auto" w:sz="4" w:space="0"/>
            </w:tcBorders>
            <w:shd w:val="clear" w:color="auto" w:fill="FFFFFF"/>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358</w:t>
            </w:r>
          </w:p>
        </w:tc>
        <w:tc>
          <w:tcPr>
            <w:tcW w:w="1107" w:type="dxa"/>
            <w:shd w:val="clear" w:color="auto" w:fill="FFFFFF"/>
            <w:vAlign w:val="center"/>
          </w:tcPr>
          <w:p>
            <w:pPr>
              <w:jc w:val="center"/>
              <w:rPr>
                <w:rFonts w:ascii="宋体" w:hAnsi="宋体" w:eastAsia="宋体"/>
                <w:color w:val="auto"/>
                <w:sz w:val="21"/>
                <w:szCs w:val="21"/>
              </w:rPr>
            </w:pPr>
            <w:r>
              <w:rPr>
                <w:rFonts w:ascii="宋体" w:hAnsi="宋体" w:eastAsia="宋体"/>
                <w:color w:val="auto"/>
                <w:sz w:val="21"/>
                <w:szCs w:val="21"/>
              </w:rPr>
              <w:t>450</w:t>
            </w:r>
          </w:p>
        </w:tc>
        <w:tc>
          <w:tcPr>
            <w:tcW w:w="1166"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lang w:eastAsia="zh-CN"/>
              </w:rPr>
              <w:t>甲类仓库</w:t>
            </w:r>
          </w:p>
        </w:tc>
        <w:tc>
          <w:tcPr>
            <w:tcW w:w="1391" w:type="dxa"/>
            <w:shd w:val="clear" w:color="auto" w:fill="FFFFFF"/>
            <w:vAlign w:val="center"/>
          </w:tcPr>
          <w:p>
            <w:pPr>
              <w:spacing w:line="440" w:lineRule="exact"/>
              <w:jc w:val="center"/>
              <w:rPr>
                <w:rFonts w:ascii="宋体" w:hAnsi="宋体" w:eastAsia="宋体"/>
                <w:color w:val="auto"/>
                <w:sz w:val="21"/>
                <w:szCs w:val="21"/>
              </w:rPr>
            </w:pPr>
            <w:r>
              <w:rPr>
                <w:rFonts w:ascii="宋体" w:hAnsi="宋体" w:eastAsia="宋体"/>
                <w:color w:val="auto"/>
                <w:sz w:val="21"/>
                <w:szCs w:val="21"/>
              </w:rPr>
              <w:t>20</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719" w:type="dxa"/>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2</w:t>
            </w:r>
          </w:p>
        </w:tc>
        <w:tc>
          <w:tcPr>
            <w:tcW w:w="2552" w:type="dxa"/>
            <w:tcBorders>
              <w:right w:val="single" w:color="auto" w:sz="4" w:space="0"/>
            </w:tcBorders>
            <w:shd w:val="clear" w:color="auto" w:fill="FFFFFF"/>
            <w:vAlign w:val="center"/>
          </w:tcPr>
          <w:p>
            <w:pPr>
              <w:jc w:val="center"/>
              <w:rPr>
                <w:rFonts w:ascii="宋体" w:hAnsi="宋体" w:eastAsia="宋体"/>
                <w:color w:val="auto"/>
                <w:sz w:val="21"/>
                <w:szCs w:val="21"/>
                <w:lang w:eastAsia="zh-CN"/>
              </w:rPr>
            </w:pPr>
            <w:r>
              <w:rPr>
                <w:rFonts w:hint="eastAsia" w:ascii="宋体" w:hAnsi="宋体" w:eastAsia="宋体"/>
                <w:color w:val="auto"/>
                <w:sz w:val="21"/>
                <w:szCs w:val="21"/>
              </w:rPr>
              <w:t>乙酸正丁酯</w:t>
            </w:r>
          </w:p>
        </w:tc>
        <w:tc>
          <w:tcPr>
            <w:tcW w:w="762" w:type="dxa"/>
            <w:tcBorders>
              <w:left w:val="single" w:color="auto" w:sz="4" w:space="0"/>
            </w:tcBorders>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甲</w:t>
            </w:r>
          </w:p>
        </w:tc>
        <w:tc>
          <w:tcPr>
            <w:tcW w:w="1501" w:type="dxa"/>
            <w:tcBorders>
              <w:right w:val="single" w:color="auto" w:sz="4" w:space="0"/>
            </w:tcBorders>
            <w:shd w:val="clear" w:color="auto" w:fill="FFFFFF"/>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2657</w:t>
            </w:r>
          </w:p>
        </w:tc>
        <w:tc>
          <w:tcPr>
            <w:tcW w:w="1107" w:type="dxa"/>
            <w:shd w:val="clear" w:color="auto" w:fill="FFFFFF"/>
            <w:vAlign w:val="center"/>
          </w:tcPr>
          <w:p>
            <w:pPr>
              <w:jc w:val="center"/>
              <w:rPr>
                <w:rFonts w:ascii="宋体" w:hAnsi="宋体" w:eastAsia="宋体"/>
                <w:color w:val="auto"/>
                <w:sz w:val="21"/>
                <w:szCs w:val="21"/>
              </w:rPr>
            </w:pPr>
            <w:r>
              <w:rPr>
                <w:rFonts w:ascii="宋体" w:hAnsi="宋体" w:eastAsia="宋体"/>
                <w:color w:val="auto"/>
                <w:sz w:val="21"/>
                <w:szCs w:val="21"/>
              </w:rPr>
              <w:t>300</w:t>
            </w:r>
          </w:p>
        </w:tc>
        <w:tc>
          <w:tcPr>
            <w:tcW w:w="1166"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lang w:eastAsia="zh-CN"/>
              </w:rPr>
              <w:t>甲类仓库</w:t>
            </w:r>
          </w:p>
        </w:tc>
        <w:tc>
          <w:tcPr>
            <w:tcW w:w="1391" w:type="dxa"/>
            <w:shd w:val="clear" w:color="auto" w:fill="FFFFFF"/>
            <w:vAlign w:val="center"/>
          </w:tcPr>
          <w:p>
            <w:pPr>
              <w:spacing w:line="440" w:lineRule="exact"/>
              <w:jc w:val="center"/>
              <w:rPr>
                <w:rFonts w:ascii="宋体" w:hAnsi="宋体" w:eastAsia="宋体"/>
                <w:color w:val="auto"/>
                <w:sz w:val="21"/>
                <w:szCs w:val="21"/>
              </w:rPr>
            </w:pPr>
            <w:r>
              <w:rPr>
                <w:rFonts w:ascii="宋体" w:hAnsi="宋体" w:eastAsia="宋体"/>
                <w:color w:val="auto"/>
                <w:sz w:val="21"/>
                <w:szCs w:val="21"/>
              </w:rPr>
              <w:t>20</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719" w:type="dxa"/>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3</w:t>
            </w:r>
          </w:p>
        </w:tc>
        <w:tc>
          <w:tcPr>
            <w:tcW w:w="2552" w:type="dxa"/>
            <w:tcBorders>
              <w:right w:val="single" w:color="auto" w:sz="4" w:space="0"/>
            </w:tcBorders>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rPr>
              <w:t>环己酮</w:t>
            </w:r>
          </w:p>
        </w:tc>
        <w:tc>
          <w:tcPr>
            <w:tcW w:w="762" w:type="dxa"/>
            <w:tcBorders>
              <w:left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乙</w:t>
            </w:r>
          </w:p>
        </w:tc>
        <w:tc>
          <w:tcPr>
            <w:tcW w:w="1501" w:type="dxa"/>
            <w:tcBorders>
              <w:right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952</w:t>
            </w:r>
          </w:p>
        </w:tc>
        <w:tc>
          <w:tcPr>
            <w:tcW w:w="1107" w:type="dxa"/>
            <w:shd w:val="clear" w:color="auto" w:fill="FFFFFF"/>
            <w:vAlign w:val="center"/>
          </w:tcPr>
          <w:p>
            <w:pPr>
              <w:jc w:val="center"/>
              <w:rPr>
                <w:rFonts w:ascii="宋体" w:hAnsi="宋体" w:eastAsia="宋体"/>
                <w:color w:val="auto"/>
                <w:sz w:val="21"/>
                <w:szCs w:val="21"/>
              </w:rPr>
            </w:pPr>
            <w:r>
              <w:rPr>
                <w:rFonts w:ascii="宋体" w:hAnsi="宋体" w:eastAsia="宋体"/>
                <w:color w:val="auto"/>
                <w:sz w:val="21"/>
                <w:szCs w:val="21"/>
              </w:rPr>
              <w:t>150</w:t>
            </w:r>
          </w:p>
        </w:tc>
        <w:tc>
          <w:tcPr>
            <w:tcW w:w="1166"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lang w:eastAsia="zh-CN"/>
              </w:rPr>
              <w:t>甲类仓库</w:t>
            </w:r>
          </w:p>
        </w:tc>
        <w:tc>
          <w:tcPr>
            <w:tcW w:w="1391" w:type="dxa"/>
            <w:shd w:val="clear" w:color="auto" w:fill="FFFFFF"/>
            <w:vAlign w:val="center"/>
          </w:tcPr>
          <w:p>
            <w:pPr>
              <w:spacing w:line="440" w:lineRule="exact"/>
              <w:jc w:val="center"/>
              <w:rPr>
                <w:rFonts w:ascii="宋体" w:hAnsi="宋体" w:eastAsia="宋体"/>
                <w:color w:val="auto"/>
                <w:sz w:val="21"/>
                <w:szCs w:val="21"/>
              </w:rPr>
            </w:pPr>
            <w:r>
              <w:rPr>
                <w:rFonts w:ascii="宋体" w:hAnsi="宋体" w:eastAsia="宋体"/>
                <w:color w:val="auto"/>
                <w:sz w:val="21"/>
                <w:szCs w:val="21"/>
              </w:rPr>
              <w:t>20</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719" w:type="dxa"/>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4</w:t>
            </w:r>
          </w:p>
        </w:tc>
        <w:tc>
          <w:tcPr>
            <w:tcW w:w="2552" w:type="dxa"/>
            <w:tcBorders>
              <w:right w:val="single" w:color="auto" w:sz="4" w:space="0"/>
            </w:tcBorders>
            <w:shd w:val="clear" w:color="auto" w:fill="FFFFFF"/>
            <w:vAlign w:val="center"/>
          </w:tcPr>
          <w:p>
            <w:pPr>
              <w:jc w:val="center"/>
              <w:rPr>
                <w:rFonts w:ascii="宋体" w:hAnsi="宋体" w:eastAsia="宋体"/>
                <w:color w:val="auto"/>
                <w:sz w:val="21"/>
                <w:szCs w:val="21"/>
                <w:lang w:eastAsia="zh-CN"/>
              </w:rPr>
            </w:pPr>
            <w:r>
              <w:rPr>
                <w:rFonts w:hint="eastAsia" w:ascii="宋体" w:hAnsi="宋体" w:eastAsia="宋体"/>
                <w:color w:val="auto"/>
                <w:sz w:val="21"/>
                <w:szCs w:val="21"/>
              </w:rPr>
              <w:t>苯乙烯【抑制了的】</w:t>
            </w:r>
          </w:p>
        </w:tc>
        <w:tc>
          <w:tcPr>
            <w:tcW w:w="762" w:type="dxa"/>
            <w:tcBorders>
              <w:left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乙</w:t>
            </w:r>
          </w:p>
        </w:tc>
        <w:tc>
          <w:tcPr>
            <w:tcW w:w="1501" w:type="dxa"/>
            <w:tcBorders>
              <w:right w:val="single" w:color="auto" w:sz="4" w:space="0"/>
            </w:tcBorders>
            <w:shd w:val="clear" w:color="auto" w:fill="FFFFFF"/>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96</w:t>
            </w:r>
          </w:p>
        </w:tc>
        <w:tc>
          <w:tcPr>
            <w:tcW w:w="1107" w:type="dxa"/>
            <w:shd w:val="clear" w:color="auto" w:fill="FFFFFF"/>
            <w:vAlign w:val="center"/>
          </w:tcPr>
          <w:p>
            <w:pPr>
              <w:jc w:val="center"/>
              <w:rPr>
                <w:rFonts w:ascii="宋体" w:hAnsi="宋体" w:eastAsia="宋体"/>
                <w:color w:val="auto"/>
                <w:sz w:val="21"/>
                <w:szCs w:val="21"/>
              </w:rPr>
            </w:pPr>
            <w:r>
              <w:rPr>
                <w:rFonts w:ascii="宋体" w:hAnsi="宋体" w:eastAsia="宋体"/>
                <w:color w:val="auto"/>
                <w:sz w:val="21"/>
                <w:szCs w:val="21"/>
              </w:rPr>
              <w:t>50</w:t>
            </w:r>
          </w:p>
        </w:tc>
        <w:tc>
          <w:tcPr>
            <w:tcW w:w="1166"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lang w:eastAsia="zh-CN"/>
              </w:rPr>
              <w:t>甲类仓库</w:t>
            </w:r>
          </w:p>
        </w:tc>
        <w:tc>
          <w:tcPr>
            <w:tcW w:w="1391" w:type="dxa"/>
            <w:shd w:val="clear" w:color="auto" w:fill="FFFFFF"/>
            <w:vAlign w:val="center"/>
          </w:tcPr>
          <w:p>
            <w:pPr>
              <w:spacing w:line="440" w:lineRule="exact"/>
              <w:jc w:val="center"/>
              <w:rPr>
                <w:rFonts w:ascii="宋体" w:hAnsi="宋体" w:eastAsia="宋体"/>
                <w:color w:val="auto"/>
                <w:sz w:val="21"/>
                <w:szCs w:val="21"/>
              </w:rPr>
            </w:pPr>
            <w:r>
              <w:rPr>
                <w:rFonts w:ascii="宋体" w:hAnsi="宋体" w:eastAsia="宋体"/>
                <w:color w:val="auto"/>
                <w:sz w:val="21"/>
                <w:szCs w:val="21"/>
              </w:rPr>
              <w:t>1</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719" w:type="dxa"/>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5</w:t>
            </w:r>
          </w:p>
        </w:tc>
        <w:tc>
          <w:tcPr>
            <w:tcW w:w="2552" w:type="dxa"/>
            <w:tcBorders>
              <w:right w:val="single" w:color="auto" w:sz="4" w:space="0"/>
            </w:tcBorders>
            <w:shd w:val="clear" w:color="auto" w:fill="FFFFFF"/>
            <w:vAlign w:val="center"/>
          </w:tcPr>
          <w:p>
            <w:pPr>
              <w:jc w:val="center"/>
              <w:rPr>
                <w:rFonts w:ascii="宋体" w:hAnsi="宋体" w:eastAsia="宋体"/>
                <w:color w:val="auto"/>
                <w:sz w:val="21"/>
                <w:szCs w:val="21"/>
                <w:lang w:eastAsia="zh-CN"/>
              </w:rPr>
            </w:pPr>
            <w:r>
              <w:rPr>
                <w:rFonts w:hint="eastAsia" w:ascii="宋体" w:hAnsi="宋体" w:eastAsia="宋体"/>
                <w:color w:val="auto"/>
                <w:sz w:val="21"/>
                <w:szCs w:val="21"/>
              </w:rPr>
              <w:t>乙酸乙酯</w:t>
            </w:r>
          </w:p>
        </w:tc>
        <w:tc>
          <w:tcPr>
            <w:tcW w:w="762" w:type="dxa"/>
            <w:tcBorders>
              <w:left w:val="single" w:color="auto" w:sz="4" w:space="0"/>
            </w:tcBorders>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甲</w:t>
            </w:r>
          </w:p>
        </w:tc>
        <w:tc>
          <w:tcPr>
            <w:tcW w:w="1501" w:type="dxa"/>
            <w:tcBorders>
              <w:right w:val="single" w:color="auto" w:sz="4" w:space="0"/>
            </w:tcBorders>
            <w:shd w:val="clear" w:color="auto" w:fill="FFFFFF"/>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2651</w:t>
            </w:r>
          </w:p>
        </w:tc>
        <w:tc>
          <w:tcPr>
            <w:tcW w:w="1107" w:type="dxa"/>
            <w:shd w:val="clear" w:color="auto" w:fill="FFFFFF"/>
            <w:vAlign w:val="center"/>
          </w:tcPr>
          <w:p>
            <w:pPr>
              <w:jc w:val="center"/>
              <w:rPr>
                <w:rFonts w:ascii="宋体" w:hAnsi="宋体" w:eastAsia="宋体"/>
                <w:color w:val="auto"/>
                <w:sz w:val="21"/>
                <w:szCs w:val="21"/>
              </w:rPr>
            </w:pPr>
            <w:r>
              <w:rPr>
                <w:rFonts w:ascii="宋体" w:hAnsi="宋体" w:eastAsia="宋体"/>
                <w:color w:val="auto"/>
                <w:sz w:val="21"/>
                <w:szCs w:val="21"/>
              </w:rPr>
              <w:t>100</w:t>
            </w:r>
          </w:p>
        </w:tc>
        <w:tc>
          <w:tcPr>
            <w:tcW w:w="1166"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lang w:eastAsia="zh-CN"/>
              </w:rPr>
              <w:t>甲类仓库</w:t>
            </w:r>
          </w:p>
        </w:tc>
        <w:tc>
          <w:tcPr>
            <w:tcW w:w="1391" w:type="dxa"/>
            <w:shd w:val="clear" w:color="auto" w:fill="FFFFFF"/>
            <w:vAlign w:val="center"/>
          </w:tcPr>
          <w:p>
            <w:pPr>
              <w:spacing w:line="440" w:lineRule="exact"/>
              <w:jc w:val="center"/>
              <w:rPr>
                <w:rFonts w:ascii="宋体" w:hAnsi="宋体" w:eastAsia="宋体"/>
                <w:color w:val="auto"/>
                <w:sz w:val="21"/>
                <w:szCs w:val="21"/>
              </w:rPr>
            </w:pPr>
            <w:r>
              <w:rPr>
                <w:rFonts w:ascii="宋体" w:hAnsi="宋体" w:eastAsia="宋体"/>
                <w:color w:val="auto"/>
                <w:sz w:val="21"/>
                <w:szCs w:val="21"/>
              </w:rPr>
              <w:t>10</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719" w:type="dxa"/>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6</w:t>
            </w:r>
          </w:p>
        </w:tc>
        <w:tc>
          <w:tcPr>
            <w:tcW w:w="2552" w:type="dxa"/>
            <w:tcBorders>
              <w:right w:val="single" w:color="auto" w:sz="4" w:space="0"/>
            </w:tcBorders>
            <w:shd w:val="clear" w:color="auto" w:fill="FFFFFF"/>
            <w:vAlign w:val="center"/>
          </w:tcPr>
          <w:p>
            <w:pPr>
              <w:spacing w:line="440" w:lineRule="exact"/>
              <w:jc w:val="center"/>
              <w:rPr>
                <w:rFonts w:ascii="宋体" w:hAnsi="宋体" w:eastAsia="宋体"/>
                <w:color w:val="auto"/>
                <w:sz w:val="21"/>
                <w:szCs w:val="21"/>
                <w:lang w:eastAsia="zh-CN"/>
              </w:rPr>
            </w:pPr>
            <w:r>
              <w:rPr>
                <w:rFonts w:hint="eastAsia" w:ascii="宋体" w:hAnsi="宋体" w:eastAsia="宋体"/>
                <w:color w:val="auto"/>
                <w:sz w:val="21"/>
                <w:szCs w:val="21"/>
              </w:rPr>
              <w:t>醇酸树脂</w:t>
            </w:r>
          </w:p>
        </w:tc>
        <w:tc>
          <w:tcPr>
            <w:tcW w:w="762" w:type="dxa"/>
            <w:tcBorders>
              <w:left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乙</w:t>
            </w:r>
          </w:p>
        </w:tc>
        <w:tc>
          <w:tcPr>
            <w:tcW w:w="1501" w:type="dxa"/>
            <w:tcBorders>
              <w:right w:val="single" w:color="auto" w:sz="4" w:space="0"/>
            </w:tcBorders>
            <w:shd w:val="clear" w:color="auto" w:fill="FFFFFF"/>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2828</w:t>
            </w:r>
          </w:p>
        </w:tc>
        <w:tc>
          <w:tcPr>
            <w:tcW w:w="1107" w:type="dxa"/>
            <w:shd w:val="clear" w:color="auto" w:fill="FFFFFF"/>
            <w:vAlign w:val="center"/>
          </w:tcPr>
          <w:p>
            <w:pPr>
              <w:spacing w:line="440" w:lineRule="exact"/>
              <w:jc w:val="center"/>
              <w:rPr>
                <w:rFonts w:ascii="宋体" w:hAnsi="宋体" w:eastAsia="宋体"/>
                <w:color w:val="auto"/>
                <w:sz w:val="21"/>
                <w:szCs w:val="21"/>
              </w:rPr>
            </w:pPr>
            <w:r>
              <w:rPr>
                <w:rFonts w:ascii="宋体" w:hAnsi="宋体" w:eastAsia="宋体"/>
                <w:color w:val="auto"/>
                <w:sz w:val="21"/>
                <w:szCs w:val="21"/>
              </w:rPr>
              <w:t>300</w:t>
            </w:r>
          </w:p>
        </w:tc>
        <w:tc>
          <w:tcPr>
            <w:tcW w:w="1166"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lang w:eastAsia="zh-CN"/>
              </w:rPr>
              <w:t>甲类仓库</w:t>
            </w:r>
          </w:p>
        </w:tc>
        <w:tc>
          <w:tcPr>
            <w:tcW w:w="1391" w:type="dxa"/>
            <w:shd w:val="clear" w:color="auto" w:fill="FFFFFF"/>
            <w:vAlign w:val="center"/>
          </w:tcPr>
          <w:p>
            <w:pPr>
              <w:spacing w:line="440" w:lineRule="exact"/>
              <w:jc w:val="center"/>
              <w:rPr>
                <w:rFonts w:ascii="宋体" w:hAnsi="宋体" w:eastAsia="宋体"/>
                <w:color w:val="auto"/>
                <w:sz w:val="21"/>
                <w:szCs w:val="21"/>
              </w:rPr>
            </w:pPr>
            <w:r>
              <w:rPr>
                <w:rFonts w:ascii="宋体" w:hAnsi="宋体" w:eastAsia="宋体"/>
                <w:color w:val="auto"/>
                <w:sz w:val="21"/>
                <w:szCs w:val="21"/>
              </w:rPr>
              <w:t>20</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719" w:type="dxa"/>
            <w:shd w:val="clear" w:color="auto" w:fill="FFFFFF"/>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7</w:t>
            </w:r>
          </w:p>
        </w:tc>
        <w:tc>
          <w:tcPr>
            <w:tcW w:w="2552" w:type="dxa"/>
            <w:tcBorders>
              <w:right w:val="single" w:color="auto" w:sz="4" w:space="0"/>
            </w:tcBorders>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rPr>
              <w:t>硝化纤维素溶液</w:t>
            </w:r>
            <w:r>
              <w:rPr>
                <w:rFonts w:ascii="宋体" w:hAnsi="宋体" w:eastAsia="宋体"/>
                <w:color w:val="auto"/>
                <w:sz w:val="21"/>
                <w:szCs w:val="21"/>
              </w:rPr>
              <w:t>[</w:t>
            </w:r>
            <w:r>
              <w:rPr>
                <w:rFonts w:hint="eastAsia" w:ascii="宋体" w:hAnsi="宋体" w:eastAsia="宋体"/>
                <w:color w:val="auto"/>
                <w:sz w:val="21"/>
                <w:szCs w:val="21"/>
              </w:rPr>
              <w:t>含氮量≤</w:t>
            </w:r>
            <w:r>
              <w:rPr>
                <w:rFonts w:ascii="宋体" w:hAnsi="宋体" w:eastAsia="宋体"/>
                <w:color w:val="auto"/>
                <w:sz w:val="21"/>
                <w:szCs w:val="21"/>
              </w:rPr>
              <w:t>12.6%</w:t>
            </w:r>
            <w:r>
              <w:rPr>
                <w:rFonts w:hint="eastAsia" w:ascii="宋体" w:hAnsi="宋体" w:eastAsia="宋体"/>
                <w:color w:val="auto"/>
                <w:sz w:val="21"/>
                <w:szCs w:val="21"/>
              </w:rPr>
              <w:t>，含硝化纤维素≤</w:t>
            </w:r>
            <w:r>
              <w:rPr>
                <w:rFonts w:ascii="宋体" w:hAnsi="宋体" w:eastAsia="宋体"/>
                <w:color w:val="auto"/>
                <w:sz w:val="21"/>
                <w:szCs w:val="21"/>
              </w:rPr>
              <w:t>55%]</w:t>
            </w:r>
          </w:p>
        </w:tc>
        <w:tc>
          <w:tcPr>
            <w:tcW w:w="762" w:type="dxa"/>
            <w:tcBorders>
              <w:left w:val="single" w:color="auto" w:sz="4" w:space="0"/>
            </w:tcBorders>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甲</w:t>
            </w:r>
          </w:p>
        </w:tc>
        <w:tc>
          <w:tcPr>
            <w:tcW w:w="1501" w:type="dxa"/>
            <w:tcBorders>
              <w:right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2208</w:t>
            </w:r>
          </w:p>
        </w:tc>
        <w:tc>
          <w:tcPr>
            <w:tcW w:w="1107" w:type="dxa"/>
            <w:shd w:val="clear" w:color="auto" w:fill="FFFFFF"/>
            <w:vAlign w:val="center"/>
          </w:tcPr>
          <w:p>
            <w:pPr>
              <w:jc w:val="center"/>
              <w:rPr>
                <w:rFonts w:ascii="宋体" w:hAnsi="宋体" w:eastAsia="宋体"/>
                <w:color w:val="auto"/>
                <w:sz w:val="21"/>
                <w:szCs w:val="21"/>
              </w:rPr>
            </w:pPr>
            <w:r>
              <w:rPr>
                <w:rFonts w:ascii="宋体" w:hAnsi="宋体" w:eastAsia="宋体"/>
                <w:color w:val="auto"/>
                <w:sz w:val="21"/>
                <w:szCs w:val="21"/>
              </w:rPr>
              <w:t>50</w:t>
            </w:r>
          </w:p>
        </w:tc>
        <w:tc>
          <w:tcPr>
            <w:tcW w:w="1166"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lang w:eastAsia="zh-CN"/>
              </w:rPr>
              <w:t>甲类仓库</w:t>
            </w:r>
          </w:p>
        </w:tc>
        <w:tc>
          <w:tcPr>
            <w:tcW w:w="1391" w:type="dxa"/>
            <w:shd w:val="clear" w:color="auto" w:fill="FFFFFF"/>
            <w:vAlign w:val="center"/>
          </w:tcPr>
          <w:p>
            <w:pPr>
              <w:spacing w:line="440" w:lineRule="exact"/>
              <w:jc w:val="center"/>
              <w:rPr>
                <w:rFonts w:ascii="宋体" w:hAnsi="宋体" w:eastAsia="宋体"/>
                <w:color w:val="auto"/>
                <w:sz w:val="21"/>
                <w:szCs w:val="21"/>
              </w:rPr>
            </w:pPr>
            <w:r>
              <w:rPr>
                <w:rFonts w:ascii="宋体" w:hAnsi="宋体" w:eastAsia="宋体"/>
                <w:color w:val="auto"/>
                <w:sz w:val="21"/>
                <w:szCs w:val="21"/>
              </w:rPr>
              <w:t>1</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719" w:type="dxa"/>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8</w:t>
            </w:r>
          </w:p>
        </w:tc>
        <w:tc>
          <w:tcPr>
            <w:tcW w:w="2552" w:type="dxa"/>
            <w:tcBorders>
              <w:right w:val="single" w:color="auto" w:sz="4" w:space="0"/>
            </w:tcBorders>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rPr>
              <w:t>不饱和聚酯树脂</w:t>
            </w:r>
          </w:p>
        </w:tc>
        <w:tc>
          <w:tcPr>
            <w:tcW w:w="762" w:type="dxa"/>
            <w:tcBorders>
              <w:left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乙</w:t>
            </w:r>
          </w:p>
        </w:tc>
        <w:tc>
          <w:tcPr>
            <w:tcW w:w="1501" w:type="dxa"/>
            <w:tcBorders>
              <w:right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2828</w:t>
            </w:r>
          </w:p>
        </w:tc>
        <w:tc>
          <w:tcPr>
            <w:tcW w:w="1107"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rPr>
              <w:t>200</w:t>
            </w:r>
          </w:p>
        </w:tc>
        <w:tc>
          <w:tcPr>
            <w:tcW w:w="1166"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lang w:eastAsia="zh-CN"/>
              </w:rPr>
              <w:t>甲类仓库</w:t>
            </w:r>
          </w:p>
        </w:tc>
        <w:tc>
          <w:tcPr>
            <w:tcW w:w="1391" w:type="dxa"/>
            <w:shd w:val="clear" w:color="auto" w:fill="FFFFFF"/>
            <w:vAlign w:val="center"/>
          </w:tcPr>
          <w:p>
            <w:pPr>
              <w:spacing w:line="440" w:lineRule="exact"/>
              <w:jc w:val="center"/>
              <w:rPr>
                <w:rFonts w:ascii="宋体" w:hAnsi="宋体" w:eastAsia="宋体"/>
                <w:color w:val="auto"/>
                <w:sz w:val="21"/>
                <w:szCs w:val="21"/>
              </w:rPr>
            </w:pPr>
            <w:r>
              <w:rPr>
                <w:rFonts w:hint="eastAsia" w:ascii="宋体" w:hAnsi="宋体" w:eastAsia="宋体"/>
                <w:color w:val="auto"/>
                <w:sz w:val="21"/>
                <w:szCs w:val="21"/>
              </w:rPr>
              <w:t>20</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719" w:type="dxa"/>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9</w:t>
            </w:r>
          </w:p>
        </w:tc>
        <w:tc>
          <w:tcPr>
            <w:tcW w:w="2552" w:type="dxa"/>
            <w:tcBorders>
              <w:right w:val="single" w:color="auto" w:sz="4" w:space="0"/>
            </w:tcBorders>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rPr>
              <w:t>正丁醇</w:t>
            </w:r>
          </w:p>
        </w:tc>
        <w:tc>
          <w:tcPr>
            <w:tcW w:w="762" w:type="dxa"/>
            <w:tcBorders>
              <w:left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乙</w:t>
            </w:r>
          </w:p>
        </w:tc>
        <w:tc>
          <w:tcPr>
            <w:tcW w:w="1501" w:type="dxa"/>
            <w:tcBorders>
              <w:right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2761</w:t>
            </w:r>
          </w:p>
        </w:tc>
        <w:tc>
          <w:tcPr>
            <w:tcW w:w="1107"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rPr>
              <w:t>5</w:t>
            </w:r>
          </w:p>
        </w:tc>
        <w:tc>
          <w:tcPr>
            <w:tcW w:w="1166"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lang w:eastAsia="zh-CN"/>
              </w:rPr>
              <w:t>甲类仓库</w:t>
            </w:r>
          </w:p>
        </w:tc>
        <w:tc>
          <w:tcPr>
            <w:tcW w:w="1391" w:type="dxa"/>
            <w:shd w:val="clear" w:color="auto" w:fill="FFFFFF"/>
            <w:vAlign w:val="center"/>
          </w:tcPr>
          <w:p>
            <w:pPr>
              <w:spacing w:line="440" w:lineRule="exact"/>
              <w:jc w:val="center"/>
              <w:rPr>
                <w:rFonts w:ascii="宋体" w:hAnsi="宋体" w:eastAsia="宋体"/>
                <w:color w:val="auto"/>
                <w:sz w:val="21"/>
                <w:szCs w:val="21"/>
              </w:rPr>
            </w:pPr>
            <w:r>
              <w:rPr>
                <w:rFonts w:hint="eastAsia" w:ascii="宋体" w:hAnsi="宋体" w:eastAsia="宋体"/>
                <w:color w:val="auto"/>
                <w:sz w:val="21"/>
                <w:szCs w:val="21"/>
              </w:rPr>
              <w:t>2</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719" w:type="dxa"/>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10</w:t>
            </w:r>
          </w:p>
        </w:tc>
        <w:tc>
          <w:tcPr>
            <w:tcW w:w="2552" w:type="dxa"/>
            <w:tcBorders>
              <w:right w:val="single" w:color="auto" w:sz="4" w:space="0"/>
            </w:tcBorders>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rPr>
              <w:t>混丙醇</w:t>
            </w:r>
          </w:p>
        </w:tc>
        <w:tc>
          <w:tcPr>
            <w:tcW w:w="762" w:type="dxa"/>
            <w:tcBorders>
              <w:left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甲</w:t>
            </w:r>
          </w:p>
        </w:tc>
        <w:tc>
          <w:tcPr>
            <w:tcW w:w="1501" w:type="dxa"/>
            <w:tcBorders>
              <w:right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2828</w:t>
            </w:r>
          </w:p>
        </w:tc>
        <w:tc>
          <w:tcPr>
            <w:tcW w:w="1107"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rPr>
              <w:t>5</w:t>
            </w:r>
          </w:p>
        </w:tc>
        <w:tc>
          <w:tcPr>
            <w:tcW w:w="1166"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lang w:eastAsia="zh-CN"/>
              </w:rPr>
              <w:t>甲类仓库</w:t>
            </w:r>
          </w:p>
        </w:tc>
        <w:tc>
          <w:tcPr>
            <w:tcW w:w="1391" w:type="dxa"/>
            <w:shd w:val="clear" w:color="auto" w:fill="FFFFFF"/>
            <w:vAlign w:val="center"/>
          </w:tcPr>
          <w:p>
            <w:pPr>
              <w:spacing w:line="440" w:lineRule="exact"/>
              <w:jc w:val="center"/>
              <w:rPr>
                <w:rFonts w:ascii="宋体" w:hAnsi="宋体" w:eastAsia="宋体"/>
                <w:color w:val="auto"/>
                <w:sz w:val="21"/>
                <w:szCs w:val="21"/>
              </w:rPr>
            </w:pPr>
            <w:r>
              <w:rPr>
                <w:rFonts w:hint="eastAsia" w:ascii="宋体" w:hAnsi="宋体" w:eastAsia="宋体"/>
                <w:color w:val="auto"/>
                <w:sz w:val="21"/>
                <w:szCs w:val="21"/>
              </w:rPr>
              <w:t>2</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719" w:type="dxa"/>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11</w:t>
            </w:r>
          </w:p>
        </w:tc>
        <w:tc>
          <w:tcPr>
            <w:tcW w:w="2552" w:type="dxa"/>
            <w:tcBorders>
              <w:right w:val="single" w:color="auto" w:sz="4" w:space="0"/>
            </w:tcBorders>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rPr>
              <w:t>乙酸甲酯</w:t>
            </w:r>
          </w:p>
        </w:tc>
        <w:tc>
          <w:tcPr>
            <w:tcW w:w="762" w:type="dxa"/>
            <w:tcBorders>
              <w:left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甲</w:t>
            </w:r>
          </w:p>
        </w:tc>
        <w:tc>
          <w:tcPr>
            <w:tcW w:w="1501" w:type="dxa"/>
            <w:tcBorders>
              <w:right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2638</w:t>
            </w:r>
          </w:p>
        </w:tc>
        <w:tc>
          <w:tcPr>
            <w:tcW w:w="1107"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rPr>
              <w:t>50</w:t>
            </w:r>
          </w:p>
        </w:tc>
        <w:tc>
          <w:tcPr>
            <w:tcW w:w="1166"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lang w:eastAsia="zh-CN"/>
              </w:rPr>
              <w:t>甲类仓库</w:t>
            </w:r>
          </w:p>
        </w:tc>
        <w:tc>
          <w:tcPr>
            <w:tcW w:w="1391" w:type="dxa"/>
            <w:shd w:val="clear" w:color="auto" w:fill="FFFFFF"/>
            <w:vAlign w:val="center"/>
          </w:tcPr>
          <w:p>
            <w:pPr>
              <w:spacing w:line="440" w:lineRule="exact"/>
              <w:jc w:val="center"/>
              <w:rPr>
                <w:rFonts w:ascii="宋体" w:hAnsi="宋体" w:eastAsia="宋体"/>
                <w:color w:val="auto"/>
                <w:sz w:val="21"/>
                <w:szCs w:val="21"/>
              </w:rPr>
            </w:pPr>
            <w:r>
              <w:rPr>
                <w:rFonts w:hint="eastAsia" w:ascii="宋体" w:hAnsi="宋体" w:eastAsia="宋体"/>
                <w:color w:val="auto"/>
                <w:sz w:val="21"/>
                <w:szCs w:val="21"/>
              </w:rPr>
              <w:t>5</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719" w:type="dxa"/>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12</w:t>
            </w:r>
          </w:p>
        </w:tc>
        <w:tc>
          <w:tcPr>
            <w:tcW w:w="2552" w:type="dxa"/>
            <w:tcBorders>
              <w:right w:val="single" w:color="auto" w:sz="4" w:space="0"/>
            </w:tcBorders>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rPr>
              <w:t>乙酸仲丁酯</w:t>
            </w:r>
          </w:p>
        </w:tc>
        <w:tc>
          <w:tcPr>
            <w:tcW w:w="762" w:type="dxa"/>
            <w:tcBorders>
              <w:left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甲</w:t>
            </w:r>
          </w:p>
        </w:tc>
        <w:tc>
          <w:tcPr>
            <w:tcW w:w="1501" w:type="dxa"/>
            <w:tcBorders>
              <w:right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2660</w:t>
            </w:r>
          </w:p>
        </w:tc>
        <w:tc>
          <w:tcPr>
            <w:tcW w:w="1107"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rPr>
              <w:t>150</w:t>
            </w:r>
          </w:p>
        </w:tc>
        <w:tc>
          <w:tcPr>
            <w:tcW w:w="1166"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lang w:eastAsia="zh-CN"/>
              </w:rPr>
              <w:t>甲类仓库</w:t>
            </w:r>
          </w:p>
        </w:tc>
        <w:tc>
          <w:tcPr>
            <w:tcW w:w="1391" w:type="dxa"/>
            <w:shd w:val="clear" w:color="auto" w:fill="FFFFFF"/>
            <w:vAlign w:val="center"/>
          </w:tcPr>
          <w:p>
            <w:pPr>
              <w:spacing w:line="440" w:lineRule="exact"/>
              <w:jc w:val="center"/>
              <w:rPr>
                <w:rFonts w:ascii="宋体" w:hAnsi="宋体" w:eastAsia="宋体"/>
                <w:color w:val="auto"/>
                <w:sz w:val="21"/>
                <w:szCs w:val="21"/>
              </w:rPr>
            </w:pPr>
            <w:r>
              <w:rPr>
                <w:rFonts w:hint="eastAsia" w:ascii="宋体" w:hAnsi="宋体" w:eastAsia="宋体"/>
                <w:color w:val="auto"/>
                <w:sz w:val="21"/>
                <w:szCs w:val="21"/>
              </w:rPr>
              <w:t>10</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719" w:type="dxa"/>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13</w:t>
            </w:r>
          </w:p>
        </w:tc>
        <w:tc>
          <w:tcPr>
            <w:tcW w:w="2552" w:type="dxa"/>
            <w:tcBorders>
              <w:right w:val="single" w:color="auto" w:sz="4" w:space="0"/>
            </w:tcBorders>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rPr>
              <w:t>N,N-二甲基甲酰胺</w:t>
            </w:r>
          </w:p>
        </w:tc>
        <w:tc>
          <w:tcPr>
            <w:tcW w:w="762" w:type="dxa"/>
            <w:tcBorders>
              <w:left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乙</w:t>
            </w:r>
          </w:p>
        </w:tc>
        <w:tc>
          <w:tcPr>
            <w:tcW w:w="1501" w:type="dxa"/>
            <w:tcBorders>
              <w:right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460</w:t>
            </w:r>
          </w:p>
        </w:tc>
        <w:tc>
          <w:tcPr>
            <w:tcW w:w="1107"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rPr>
              <w:t>5</w:t>
            </w:r>
          </w:p>
        </w:tc>
        <w:tc>
          <w:tcPr>
            <w:tcW w:w="1166"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lang w:eastAsia="zh-CN"/>
              </w:rPr>
              <w:t>甲类仓库</w:t>
            </w:r>
          </w:p>
        </w:tc>
        <w:tc>
          <w:tcPr>
            <w:tcW w:w="1391" w:type="dxa"/>
            <w:shd w:val="clear" w:color="auto" w:fill="FFFFFF"/>
            <w:vAlign w:val="center"/>
          </w:tcPr>
          <w:p>
            <w:pPr>
              <w:spacing w:line="440" w:lineRule="exact"/>
              <w:jc w:val="center"/>
              <w:rPr>
                <w:rFonts w:ascii="宋体" w:hAnsi="宋体" w:eastAsia="宋体"/>
                <w:color w:val="auto"/>
                <w:sz w:val="21"/>
                <w:szCs w:val="21"/>
              </w:rPr>
            </w:pPr>
            <w:r>
              <w:rPr>
                <w:rFonts w:hint="eastAsia" w:ascii="宋体" w:hAnsi="宋体" w:eastAsia="宋体"/>
                <w:color w:val="auto"/>
                <w:sz w:val="21"/>
                <w:szCs w:val="21"/>
              </w:rPr>
              <w:t>1</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719" w:type="dxa"/>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14</w:t>
            </w:r>
          </w:p>
        </w:tc>
        <w:tc>
          <w:tcPr>
            <w:tcW w:w="2552" w:type="dxa"/>
            <w:tcBorders>
              <w:right w:val="single" w:color="auto" w:sz="4" w:space="0"/>
            </w:tcBorders>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rPr>
              <w:t>丙二醇甲醚乙酸酯</w:t>
            </w:r>
          </w:p>
        </w:tc>
        <w:tc>
          <w:tcPr>
            <w:tcW w:w="762" w:type="dxa"/>
            <w:tcBorders>
              <w:left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乙</w:t>
            </w:r>
          </w:p>
        </w:tc>
        <w:tc>
          <w:tcPr>
            <w:tcW w:w="1501" w:type="dxa"/>
            <w:tcBorders>
              <w:right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2828</w:t>
            </w:r>
          </w:p>
        </w:tc>
        <w:tc>
          <w:tcPr>
            <w:tcW w:w="1107"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rPr>
              <w:t>10</w:t>
            </w:r>
          </w:p>
        </w:tc>
        <w:tc>
          <w:tcPr>
            <w:tcW w:w="1166"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lang w:eastAsia="zh-CN"/>
              </w:rPr>
              <w:t>甲类仓库</w:t>
            </w:r>
          </w:p>
        </w:tc>
        <w:tc>
          <w:tcPr>
            <w:tcW w:w="1391" w:type="dxa"/>
            <w:shd w:val="clear" w:color="auto" w:fill="FFFFFF"/>
            <w:vAlign w:val="center"/>
          </w:tcPr>
          <w:p>
            <w:pPr>
              <w:spacing w:line="440" w:lineRule="exact"/>
              <w:jc w:val="center"/>
              <w:rPr>
                <w:rFonts w:ascii="宋体" w:hAnsi="宋体" w:eastAsia="宋体"/>
                <w:color w:val="auto"/>
                <w:sz w:val="21"/>
                <w:szCs w:val="21"/>
              </w:rPr>
            </w:pPr>
            <w:r>
              <w:rPr>
                <w:rFonts w:hint="eastAsia" w:ascii="宋体" w:hAnsi="宋体" w:eastAsia="宋体"/>
                <w:color w:val="auto"/>
                <w:sz w:val="21"/>
                <w:szCs w:val="21"/>
              </w:rPr>
              <w:t>2</w:t>
            </w:r>
          </w:p>
        </w:tc>
      </w:tr>
    </w:tbl>
    <w:p>
      <w:pPr>
        <w:spacing w:line="560" w:lineRule="exact"/>
        <w:jc w:val="both"/>
        <w:outlineLvl w:val="2"/>
        <w:rPr>
          <w:rFonts w:ascii="宋体" w:hAnsi="宋体" w:eastAsia="宋体" w:cs="Times New Roman"/>
          <w:bCs/>
          <w:color w:val="auto"/>
          <w:kern w:val="2"/>
          <w:sz w:val="28"/>
          <w:szCs w:val="28"/>
          <w:lang w:val="en-US" w:eastAsia="zh-CN" w:bidi="ar-SA"/>
        </w:rPr>
      </w:pPr>
      <w:bookmarkStart w:id="21" w:name="bookmark17"/>
      <w:r>
        <w:rPr>
          <w:rFonts w:ascii="宋体" w:hAnsi="宋体" w:eastAsia="宋体" w:cs="Times New Roman"/>
          <w:bCs/>
          <w:color w:val="auto"/>
          <w:kern w:val="2"/>
          <w:sz w:val="28"/>
          <w:szCs w:val="28"/>
          <w:lang w:val="en-US" w:eastAsia="zh-CN" w:bidi="ar-SA"/>
        </w:rPr>
        <w:t>2.2.2生产工艺过程</w:t>
      </w:r>
      <w:bookmarkEnd w:id="21"/>
    </w:p>
    <w:p>
      <w:pPr>
        <w:spacing w:line="560" w:lineRule="exact"/>
        <w:ind w:firstLine="425" w:firstLineChars="152"/>
        <w:rPr>
          <w:rFonts w:ascii="宋体" w:hAnsi="宋体" w:eastAsia="宋体"/>
          <w:color w:val="auto"/>
          <w:sz w:val="28"/>
          <w:szCs w:val="28"/>
          <w:lang w:eastAsia="zh-CN"/>
        </w:rPr>
      </w:pPr>
      <w:r>
        <w:rPr>
          <w:rFonts w:hint="eastAsia" w:ascii="宋体" w:hAnsi="宋体" w:eastAsia="宋体"/>
          <w:color w:val="auto"/>
          <w:sz w:val="28"/>
          <w:szCs w:val="28"/>
          <w:lang w:eastAsia="zh-CN"/>
        </w:rPr>
        <w:t>1</w:t>
      </w:r>
      <w:r>
        <w:rPr>
          <w:rFonts w:ascii="宋体" w:hAnsi="宋体" w:eastAsia="宋体"/>
          <w:color w:val="auto"/>
          <w:sz w:val="28"/>
          <w:szCs w:val="28"/>
          <w:lang w:eastAsia="zh-CN"/>
        </w:rPr>
        <w:t>)</w:t>
      </w:r>
      <w:r>
        <w:rPr>
          <w:rFonts w:hint="eastAsia" w:ascii="宋体" w:hAnsi="宋体" w:eastAsia="宋体"/>
          <w:color w:val="auto"/>
          <w:sz w:val="28"/>
          <w:szCs w:val="28"/>
          <w:lang w:eastAsia="zh-CN"/>
        </w:rPr>
        <w:t>油漆类工艺流程</w:t>
      </w:r>
      <w:r>
        <w:rPr>
          <w:rFonts w:ascii="宋体" w:hAnsi="宋体" w:eastAsia="宋体"/>
          <w:color w:val="auto"/>
          <w:sz w:val="28"/>
          <w:szCs w:val="28"/>
          <w:lang w:eastAsia="zh-CN"/>
        </w:rPr>
        <w:t>简述</w:t>
      </w:r>
    </w:p>
    <w:p>
      <w:pPr>
        <w:spacing w:line="560" w:lineRule="exact"/>
        <w:ind w:firstLine="565" w:firstLineChars="202"/>
        <w:jc w:val="both"/>
        <w:rPr>
          <w:rFonts w:ascii="宋体" w:hAnsi="宋体" w:eastAsia="宋体"/>
          <w:color w:val="auto"/>
          <w:sz w:val="28"/>
          <w:szCs w:val="28"/>
        </w:rPr>
      </w:pPr>
      <w:bookmarkStart w:id="22" w:name="bookmark18"/>
      <w:r>
        <w:rPr>
          <w:rFonts w:hint="eastAsia" w:ascii="宋体" w:hAnsi="宋体" w:eastAsia="宋体"/>
          <w:color w:val="auto"/>
          <w:sz w:val="28"/>
          <w:szCs w:val="28"/>
        </w:rPr>
        <w:t>油漆生产工艺采用国内成熟工艺，工艺比较简单，属于间歇生产，使用设备为常压设备，操作过程主要是搅拌和研磨，无化学反应。主要由树脂(如：醇酸树脂等)、溶剂（如：二甲苯异构体混合物、环己酮等）、助剂（如：光引发剂、稳定剂、流平剂等）等组成，经过搅拌分散、检验、过滤、包装等工序，生产出所需要的油漆产品。</w:t>
      </w:r>
    </w:p>
    <w:p>
      <w:pPr>
        <w:spacing w:line="560" w:lineRule="exact"/>
        <w:jc w:val="both"/>
        <w:rPr>
          <w:rFonts w:ascii="宋体" w:hAnsi="宋体" w:eastAsia="宋体"/>
          <w:color w:val="auto"/>
          <w:sz w:val="28"/>
          <w:szCs w:val="28"/>
        </w:rPr>
      </w:pPr>
      <w:r>
        <w:rPr>
          <w:rFonts w:hint="eastAsia" w:ascii="宋体" w:hAnsi="宋体" w:eastAsia="宋体"/>
          <w:color w:val="auto"/>
          <w:sz w:val="28"/>
          <w:szCs w:val="28"/>
        </w:rPr>
        <w:t>具体工艺操作步骤如下：</w:t>
      </w:r>
    </w:p>
    <w:p>
      <w:pPr>
        <w:spacing w:line="560" w:lineRule="exact"/>
        <w:ind w:firstLine="565" w:firstLineChars="202"/>
        <w:jc w:val="both"/>
        <w:rPr>
          <w:rFonts w:ascii="宋体" w:hAnsi="宋体" w:eastAsia="宋体"/>
          <w:color w:val="auto"/>
          <w:sz w:val="28"/>
          <w:szCs w:val="28"/>
        </w:rPr>
      </w:pPr>
      <w:r>
        <w:rPr>
          <w:rFonts w:hint="eastAsia" w:ascii="宋体" w:hAnsi="宋体" w:eastAsia="宋体"/>
          <w:color w:val="auto"/>
          <w:sz w:val="28"/>
          <w:szCs w:val="28"/>
        </w:rPr>
        <w:t>（1）按工艺配方将各种原材料称量。</w:t>
      </w:r>
    </w:p>
    <w:p>
      <w:pPr>
        <w:spacing w:line="560" w:lineRule="exact"/>
        <w:ind w:firstLine="565" w:firstLineChars="202"/>
        <w:jc w:val="both"/>
        <w:rPr>
          <w:rFonts w:ascii="宋体" w:hAnsi="宋体" w:eastAsia="宋体"/>
          <w:color w:val="auto"/>
          <w:sz w:val="28"/>
          <w:szCs w:val="28"/>
        </w:rPr>
      </w:pPr>
      <w:r>
        <w:rPr>
          <w:rFonts w:hint="eastAsia" w:ascii="宋体" w:hAnsi="宋体" w:eastAsia="宋体"/>
          <w:color w:val="auto"/>
          <w:sz w:val="28"/>
          <w:szCs w:val="28"/>
        </w:rPr>
        <w:t>（2）先将溶剂加入分散缸，边搅拌边依次将其他原料加入，直到完全混合。</w:t>
      </w:r>
    </w:p>
    <w:p>
      <w:pPr>
        <w:spacing w:line="560" w:lineRule="exact"/>
        <w:ind w:firstLine="565" w:firstLineChars="202"/>
        <w:jc w:val="both"/>
        <w:rPr>
          <w:rFonts w:ascii="宋体" w:hAnsi="宋体" w:eastAsia="宋体"/>
          <w:color w:val="auto"/>
          <w:sz w:val="28"/>
          <w:szCs w:val="28"/>
        </w:rPr>
      </w:pPr>
      <w:r>
        <w:rPr>
          <w:rFonts w:hint="eastAsia" w:ascii="宋体" w:hAnsi="宋体" w:eastAsia="宋体"/>
          <w:color w:val="auto"/>
          <w:sz w:val="28"/>
          <w:szCs w:val="28"/>
        </w:rPr>
        <w:t>（3）再加入各种助剂，继续搅拌，待其完全混合均匀。</w:t>
      </w:r>
    </w:p>
    <w:p>
      <w:pPr>
        <w:spacing w:line="560" w:lineRule="exact"/>
        <w:ind w:firstLine="565" w:firstLineChars="202"/>
        <w:jc w:val="both"/>
        <w:rPr>
          <w:rFonts w:ascii="宋体" w:hAnsi="宋体" w:eastAsia="宋体"/>
          <w:color w:val="auto"/>
          <w:sz w:val="28"/>
          <w:szCs w:val="28"/>
        </w:rPr>
      </w:pPr>
      <w:r>
        <w:rPr>
          <w:rFonts w:hint="eastAsia" w:ascii="宋体" w:hAnsi="宋体" w:eastAsia="宋体"/>
          <w:color w:val="auto"/>
          <w:sz w:val="28"/>
          <w:szCs w:val="28"/>
        </w:rPr>
        <w:t>（4）将分散缸中混合均匀的产品取样检验，合格后再过滤包装、入库。</w:t>
      </w:r>
    </w:p>
    <w:p>
      <w:pPr>
        <w:spacing w:line="560" w:lineRule="exact"/>
        <w:ind w:firstLine="484" w:firstLineChars="202"/>
        <w:jc w:val="both"/>
        <w:rPr>
          <w:rFonts w:ascii="宋体" w:hAnsi="宋体" w:eastAsia="宋体"/>
          <w:color w:val="auto"/>
          <w:sz w:val="28"/>
          <w:szCs w:val="28"/>
          <w:lang w:eastAsia="zh-CN"/>
        </w:rPr>
      </w:pPr>
      <w:r>
        <w:rPr>
          <w:rFonts w:ascii="宋体" w:hAnsi="宋体" w:eastAsia="宋体"/>
          <w:color w:val="auto"/>
          <w:lang w:val="en-US" w:eastAsia="zh-CN" w:bidi="ar-SA"/>
        </w:rPr>
        <w:drawing>
          <wp:anchor distT="0" distB="0" distL="114300" distR="114300" simplePos="0" relativeHeight="251661312" behindDoc="0" locked="0" layoutInCell="1" allowOverlap="1">
            <wp:simplePos x="0" y="0"/>
            <wp:positionH relativeFrom="column">
              <wp:posOffset>77470</wp:posOffset>
            </wp:positionH>
            <wp:positionV relativeFrom="paragraph">
              <wp:posOffset>466090</wp:posOffset>
            </wp:positionV>
            <wp:extent cx="5419725" cy="1266825"/>
            <wp:effectExtent l="19050" t="0" r="9525" b="0"/>
            <wp:wrapTopAndBottom/>
            <wp:docPr id="585" name="图片 1" descr="C:/Users/mayn/AppData/Local/Temp/picturecompress_20211118100829/output_1.jp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5" name="图片 1" descr="C:/Users/mayn/AppData/Local/Temp/picturecompress_20211118100829/output_1.jpgoutput_1"/>
                    <pic:cNvPicPr>
                      <a:picLocks noChangeAspect="1" noChangeArrowheads="1"/>
                    </pic:cNvPicPr>
                  </pic:nvPicPr>
                  <pic:blipFill>
                    <a:blip r:embed="rId8"/>
                    <a:srcRect/>
                    <a:stretch>
                      <a:fillRect/>
                    </a:stretch>
                  </pic:blipFill>
                  <pic:spPr>
                    <a:xfrm>
                      <a:off x="0" y="0"/>
                      <a:ext cx="5419725" cy="1266825"/>
                    </a:xfrm>
                    <a:prstGeom prst="rect">
                      <a:avLst/>
                    </a:prstGeom>
                    <a:noFill/>
                    <a:ln w="9525">
                      <a:noFill/>
                      <a:miter lim="800000"/>
                      <a:headEnd/>
                      <a:tailEnd/>
                    </a:ln>
                  </pic:spPr>
                </pic:pic>
              </a:graphicData>
            </a:graphic>
          </wp:anchor>
        </w:drawing>
      </w:r>
      <w:r>
        <w:rPr>
          <w:rFonts w:hint="eastAsia" w:ascii="宋体" w:hAnsi="宋体" w:eastAsia="宋体"/>
          <w:color w:val="auto"/>
          <w:sz w:val="28"/>
          <w:szCs w:val="28"/>
        </w:rPr>
        <w:t>其工艺流程图如下：</w:t>
      </w:r>
    </w:p>
    <w:p>
      <w:pPr>
        <w:spacing w:line="560" w:lineRule="exact"/>
        <w:ind w:firstLine="425" w:firstLineChars="152"/>
        <w:rPr>
          <w:rFonts w:ascii="宋体" w:hAnsi="宋体" w:eastAsia="宋体"/>
          <w:color w:val="auto"/>
          <w:sz w:val="28"/>
          <w:szCs w:val="28"/>
          <w:lang w:eastAsia="zh-CN"/>
        </w:rPr>
      </w:pPr>
      <w:r>
        <w:rPr>
          <w:rFonts w:hint="eastAsia" w:ascii="宋体" w:hAnsi="宋体" w:eastAsia="宋体"/>
          <w:color w:val="auto"/>
          <w:sz w:val="28"/>
          <w:szCs w:val="28"/>
          <w:lang w:eastAsia="zh-CN"/>
        </w:rPr>
        <w:t>2</w:t>
      </w:r>
      <w:r>
        <w:rPr>
          <w:rFonts w:ascii="宋体" w:hAnsi="宋体" w:eastAsia="宋体"/>
          <w:color w:val="auto"/>
          <w:sz w:val="28"/>
          <w:szCs w:val="28"/>
          <w:lang w:eastAsia="zh-CN"/>
        </w:rPr>
        <w:t>)</w:t>
      </w:r>
      <w:r>
        <w:rPr>
          <w:rFonts w:hint="eastAsia" w:ascii="宋体" w:hAnsi="宋体" w:eastAsia="宋体"/>
          <w:color w:val="auto"/>
          <w:sz w:val="28"/>
          <w:szCs w:val="28"/>
          <w:lang w:eastAsia="zh-CN"/>
        </w:rPr>
        <w:t>稀释剂类工艺流程</w:t>
      </w:r>
      <w:r>
        <w:rPr>
          <w:rFonts w:ascii="宋体" w:hAnsi="宋体" w:eastAsia="宋体"/>
          <w:color w:val="auto"/>
          <w:sz w:val="28"/>
          <w:szCs w:val="28"/>
          <w:lang w:eastAsia="zh-CN"/>
        </w:rPr>
        <w:t>简述</w:t>
      </w:r>
    </w:p>
    <w:p>
      <w:pPr>
        <w:spacing w:line="360" w:lineRule="auto"/>
        <w:ind w:firstLine="759" w:firstLineChars="270"/>
        <w:rPr>
          <w:rFonts w:ascii="宋体" w:hAnsi="宋体" w:eastAsia="宋体"/>
          <w:b/>
          <w:color w:val="auto"/>
          <w:sz w:val="28"/>
          <w:szCs w:val="28"/>
          <w:lang w:eastAsia="zh-CN"/>
        </w:rPr>
      </w:pPr>
      <w:r>
        <w:rPr>
          <w:rFonts w:ascii="宋体" w:hAnsi="宋体" w:eastAsia="宋体"/>
          <w:b/>
          <w:color w:val="auto"/>
          <w:sz w:val="28"/>
          <w:szCs w:val="28"/>
          <w:lang w:val="en-US" w:eastAsia="zh-CN" w:bidi="ar-SA"/>
        </w:rPr>
        <w:drawing>
          <wp:anchor distT="0" distB="0" distL="114300" distR="114300" simplePos="0" relativeHeight="251663360" behindDoc="0" locked="0" layoutInCell="1" allowOverlap="1">
            <wp:simplePos x="0" y="0"/>
            <wp:positionH relativeFrom="column">
              <wp:posOffset>236855</wp:posOffset>
            </wp:positionH>
            <wp:positionV relativeFrom="paragraph">
              <wp:posOffset>41910</wp:posOffset>
            </wp:positionV>
            <wp:extent cx="5257800" cy="819785"/>
            <wp:effectExtent l="0" t="0" r="0" b="18415"/>
            <wp:wrapTopAndBottom/>
            <wp:docPr id="4" name="图片 1" descr="C:/Users/mayn/AppData/Local/Temp/picturecompress_20211118100829/output_2.jpgoutput_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descr="C:/Users/mayn/AppData/Local/Temp/picturecompress_20211118100829/output_2.jpgoutput_2"/>
                    <pic:cNvPicPr>
                      <a:picLocks noChangeAspect="1" noChangeArrowheads="1"/>
                    </pic:cNvPicPr>
                  </pic:nvPicPr>
                  <pic:blipFill>
                    <a:blip r:embed="rId9"/>
                    <a:srcRect/>
                    <a:stretch>
                      <a:fillRect/>
                    </a:stretch>
                  </pic:blipFill>
                  <pic:spPr>
                    <a:xfrm>
                      <a:off x="0" y="0"/>
                      <a:ext cx="5257800" cy="819785"/>
                    </a:xfrm>
                    <a:prstGeom prst="rect">
                      <a:avLst/>
                    </a:prstGeom>
                    <a:noFill/>
                    <a:ln w="9525">
                      <a:noFill/>
                      <a:miter lim="800000"/>
                      <a:headEnd/>
                      <a:tailEnd/>
                    </a:ln>
                  </pic:spPr>
                </pic:pic>
              </a:graphicData>
            </a:graphic>
          </wp:anchor>
        </w:drawing>
      </w:r>
      <w:r>
        <w:rPr>
          <w:rFonts w:ascii="宋体" w:hAnsi="宋体" w:eastAsia="宋体"/>
          <w:color w:val="auto"/>
        </w:rPr>
        <w:pict>
          <v:shape id="文本框 2" o:spid="_x0000_s1611" o:spt="202" type="#_x0000_t202" style="position:absolute;left:0pt;margin-left:180pt;margin-top:23.45pt;height:21.55pt;width:57.4pt;z-index:251662336;mso-width-relative:margin;mso-height-relative:margin;"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">
            <v:path/>
            <v:fill on="f" focussize="0,0"/>
            <v:stroke on="f" joinstyle="miter"/>
            <v:imagedata o:title=""/>
            <o:lock v:ext="edit"/>
            <v:textbox>
              <w:txbxContent>
                <w:p/>
              </w:txbxContent>
            </v:textbox>
          </v:shape>
        </w:pict>
      </w:r>
      <w:r>
        <w:rPr>
          <w:rFonts w:hint="eastAsia" w:ascii="宋体" w:hAnsi="宋体" w:eastAsia="宋体"/>
          <w:color w:val="auto"/>
          <w:sz w:val="28"/>
          <w:szCs w:val="28"/>
        </w:rPr>
        <w:t>其生产过程在常温、常压下进行。不属于危险化工工艺</w:t>
      </w:r>
      <w:r>
        <w:rPr>
          <w:rFonts w:hint="eastAsia" w:ascii="宋体" w:hAnsi="宋体" w:eastAsia="宋体"/>
          <w:color w:val="auto"/>
          <w:sz w:val="28"/>
          <w:szCs w:val="28"/>
          <w:lang w:eastAsia="zh-CN"/>
        </w:rPr>
        <w:t>。</w:t>
      </w:r>
    </w:p>
    <w:p>
      <w:pPr>
        <w:tabs>
          <w:tab w:val="left" w:pos="7319"/>
        </w:tabs>
        <w:spacing w:line="560" w:lineRule="exact"/>
        <w:jc w:val="both"/>
        <w:outlineLvl w:val="2"/>
        <w:rPr>
          <w:rFonts w:ascii="宋体" w:hAnsi="宋体" w:eastAsia="宋体" w:cs="Times New Roman"/>
          <w:bCs/>
          <w:color w:val="auto"/>
          <w:kern w:val="2"/>
          <w:sz w:val="28"/>
          <w:szCs w:val="28"/>
          <w:lang w:val="en-US" w:eastAsia="zh-CN" w:bidi="ar-SA"/>
        </w:rPr>
      </w:pPr>
      <w:r>
        <w:rPr>
          <w:rFonts w:ascii="宋体" w:hAnsi="宋体" w:eastAsia="宋体" w:cs="Times New Roman"/>
          <w:bCs/>
          <w:color w:val="auto"/>
          <w:kern w:val="2"/>
          <w:sz w:val="28"/>
          <w:szCs w:val="28"/>
          <w:lang w:val="en-US" w:eastAsia="zh-CN" w:bidi="ar-SA"/>
        </w:rPr>
        <w:t>2.2.3生产装置基本情况</w:t>
      </w:r>
      <w:bookmarkEnd w:id="22"/>
      <w:r>
        <w:rPr>
          <w:rFonts w:ascii="宋体" w:hAnsi="宋体" w:eastAsia="宋体" w:cs="Times New Roman"/>
          <w:bCs/>
          <w:color w:val="auto"/>
          <w:kern w:val="2"/>
          <w:sz w:val="28"/>
          <w:szCs w:val="28"/>
          <w:lang w:val="en-US" w:eastAsia="zh-CN" w:bidi="ar-SA"/>
        </w:rPr>
        <w:tab/>
      </w:r>
    </w:p>
    <w:p>
      <w:pPr>
        <w:spacing w:line="560" w:lineRule="exact"/>
        <w:ind w:firstLine="425" w:firstLineChars="152"/>
        <w:rPr>
          <w:rFonts w:ascii="宋体" w:hAnsi="宋体" w:eastAsia="宋体"/>
          <w:color w:val="auto"/>
          <w:sz w:val="28"/>
          <w:szCs w:val="28"/>
          <w:lang w:eastAsia="zh-CN"/>
        </w:rPr>
      </w:pPr>
      <w:r>
        <w:rPr>
          <w:rFonts w:hint="eastAsia" w:ascii="宋体" w:hAnsi="宋体" w:eastAsia="宋体"/>
          <w:color w:val="auto"/>
          <w:sz w:val="28"/>
          <w:szCs w:val="28"/>
          <w:lang w:eastAsia="zh-CN"/>
        </w:rPr>
        <w:t>1)</w:t>
      </w:r>
      <w:r>
        <w:rPr>
          <w:rFonts w:ascii="宋体" w:hAnsi="宋体" w:eastAsia="宋体"/>
          <w:color w:val="auto"/>
          <w:sz w:val="28"/>
          <w:szCs w:val="28"/>
          <w:lang w:eastAsia="zh-CN"/>
        </w:rPr>
        <w:t>东莞市华龙实业有限公司</w:t>
      </w:r>
      <w:r>
        <w:rPr>
          <w:rFonts w:hint="eastAsia" w:ascii="宋体" w:hAnsi="宋体" w:eastAsia="宋体"/>
          <w:color w:val="auto"/>
          <w:sz w:val="28"/>
          <w:szCs w:val="28"/>
          <w:lang w:eastAsia="zh-CN"/>
        </w:rPr>
        <w:t>使用</w:t>
      </w:r>
      <w:r>
        <w:rPr>
          <w:rFonts w:ascii="宋体" w:hAnsi="宋体" w:eastAsia="宋体"/>
          <w:color w:val="auto"/>
          <w:sz w:val="28"/>
          <w:szCs w:val="28"/>
          <w:lang w:eastAsia="zh-CN"/>
        </w:rPr>
        <w:t>主要设备和设施。</w:t>
      </w:r>
    </w:p>
    <w:p>
      <w:pPr>
        <w:spacing w:line="560" w:lineRule="exact"/>
        <w:jc w:val="center"/>
        <w:rPr>
          <w:rFonts w:ascii="宋体" w:hAnsi="宋体" w:eastAsia="宋体"/>
          <w:b/>
          <w:color w:val="auto"/>
        </w:rPr>
      </w:pPr>
      <w:r>
        <w:rPr>
          <w:rFonts w:ascii="宋体" w:hAnsi="宋体" w:eastAsia="宋体"/>
          <w:b/>
          <w:color w:val="auto"/>
        </w:rPr>
        <w:t>表2-</w:t>
      </w:r>
      <w:r>
        <w:rPr>
          <w:rFonts w:hint="eastAsia" w:ascii="宋体" w:hAnsi="宋体" w:eastAsia="宋体"/>
          <w:b/>
          <w:color w:val="auto"/>
          <w:lang w:eastAsia="zh-CN"/>
        </w:rPr>
        <w:t>7甲类</w:t>
      </w:r>
      <w:r>
        <w:rPr>
          <w:rFonts w:hint="eastAsia" w:ascii="宋体" w:hAnsi="宋体" w:eastAsia="宋体"/>
          <w:b/>
          <w:color w:val="auto"/>
        </w:rPr>
        <w:t xml:space="preserve">车间主要设备一览表 </w:t>
      </w:r>
    </w:p>
    <w:tbl>
      <w:tblPr>
        <w:tblStyle w:val="45"/>
        <w:tblW w:w="90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71"/>
        <w:gridCol w:w="1854"/>
        <w:gridCol w:w="1058"/>
        <w:gridCol w:w="34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blHeader/>
          <w:jc w:val="center"/>
        </w:trPr>
        <w:tc>
          <w:tcPr>
            <w:tcW w:w="2798" w:type="dxa"/>
            <w:vAlign w:val="center"/>
          </w:tcPr>
          <w:p>
            <w:pPr>
              <w:spacing w:line="440" w:lineRule="exact"/>
              <w:jc w:val="center"/>
              <w:rPr>
                <w:rFonts w:ascii="宋体" w:hAnsi="宋体"/>
                <w:b/>
                <w:color w:val="auto"/>
              </w:rPr>
            </w:pPr>
            <w:r>
              <w:rPr>
                <w:rFonts w:hint="eastAsia" w:ascii="宋体" w:hAnsi="宋体"/>
                <w:b/>
                <w:color w:val="auto"/>
              </w:rPr>
              <w:t>名</w:t>
            </w:r>
            <w:r>
              <w:rPr>
                <w:rFonts w:ascii="宋体" w:hAnsi="宋体"/>
                <w:b/>
                <w:color w:val="auto"/>
              </w:rPr>
              <w:t xml:space="preserve">   </w:t>
            </w:r>
            <w:r>
              <w:rPr>
                <w:rFonts w:hint="eastAsia" w:ascii="宋体" w:hAnsi="宋体"/>
                <w:b/>
                <w:color w:val="auto"/>
              </w:rPr>
              <w:t>称</w:t>
            </w:r>
          </w:p>
        </w:tc>
        <w:tc>
          <w:tcPr>
            <w:tcW w:w="1939" w:type="dxa"/>
            <w:vAlign w:val="center"/>
          </w:tcPr>
          <w:p>
            <w:pPr>
              <w:spacing w:line="500" w:lineRule="exact"/>
              <w:jc w:val="center"/>
              <w:rPr>
                <w:rFonts w:ascii="宋体" w:hAnsi="宋体"/>
                <w:b/>
                <w:color w:val="auto"/>
              </w:rPr>
            </w:pPr>
            <w:r>
              <w:rPr>
                <w:rFonts w:hint="eastAsia" w:ascii="宋体" w:hAnsi="宋体"/>
                <w:b/>
                <w:color w:val="auto"/>
              </w:rPr>
              <w:t>型号、规格</w:t>
            </w:r>
          </w:p>
        </w:tc>
        <w:tc>
          <w:tcPr>
            <w:tcW w:w="1101" w:type="dxa"/>
            <w:vAlign w:val="center"/>
          </w:tcPr>
          <w:p>
            <w:pPr>
              <w:spacing w:line="440" w:lineRule="exact"/>
              <w:jc w:val="center"/>
              <w:rPr>
                <w:rFonts w:ascii="宋体" w:hAnsi="宋体"/>
                <w:b/>
                <w:color w:val="auto"/>
              </w:rPr>
            </w:pPr>
            <w:r>
              <w:rPr>
                <w:rFonts w:hint="eastAsia" w:ascii="宋体" w:hAnsi="宋体"/>
                <w:b/>
                <w:color w:val="auto"/>
              </w:rPr>
              <w:t>数量</w:t>
            </w:r>
          </w:p>
        </w:tc>
        <w:tc>
          <w:tcPr>
            <w:tcW w:w="3660" w:type="dxa"/>
            <w:vAlign w:val="center"/>
          </w:tcPr>
          <w:p>
            <w:pPr>
              <w:spacing w:line="440" w:lineRule="exact"/>
              <w:jc w:val="center"/>
              <w:rPr>
                <w:rFonts w:ascii="宋体" w:hAnsi="宋体"/>
                <w:b/>
                <w:color w:val="auto"/>
              </w:rPr>
            </w:pPr>
            <w:r>
              <w:rPr>
                <w:rFonts w:hint="eastAsia" w:ascii="宋体" w:hAnsi="宋体"/>
                <w:b/>
                <w:color w:val="auto"/>
              </w:rPr>
              <w:t>位置及简单作用说明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 w:hRule="atLeast"/>
          <w:jc w:val="center"/>
        </w:trPr>
        <w:tc>
          <w:tcPr>
            <w:tcW w:w="2798" w:type="dxa"/>
            <w:vAlign w:val="center"/>
          </w:tcPr>
          <w:p>
            <w:pPr>
              <w:spacing w:line="360" w:lineRule="exact"/>
              <w:jc w:val="center"/>
              <w:rPr>
                <w:rFonts w:ascii="宋体" w:hAnsi="宋体"/>
                <w:color w:val="auto"/>
              </w:rPr>
            </w:pPr>
            <w:r>
              <w:rPr>
                <w:rFonts w:hint="eastAsia" w:ascii="宋体" w:hAnsi="宋体"/>
                <w:color w:val="auto"/>
              </w:rPr>
              <w:t>分散机</w:t>
            </w:r>
          </w:p>
        </w:tc>
        <w:tc>
          <w:tcPr>
            <w:tcW w:w="1939" w:type="dxa"/>
            <w:vAlign w:val="center"/>
          </w:tcPr>
          <w:p>
            <w:pPr>
              <w:spacing w:line="360" w:lineRule="exact"/>
              <w:jc w:val="center"/>
              <w:rPr>
                <w:rFonts w:ascii="宋体" w:hAnsi="宋体"/>
                <w:color w:val="auto"/>
              </w:rPr>
            </w:pPr>
            <w:r>
              <w:rPr>
                <w:rFonts w:ascii="宋体" w:hAnsi="宋体"/>
                <w:color w:val="auto"/>
              </w:rPr>
              <w:t>YB2-112M-4</w:t>
            </w:r>
          </w:p>
        </w:tc>
        <w:tc>
          <w:tcPr>
            <w:tcW w:w="1101" w:type="dxa"/>
            <w:vAlign w:val="center"/>
          </w:tcPr>
          <w:p>
            <w:pPr>
              <w:spacing w:line="360" w:lineRule="exact"/>
              <w:jc w:val="center"/>
              <w:rPr>
                <w:rFonts w:ascii="宋体" w:hAnsi="宋体"/>
                <w:color w:val="auto"/>
              </w:rPr>
            </w:pPr>
            <w:r>
              <w:rPr>
                <w:rFonts w:ascii="宋体" w:hAnsi="宋体"/>
                <w:color w:val="auto"/>
              </w:rPr>
              <w:t>2</w:t>
            </w:r>
          </w:p>
        </w:tc>
        <w:tc>
          <w:tcPr>
            <w:tcW w:w="3660" w:type="dxa"/>
            <w:vAlign w:val="center"/>
          </w:tcPr>
          <w:p>
            <w:pPr>
              <w:spacing w:line="440" w:lineRule="exact"/>
              <w:jc w:val="center"/>
              <w:rPr>
                <w:rFonts w:ascii="宋体" w:hAnsi="宋体"/>
                <w:color w:val="auto"/>
              </w:rPr>
            </w:pPr>
            <w:r>
              <w:rPr>
                <w:rFonts w:hint="eastAsia" w:ascii="宋体" w:hAnsi="宋体"/>
                <w:color w:val="auto"/>
              </w:rPr>
              <w:t>车间、搅拌用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0" w:hRule="atLeast"/>
          <w:jc w:val="center"/>
        </w:trPr>
        <w:tc>
          <w:tcPr>
            <w:tcW w:w="2798" w:type="dxa"/>
            <w:vAlign w:val="center"/>
          </w:tcPr>
          <w:p>
            <w:pPr>
              <w:spacing w:line="360" w:lineRule="exact"/>
              <w:jc w:val="center"/>
              <w:rPr>
                <w:rFonts w:ascii="宋体" w:hAnsi="宋体"/>
                <w:color w:val="auto"/>
              </w:rPr>
            </w:pPr>
            <w:r>
              <w:rPr>
                <w:rFonts w:hint="eastAsia" w:ascii="宋体" w:hAnsi="宋体"/>
                <w:color w:val="auto"/>
              </w:rPr>
              <w:t>分散机</w:t>
            </w:r>
          </w:p>
        </w:tc>
        <w:tc>
          <w:tcPr>
            <w:tcW w:w="1939" w:type="dxa"/>
            <w:vAlign w:val="center"/>
          </w:tcPr>
          <w:p>
            <w:pPr>
              <w:spacing w:line="360" w:lineRule="exact"/>
              <w:jc w:val="center"/>
              <w:rPr>
                <w:rFonts w:ascii="宋体" w:hAnsi="宋体"/>
                <w:color w:val="auto"/>
              </w:rPr>
            </w:pPr>
            <w:r>
              <w:rPr>
                <w:rFonts w:ascii="宋体" w:hAnsi="宋体"/>
                <w:color w:val="auto"/>
              </w:rPr>
              <w:t>JF-15</w:t>
            </w:r>
          </w:p>
        </w:tc>
        <w:tc>
          <w:tcPr>
            <w:tcW w:w="1101" w:type="dxa"/>
            <w:vAlign w:val="center"/>
          </w:tcPr>
          <w:p>
            <w:pPr>
              <w:spacing w:line="360" w:lineRule="exact"/>
              <w:jc w:val="center"/>
              <w:rPr>
                <w:rFonts w:ascii="宋体" w:hAnsi="宋体"/>
                <w:color w:val="auto"/>
              </w:rPr>
            </w:pPr>
            <w:r>
              <w:rPr>
                <w:rFonts w:ascii="宋体" w:hAnsi="宋体"/>
                <w:color w:val="auto"/>
              </w:rPr>
              <w:t>1</w:t>
            </w:r>
          </w:p>
        </w:tc>
        <w:tc>
          <w:tcPr>
            <w:tcW w:w="3660" w:type="dxa"/>
            <w:vAlign w:val="center"/>
          </w:tcPr>
          <w:p>
            <w:pPr>
              <w:jc w:val="center"/>
              <w:rPr>
                <w:rFonts w:ascii="宋体" w:hAnsi="宋体"/>
                <w:color w:val="auto"/>
              </w:rPr>
            </w:pPr>
            <w:r>
              <w:rPr>
                <w:rFonts w:hint="eastAsia" w:ascii="宋体" w:hAnsi="宋体"/>
                <w:color w:val="auto"/>
              </w:rPr>
              <w:t>车间、搅拌用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0" w:hRule="atLeast"/>
          <w:jc w:val="center"/>
        </w:trPr>
        <w:tc>
          <w:tcPr>
            <w:tcW w:w="2798" w:type="dxa"/>
            <w:vAlign w:val="center"/>
          </w:tcPr>
          <w:p>
            <w:pPr>
              <w:spacing w:line="360" w:lineRule="exact"/>
              <w:jc w:val="center"/>
              <w:rPr>
                <w:rFonts w:ascii="宋体" w:hAnsi="宋体"/>
                <w:color w:val="auto"/>
              </w:rPr>
            </w:pPr>
            <w:r>
              <w:rPr>
                <w:rFonts w:hint="eastAsia" w:ascii="宋体" w:hAnsi="宋体"/>
                <w:color w:val="auto"/>
              </w:rPr>
              <w:t>分散机</w:t>
            </w:r>
          </w:p>
        </w:tc>
        <w:tc>
          <w:tcPr>
            <w:tcW w:w="1939" w:type="dxa"/>
            <w:vAlign w:val="center"/>
          </w:tcPr>
          <w:p>
            <w:pPr>
              <w:spacing w:line="360" w:lineRule="exact"/>
              <w:jc w:val="center"/>
              <w:rPr>
                <w:rFonts w:ascii="宋体" w:hAnsi="宋体"/>
                <w:color w:val="auto"/>
              </w:rPr>
            </w:pPr>
            <w:r>
              <w:rPr>
                <w:rFonts w:ascii="宋体" w:hAnsi="宋体"/>
                <w:color w:val="auto"/>
              </w:rPr>
              <w:t>F1-22KW</w:t>
            </w:r>
          </w:p>
        </w:tc>
        <w:tc>
          <w:tcPr>
            <w:tcW w:w="1101" w:type="dxa"/>
            <w:vAlign w:val="center"/>
          </w:tcPr>
          <w:p>
            <w:pPr>
              <w:spacing w:line="360" w:lineRule="exact"/>
              <w:jc w:val="center"/>
              <w:rPr>
                <w:rFonts w:ascii="宋体" w:hAnsi="宋体"/>
                <w:color w:val="auto"/>
              </w:rPr>
            </w:pPr>
            <w:r>
              <w:rPr>
                <w:rFonts w:ascii="宋体" w:hAnsi="宋体"/>
                <w:color w:val="auto"/>
              </w:rPr>
              <w:t>1</w:t>
            </w:r>
          </w:p>
        </w:tc>
        <w:tc>
          <w:tcPr>
            <w:tcW w:w="3660" w:type="dxa"/>
            <w:vAlign w:val="center"/>
          </w:tcPr>
          <w:p>
            <w:pPr>
              <w:jc w:val="center"/>
              <w:rPr>
                <w:rFonts w:ascii="宋体" w:hAnsi="宋体"/>
                <w:color w:val="auto"/>
              </w:rPr>
            </w:pPr>
            <w:r>
              <w:rPr>
                <w:rFonts w:hint="eastAsia" w:ascii="宋体" w:hAnsi="宋体"/>
                <w:color w:val="auto"/>
              </w:rPr>
              <w:t>车间、搅拌用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0" w:hRule="atLeast"/>
          <w:jc w:val="center"/>
        </w:trPr>
        <w:tc>
          <w:tcPr>
            <w:tcW w:w="2798" w:type="dxa"/>
            <w:vAlign w:val="center"/>
          </w:tcPr>
          <w:p>
            <w:pPr>
              <w:spacing w:line="360" w:lineRule="exact"/>
              <w:jc w:val="center"/>
              <w:rPr>
                <w:rFonts w:ascii="宋体" w:hAnsi="宋体"/>
                <w:color w:val="auto"/>
              </w:rPr>
            </w:pPr>
            <w:r>
              <w:rPr>
                <w:rFonts w:hint="eastAsia" w:ascii="宋体" w:hAnsi="宋体"/>
                <w:color w:val="auto"/>
              </w:rPr>
              <w:t>分散机</w:t>
            </w:r>
          </w:p>
        </w:tc>
        <w:tc>
          <w:tcPr>
            <w:tcW w:w="1939" w:type="dxa"/>
            <w:vAlign w:val="center"/>
          </w:tcPr>
          <w:p>
            <w:pPr>
              <w:spacing w:line="360" w:lineRule="exact"/>
              <w:jc w:val="center"/>
              <w:rPr>
                <w:rFonts w:ascii="宋体" w:hAnsi="宋体"/>
                <w:color w:val="auto"/>
              </w:rPr>
            </w:pPr>
            <w:r>
              <w:rPr>
                <w:rFonts w:ascii="宋体" w:hAnsi="宋体"/>
                <w:color w:val="auto"/>
              </w:rPr>
              <w:t>FL-18.5/22KW</w:t>
            </w:r>
          </w:p>
        </w:tc>
        <w:tc>
          <w:tcPr>
            <w:tcW w:w="1101" w:type="dxa"/>
            <w:vAlign w:val="center"/>
          </w:tcPr>
          <w:p>
            <w:pPr>
              <w:spacing w:line="360" w:lineRule="exact"/>
              <w:jc w:val="center"/>
              <w:rPr>
                <w:rFonts w:ascii="宋体" w:hAnsi="宋体"/>
                <w:color w:val="auto"/>
              </w:rPr>
            </w:pPr>
            <w:r>
              <w:rPr>
                <w:rFonts w:ascii="宋体" w:hAnsi="宋体"/>
                <w:color w:val="auto"/>
              </w:rPr>
              <w:t>3</w:t>
            </w:r>
          </w:p>
        </w:tc>
        <w:tc>
          <w:tcPr>
            <w:tcW w:w="3660" w:type="dxa"/>
            <w:vAlign w:val="center"/>
          </w:tcPr>
          <w:p>
            <w:pPr>
              <w:jc w:val="center"/>
              <w:rPr>
                <w:rFonts w:ascii="宋体" w:hAnsi="宋体"/>
                <w:color w:val="auto"/>
              </w:rPr>
            </w:pPr>
            <w:r>
              <w:rPr>
                <w:rFonts w:hint="eastAsia" w:ascii="宋体" w:hAnsi="宋体"/>
                <w:color w:val="auto"/>
              </w:rPr>
              <w:t>车间、搅拌用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0" w:hRule="atLeast"/>
          <w:jc w:val="center"/>
        </w:trPr>
        <w:tc>
          <w:tcPr>
            <w:tcW w:w="2798" w:type="dxa"/>
            <w:vAlign w:val="center"/>
          </w:tcPr>
          <w:p>
            <w:pPr>
              <w:spacing w:line="360" w:lineRule="exact"/>
              <w:jc w:val="center"/>
              <w:rPr>
                <w:rFonts w:ascii="宋体" w:hAnsi="宋体"/>
                <w:color w:val="auto"/>
              </w:rPr>
            </w:pPr>
            <w:r>
              <w:rPr>
                <w:rFonts w:hint="eastAsia" w:ascii="宋体" w:hAnsi="宋体"/>
                <w:color w:val="auto"/>
              </w:rPr>
              <w:t>分散机</w:t>
            </w:r>
          </w:p>
        </w:tc>
        <w:tc>
          <w:tcPr>
            <w:tcW w:w="1939" w:type="dxa"/>
            <w:vAlign w:val="center"/>
          </w:tcPr>
          <w:p>
            <w:pPr>
              <w:spacing w:line="360" w:lineRule="exact"/>
              <w:jc w:val="center"/>
              <w:rPr>
                <w:rFonts w:ascii="宋体" w:hAnsi="宋体"/>
                <w:color w:val="auto"/>
              </w:rPr>
            </w:pPr>
            <w:r>
              <w:rPr>
                <w:rFonts w:ascii="宋体" w:hAnsi="宋体"/>
                <w:color w:val="auto"/>
              </w:rPr>
              <w:t>FL-22KW</w:t>
            </w:r>
          </w:p>
        </w:tc>
        <w:tc>
          <w:tcPr>
            <w:tcW w:w="1101" w:type="dxa"/>
            <w:vAlign w:val="center"/>
          </w:tcPr>
          <w:p>
            <w:pPr>
              <w:spacing w:line="360" w:lineRule="exact"/>
              <w:jc w:val="center"/>
              <w:rPr>
                <w:rFonts w:ascii="宋体" w:hAnsi="宋体"/>
                <w:color w:val="auto"/>
              </w:rPr>
            </w:pPr>
            <w:r>
              <w:rPr>
                <w:rFonts w:ascii="宋体" w:hAnsi="宋体"/>
                <w:color w:val="auto"/>
              </w:rPr>
              <w:t>2</w:t>
            </w:r>
          </w:p>
        </w:tc>
        <w:tc>
          <w:tcPr>
            <w:tcW w:w="3660" w:type="dxa"/>
            <w:vAlign w:val="center"/>
          </w:tcPr>
          <w:p>
            <w:pPr>
              <w:jc w:val="center"/>
              <w:rPr>
                <w:rFonts w:ascii="宋体" w:hAnsi="宋体"/>
                <w:color w:val="auto"/>
              </w:rPr>
            </w:pPr>
            <w:r>
              <w:rPr>
                <w:rFonts w:hint="eastAsia" w:ascii="宋体" w:hAnsi="宋体"/>
                <w:color w:val="auto"/>
              </w:rPr>
              <w:t>车间、搅拌用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0" w:hRule="atLeast"/>
          <w:jc w:val="center"/>
        </w:trPr>
        <w:tc>
          <w:tcPr>
            <w:tcW w:w="2798" w:type="dxa"/>
            <w:vAlign w:val="center"/>
          </w:tcPr>
          <w:p>
            <w:pPr>
              <w:spacing w:line="360" w:lineRule="exact"/>
              <w:jc w:val="center"/>
              <w:rPr>
                <w:rFonts w:ascii="宋体" w:hAnsi="宋体"/>
                <w:color w:val="auto"/>
              </w:rPr>
            </w:pPr>
            <w:r>
              <w:rPr>
                <w:rFonts w:hint="eastAsia" w:ascii="宋体" w:hAnsi="宋体"/>
                <w:color w:val="auto"/>
              </w:rPr>
              <w:t>分散机</w:t>
            </w:r>
          </w:p>
        </w:tc>
        <w:tc>
          <w:tcPr>
            <w:tcW w:w="1939" w:type="dxa"/>
            <w:vAlign w:val="center"/>
          </w:tcPr>
          <w:p>
            <w:pPr>
              <w:spacing w:line="360" w:lineRule="exact"/>
              <w:jc w:val="center"/>
              <w:rPr>
                <w:rFonts w:ascii="宋体" w:hAnsi="宋体"/>
                <w:color w:val="auto"/>
              </w:rPr>
            </w:pPr>
            <w:r>
              <w:rPr>
                <w:rFonts w:ascii="宋体" w:hAnsi="宋体"/>
                <w:color w:val="auto"/>
              </w:rPr>
              <w:t>YB112-4</w:t>
            </w:r>
          </w:p>
        </w:tc>
        <w:tc>
          <w:tcPr>
            <w:tcW w:w="1101" w:type="dxa"/>
            <w:vAlign w:val="center"/>
          </w:tcPr>
          <w:p>
            <w:pPr>
              <w:spacing w:line="360" w:lineRule="exact"/>
              <w:jc w:val="center"/>
              <w:rPr>
                <w:rFonts w:ascii="宋体" w:hAnsi="宋体"/>
                <w:color w:val="auto"/>
              </w:rPr>
            </w:pPr>
            <w:r>
              <w:rPr>
                <w:rFonts w:ascii="宋体" w:hAnsi="宋体"/>
                <w:color w:val="auto"/>
              </w:rPr>
              <w:t>2</w:t>
            </w:r>
          </w:p>
        </w:tc>
        <w:tc>
          <w:tcPr>
            <w:tcW w:w="3660" w:type="dxa"/>
            <w:vAlign w:val="center"/>
          </w:tcPr>
          <w:p>
            <w:pPr>
              <w:jc w:val="center"/>
              <w:rPr>
                <w:rFonts w:ascii="宋体" w:hAnsi="宋体"/>
                <w:color w:val="auto"/>
              </w:rPr>
            </w:pPr>
            <w:r>
              <w:rPr>
                <w:rFonts w:hint="eastAsia" w:ascii="宋体" w:hAnsi="宋体"/>
                <w:color w:val="auto"/>
              </w:rPr>
              <w:t>车间、搅拌用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0" w:hRule="atLeast"/>
          <w:jc w:val="center"/>
        </w:trPr>
        <w:tc>
          <w:tcPr>
            <w:tcW w:w="2798" w:type="dxa"/>
            <w:vAlign w:val="center"/>
          </w:tcPr>
          <w:p>
            <w:pPr>
              <w:spacing w:line="360" w:lineRule="exact"/>
              <w:jc w:val="center"/>
              <w:rPr>
                <w:rFonts w:ascii="宋体" w:hAnsi="宋体"/>
                <w:color w:val="auto"/>
              </w:rPr>
            </w:pPr>
            <w:r>
              <w:rPr>
                <w:rFonts w:hint="eastAsia" w:ascii="宋体" w:hAnsi="宋体"/>
                <w:color w:val="auto"/>
              </w:rPr>
              <w:t>分散机</w:t>
            </w:r>
          </w:p>
        </w:tc>
        <w:tc>
          <w:tcPr>
            <w:tcW w:w="1939" w:type="dxa"/>
            <w:vAlign w:val="center"/>
          </w:tcPr>
          <w:p>
            <w:pPr>
              <w:spacing w:line="360" w:lineRule="exact"/>
              <w:jc w:val="center"/>
              <w:rPr>
                <w:rFonts w:ascii="宋体" w:hAnsi="宋体"/>
                <w:color w:val="auto"/>
              </w:rPr>
            </w:pPr>
            <w:r>
              <w:rPr>
                <w:rFonts w:ascii="宋体" w:hAnsi="宋体"/>
                <w:color w:val="auto"/>
              </w:rPr>
              <w:t>YB2-160M-4</w:t>
            </w:r>
          </w:p>
        </w:tc>
        <w:tc>
          <w:tcPr>
            <w:tcW w:w="1101" w:type="dxa"/>
            <w:vAlign w:val="center"/>
          </w:tcPr>
          <w:p>
            <w:pPr>
              <w:spacing w:line="360" w:lineRule="exact"/>
              <w:jc w:val="center"/>
              <w:rPr>
                <w:rFonts w:ascii="宋体" w:hAnsi="宋体"/>
                <w:color w:val="auto"/>
              </w:rPr>
            </w:pPr>
            <w:r>
              <w:rPr>
                <w:rFonts w:ascii="宋体" w:hAnsi="宋体"/>
                <w:color w:val="auto"/>
              </w:rPr>
              <w:t>1</w:t>
            </w:r>
          </w:p>
        </w:tc>
        <w:tc>
          <w:tcPr>
            <w:tcW w:w="3660" w:type="dxa"/>
            <w:vAlign w:val="center"/>
          </w:tcPr>
          <w:p>
            <w:pPr>
              <w:jc w:val="center"/>
              <w:rPr>
                <w:rFonts w:ascii="宋体" w:hAnsi="宋体"/>
                <w:color w:val="auto"/>
              </w:rPr>
            </w:pPr>
            <w:r>
              <w:rPr>
                <w:rFonts w:hint="eastAsia" w:ascii="宋体" w:hAnsi="宋体"/>
                <w:color w:val="auto"/>
              </w:rPr>
              <w:t>车间、搅拌用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0" w:hRule="atLeast"/>
          <w:jc w:val="center"/>
        </w:trPr>
        <w:tc>
          <w:tcPr>
            <w:tcW w:w="2798" w:type="dxa"/>
            <w:vAlign w:val="center"/>
          </w:tcPr>
          <w:p>
            <w:pPr>
              <w:spacing w:line="360" w:lineRule="exact"/>
              <w:jc w:val="center"/>
              <w:rPr>
                <w:rFonts w:ascii="宋体" w:hAnsi="宋体"/>
                <w:color w:val="auto"/>
              </w:rPr>
            </w:pPr>
            <w:r>
              <w:rPr>
                <w:rFonts w:hint="eastAsia" w:ascii="宋体" w:hAnsi="宋体"/>
                <w:color w:val="auto"/>
              </w:rPr>
              <w:t>分散机</w:t>
            </w:r>
          </w:p>
        </w:tc>
        <w:tc>
          <w:tcPr>
            <w:tcW w:w="1939" w:type="dxa"/>
            <w:vAlign w:val="center"/>
          </w:tcPr>
          <w:p>
            <w:pPr>
              <w:spacing w:line="360" w:lineRule="exact"/>
              <w:jc w:val="center"/>
              <w:rPr>
                <w:rFonts w:ascii="宋体" w:hAnsi="宋体"/>
                <w:color w:val="auto"/>
              </w:rPr>
            </w:pPr>
            <w:r>
              <w:rPr>
                <w:rFonts w:ascii="宋体" w:hAnsi="宋体"/>
                <w:color w:val="auto"/>
              </w:rPr>
              <w:t>YCT-225-4A</w:t>
            </w:r>
          </w:p>
        </w:tc>
        <w:tc>
          <w:tcPr>
            <w:tcW w:w="1101" w:type="dxa"/>
            <w:vAlign w:val="center"/>
          </w:tcPr>
          <w:p>
            <w:pPr>
              <w:spacing w:line="360" w:lineRule="exact"/>
              <w:jc w:val="center"/>
              <w:rPr>
                <w:rFonts w:ascii="宋体" w:hAnsi="宋体"/>
                <w:color w:val="auto"/>
              </w:rPr>
            </w:pPr>
            <w:r>
              <w:rPr>
                <w:rFonts w:ascii="宋体" w:hAnsi="宋体"/>
                <w:color w:val="auto"/>
              </w:rPr>
              <w:t>1</w:t>
            </w:r>
          </w:p>
        </w:tc>
        <w:tc>
          <w:tcPr>
            <w:tcW w:w="3660" w:type="dxa"/>
            <w:vAlign w:val="center"/>
          </w:tcPr>
          <w:p>
            <w:pPr>
              <w:jc w:val="center"/>
              <w:rPr>
                <w:rFonts w:ascii="宋体" w:hAnsi="宋体"/>
                <w:color w:val="auto"/>
              </w:rPr>
            </w:pPr>
            <w:r>
              <w:rPr>
                <w:rFonts w:hint="eastAsia" w:ascii="宋体" w:hAnsi="宋体"/>
                <w:color w:val="auto"/>
              </w:rPr>
              <w:t>车间、搅拌用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0" w:hRule="atLeast"/>
          <w:jc w:val="center"/>
        </w:trPr>
        <w:tc>
          <w:tcPr>
            <w:tcW w:w="2798" w:type="dxa"/>
            <w:vAlign w:val="center"/>
          </w:tcPr>
          <w:p>
            <w:pPr>
              <w:spacing w:line="360" w:lineRule="exact"/>
              <w:jc w:val="center"/>
              <w:rPr>
                <w:rFonts w:ascii="宋体" w:hAnsi="宋体"/>
                <w:color w:val="auto"/>
              </w:rPr>
            </w:pPr>
            <w:r>
              <w:rPr>
                <w:rFonts w:hint="eastAsia" w:ascii="宋体" w:hAnsi="宋体"/>
                <w:color w:val="auto"/>
              </w:rPr>
              <w:t>砂磨机</w:t>
            </w:r>
          </w:p>
        </w:tc>
        <w:tc>
          <w:tcPr>
            <w:tcW w:w="1939" w:type="dxa"/>
            <w:vAlign w:val="center"/>
          </w:tcPr>
          <w:p>
            <w:pPr>
              <w:spacing w:line="360" w:lineRule="exact"/>
              <w:jc w:val="center"/>
              <w:rPr>
                <w:rFonts w:ascii="宋体" w:hAnsi="宋体"/>
                <w:color w:val="auto"/>
              </w:rPr>
            </w:pPr>
            <w:r>
              <w:rPr>
                <w:rFonts w:ascii="宋体" w:hAnsi="宋体"/>
                <w:color w:val="auto"/>
              </w:rPr>
              <w:t>WS-15</w:t>
            </w:r>
          </w:p>
        </w:tc>
        <w:tc>
          <w:tcPr>
            <w:tcW w:w="1101" w:type="dxa"/>
            <w:vAlign w:val="center"/>
          </w:tcPr>
          <w:p>
            <w:pPr>
              <w:spacing w:line="360" w:lineRule="exact"/>
              <w:jc w:val="center"/>
              <w:rPr>
                <w:rFonts w:ascii="宋体" w:hAnsi="宋体"/>
                <w:color w:val="auto"/>
              </w:rPr>
            </w:pPr>
            <w:r>
              <w:rPr>
                <w:rFonts w:ascii="宋体" w:hAnsi="宋体"/>
                <w:color w:val="auto"/>
              </w:rPr>
              <w:t>2</w:t>
            </w:r>
          </w:p>
        </w:tc>
        <w:tc>
          <w:tcPr>
            <w:tcW w:w="3660" w:type="dxa"/>
            <w:vAlign w:val="center"/>
          </w:tcPr>
          <w:p>
            <w:pPr>
              <w:jc w:val="center"/>
              <w:rPr>
                <w:rFonts w:ascii="宋体" w:hAnsi="宋体"/>
                <w:color w:val="auto"/>
              </w:rPr>
            </w:pPr>
            <w:r>
              <w:rPr>
                <w:rFonts w:hint="eastAsia" w:ascii="宋体" w:hAnsi="宋体"/>
                <w:color w:val="auto"/>
              </w:rPr>
              <w:t>车间、研磨用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0" w:hRule="atLeast"/>
          <w:jc w:val="center"/>
        </w:trPr>
        <w:tc>
          <w:tcPr>
            <w:tcW w:w="2798" w:type="dxa"/>
            <w:vAlign w:val="center"/>
          </w:tcPr>
          <w:p>
            <w:pPr>
              <w:spacing w:line="360" w:lineRule="exact"/>
              <w:jc w:val="center"/>
              <w:rPr>
                <w:rFonts w:ascii="宋体" w:hAnsi="宋体"/>
                <w:color w:val="auto"/>
              </w:rPr>
            </w:pPr>
            <w:r>
              <w:rPr>
                <w:rFonts w:hint="eastAsia" w:ascii="宋体" w:hAnsi="宋体"/>
                <w:color w:val="auto"/>
              </w:rPr>
              <w:t>砂磨机</w:t>
            </w:r>
          </w:p>
        </w:tc>
        <w:tc>
          <w:tcPr>
            <w:tcW w:w="1939" w:type="dxa"/>
            <w:vAlign w:val="center"/>
          </w:tcPr>
          <w:p>
            <w:pPr>
              <w:spacing w:line="360" w:lineRule="exact"/>
              <w:jc w:val="center"/>
              <w:rPr>
                <w:rFonts w:ascii="宋体" w:hAnsi="宋体"/>
                <w:color w:val="auto"/>
              </w:rPr>
            </w:pPr>
            <w:r>
              <w:rPr>
                <w:rFonts w:ascii="宋体" w:hAnsi="宋体"/>
                <w:color w:val="auto"/>
              </w:rPr>
              <w:t>WS-20</w:t>
            </w:r>
          </w:p>
        </w:tc>
        <w:tc>
          <w:tcPr>
            <w:tcW w:w="1101" w:type="dxa"/>
            <w:vAlign w:val="center"/>
          </w:tcPr>
          <w:p>
            <w:pPr>
              <w:spacing w:line="360" w:lineRule="exact"/>
              <w:jc w:val="center"/>
              <w:rPr>
                <w:rFonts w:ascii="宋体" w:hAnsi="宋体"/>
                <w:color w:val="auto"/>
              </w:rPr>
            </w:pPr>
            <w:r>
              <w:rPr>
                <w:rFonts w:ascii="宋体" w:hAnsi="宋体"/>
                <w:color w:val="auto"/>
              </w:rPr>
              <w:t>2</w:t>
            </w:r>
          </w:p>
        </w:tc>
        <w:tc>
          <w:tcPr>
            <w:tcW w:w="3660" w:type="dxa"/>
            <w:vAlign w:val="center"/>
          </w:tcPr>
          <w:p>
            <w:pPr>
              <w:jc w:val="center"/>
              <w:rPr>
                <w:rFonts w:ascii="宋体" w:hAnsi="宋体"/>
                <w:color w:val="auto"/>
              </w:rPr>
            </w:pPr>
            <w:r>
              <w:rPr>
                <w:rFonts w:hint="eastAsia" w:ascii="宋体" w:hAnsi="宋体"/>
                <w:color w:val="auto"/>
              </w:rPr>
              <w:t>车间、研磨用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0" w:hRule="atLeast"/>
          <w:jc w:val="center"/>
        </w:trPr>
        <w:tc>
          <w:tcPr>
            <w:tcW w:w="2798" w:type="dxa"/>
            <w:vAlign w:val="center"/>
          </w:tcPr>
          <w:p>
            <w:pPr>
              <w:spacing w:line="360" w:lineRule="exact"/>
              <w:jc w:val="center"/>
              <w:rPr>
                <w:rFonts w:ascii="宋体" w:hAnsi="宋体"/>
                <w:color w:val="auto"/>
              </w:rPr>
            </w:pPr>
            <w:r>
              <w:rPr>
                <w:rFonts w:hint="eastAsia" w:ascii="宋体" w:hAnsi="宋体"/>
                <w:color w:val="auto"/>
              </w:rPr>
              <w:t>三辊机</w:t>
            </w:r>
          </w:p>
        </w:tc>
        <w:tc>
          <w:tcPr>
            <w:tcW w:w="1939" w:type="dxa"/>
            <w:vAlign w:val="center"/>
          </w:tcPr>
          <w:p>
            <w:pPr>
              <w:spacing w:line="360" w:lineRule="exact"/>
              <w:jc w:val="center"/>
              <w:rPr>
                <w:rFonts w:ascii="宋体" w:hAnsi="宋体"/>
                <w:color w:val="auto"/>
              </w:rPr>
            </w:pPr>
            <w:r>
              <w:rPr>
                <w:rFonts w:ascii="宋体" w:hAnsi="宋体"/>
                <w:color w:val="auto"/>
              </w:rPr>
              <w:t>S260</w:t>
            </w:r>
          </w:p>
        </w:tc>
        <w:tc>
          <w:tcPr>
            <w:tcW w:w="1101" w:type="dxa"/>
            <w:vAlign w:val="center"/>
          </w:tcPr>
          <w:p>
            <w:pPr>
              <w:spacing w:line="360" w:lineRule="exact"/>
              <w:jc w:val="center"/>
              <w:rPr>
                <w:rFonts w:ascii="宋体" w:hAnsi="宋体"/>
                <w:color w:val="auto"/>
              </w:rPr>
            </w:pPr>
            <w:r>
              <w:rPr>
                <w:rFonts w:ascii="宋体" w:hAnsi="宋体"/>
                <w:color w:val="auto"/>
              </w:rPr>
              <w:t>6</w:t>
            </w:r>
          </w:p>
        </w:tc>
        <w:tc>
          <w:tcPr>
            <w:tcW w:w="3660" w:type="dxa"/>
            <w:vAlign w:val="center"/>
          </w:tcPr>
          <w:p>
            <w:pPr>
              <w:jc w:val="center"/>
              <w:rPr>
                <w:rFonts w:ascii="宋体" w:hAnsi="宋体"/>
                <w:color w:val="auto"/>
              </w:rPr>
            </w:pPr>
            <w:r>
              <w:rPr>
                <w:rFonts w:hint="eastAsia" w:ascii="宋体" w:hAnsi="宋体"/>
                <w:color w:val="auto"/>
              </w:rPr>
              <w:t>车间、研磨用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0" w:hRule="atLeast"/>
          <w:jc w:val="center"/>
        </w:trPr>
        <w:tc>
          <w:tcPr>
            <w:tcW w:w="2798" w:type="dxa"/>
            <w:vAlign w:val="center"/>
          </w:tcPr>
          <w:p>
            <w:pPr>
              <w:spacing w:line="360" w:lineRule="exact"/>
              <w:jc w:val="center"/>
              <w:rPr>
                <w:rFonts w:ascii="宋体" w:hAnsi="宋体"/>
                <w:color w:val="auto"/>
              </w:rPr>
            </w:pPr>
            <w:r>
              <w:rPr>
                <w:rFonts w:hint="eastAsia" w:ascii="宋体" w:hAnsi="宋体"/>
                <w:color w:val="auto"/>
              </w:rPr>
              <w:t>三辊机</w:t>
            </w:r>
          </w:p>
        </w:tc>
        <w:tc>
          <w:tcPr>
            <w:tcW w:w="1939" w:type="dxa"/>
            <w:vAlign w:val="center"/>
          </w:tcPr>
          <w:p>
            <w:pPr>
              <w:spacing w:line="360" w:lineRule="exact"/>
              <w:jc w:val="center"/>
              <w:rPr>
                <w:rFonts w:ascii="宋体" w:hAnsi="宋体"/>
                <w:color w:val="auto"/>
              </w:rPr>
            </w:pPr>
            <w:r>
              <w:rPr>
                <w:rFonts w:ascii="宋体" w:hAnsi="宋体"/>
                <w:color w:val="auto"/>
              </w:rPr>
              <w:t>S150</w:t>
            </w:r>
          </w:p>
        </w:tc>
        <w:tc>
          <w:tcPr>
            <w:tcW w:w="1101" w:type="dxa"/>
            <w:vAlign w:val="center"/>
          </w:tcPr>
          <w:p>
            <w:pPr>
              <w:spacing w:line="360" w:lineRule="exact"/>
              <w:jc w:val="center"/>
              <w:rPr>
                <w:rFonts w:ascii="宋体" w:hAnsi="宋体"/>
                <w:color w:val="auto"/>
              </w:rPr>
            </w:pPr>
            <w:r>
              <w:rPr>
                <w:rFonts w:ascii="宋体" w:hAnsi="宋体"/>
                <w:color w:val="auto"/>
              </w:rPr>
              <w:t>1</w:t>
            </w:r>
          </w:p>
        </w:tc>
        <w:tc>
          <w:tcPr>
            <w:tcW w:w="3660" w:type="dxa"/>
            <w:vAlign w:val="center"/>
          </w:tcPr>
          <w:p>
            <w:pPr>
              <w:jc w:val="center"/>
              <w:rPr>
                <w:rFonts w:ascii="宋体" w:hAnsi="宋体"/>
                <w:color w:val="auto"/>
              </w:rPr>
            </w:pPr>
            <w:r>
              <w:rPr>
                <w:rFonts w:hint="eastAsia" w:ascii="宋体" w:hAnsi="宋体"/>
                <w:color w:val="auto"/>
              </w:rPr>
              <w:t>车间、研磨用</w:t>
            </w:r>
          </w:p>
        </w:tc>
      </w:tr>
    </w:tbl>
    <w:p>
      <w:pPr>
        <w:spacing w:line="560" w:lineRule="exact"/>
        <w:ind w:firstLine="425" w:firstLineChars="152"/>
        <w:rPr>
          <w:rFonts w:ascii="宋体" w:hAnsi="宋体" w:eastAsia="宋体"/>
          <w:color w:val="auto"/>
          <w:sz w:val="28"/>
          <w:szCs w:val="28"/>
          <w:lang w:eastAsia="zh-CN"/>
        </w:rPr>
      </w:pPr>
      <w:r>
        <w:rPr>
          <w:rFonts w:hint="eastAsia" w:ascii="宋体" w:hAnsi="宋体" w:eastAsia="宋体"/>
          <w:color w:val="auto"/>
          <w:sz w:val="28"/>
          <w:szCs w:val="28"/>
          <w:lang w:eastAsia="zh-CN"/>
        </w:rPr>
        <w:t>2)</w:t>
      </w:r>
      <w:r>
        <w:rPr>
          <w:rFonts w:ascii="宋体" w:hAnsi="宋体" w:eastAsia="宋体"/>
          <w:color w:val="auto"/>
          <w:sz w:val="28"/>
          <w:szCs w:val="28"/>
          <w:lang w:eastAsia="zh-CN"/>
        </w:rPr>
        <w:t>特种设备</w:t>
      </w:r>
    </w:p>
    <w:p>
      <w:pPr>
        <w:spacing w:line="560" w:lineRule="exact"/>
        <w:ind w:firstLine="425" w:firstLineChars="152"/>
        <w:rPr>
          <w:rFonts w:ascii="宋体" w:hAnsi="宋体" w:eastAsia="宋体"/>
          <w:color w:val="auto"/>
          <w:sz w:val="28"/>
          <w:szCs w:val="28"/>
          <w:lang w:eastAsia="zh-CN"/>
        </w:rPr>
      </w:pPr>
      <w:r>
        <w:rPr>
          <w:rFonts w:ascii="宋体" w:hAnsi="宋体" w:eastAsia="宋体"/>
          <w:color w:val="auto"/>
          <w:sz w:val="28"/>
          <w:szCs w:val="28"/>
          <w:lang w:eastAsia="zh-CN"/>
        </w:rPr>
        <w:t>根据《特种设备安全监察条例》(中华人民共和国国务院令第549号)对特种设备的定义：特种设备是指涉及生命安全、危险性较大的锅炉、压力容器(含气瓶)、压力管道、电梯、起重机械、客运索道、大型游乐设施和场(厂)内专用机动车辆，该项目</w:t>
      </w:r>
      <w:r>
        <w:rPr>
          <w:rFonts w:hint="eastAsia" w:ascii="宋体" w:hAnsi="宋体" w:eastAsia="宋体"/>
          <w:color w:val="auto"/>
          <w:sz w:val="28"/>
          <w:szCs w:val="28"/>
          <w:lang w:eastAsia="zh-CN"/>
        </w:rPr>
        <w:t>生产过程中使用的</w:t>
      </w:r>
      <w:r>
        <w:rPr>
          <w:rFonts w:ascii="宋体" w:hAnsi="宋体" w:eastAsia="宋体"/>
          <w:color w:val="auto"/>
          <w:sz w:val="28"/>
          <w:szCs w:val="28"/>
          <w:lang w:eastAsia="zh-CN"/>
        </w:rPr>
        <w:t>设备</w:t>
      </w:r>
      <w:r>
        <w:rPr>
          <w:rFonts w:hint="eastAsia" w:ascii="宋体" w:hAnsi="宋体" w:eastAsia="宋体"/>
          <w:color w:val="auto"/>
          <w:sz w:val="28"/>
          <w:szCs w:val="28"/>
          <w:lang w:eastAsia="zh-CN"/>
        </w:rPr>
        <w:t>不属于特种设备</w:t>
      </w:r>
      <w:r>
        <w:rPr>
          <w:rFonts w:ascii="宋体" w:hAnsi="宋体" w:eastAsia="宋体"/>
          <w:color w:val="auto"/>
          <w:sz w:val="28"/>
          <w:szCs w:val="28"/>
          <w:lang w:eastAsia="zh-CN"/>
        </w:rPr>
        <w:t>。</w:t>
      </w:r>
    </w:p>
    <w:p>
      <w:pPr>
        <w:spacing w:line="560" w:lineRule="exact"/>
        <w:jc w:val="both"/>
        <w:outlineLvl w:val="1"/>
        <w:rPr>
          <w:rFonts w:ascii="楷体_GB2312" w:hAnsi="Times New Roman" w:eastAsia="楷体_GB2312" w:cs="Times New Roman"/>
          <w:bCs/>
          <w:color w:val="auto"/>
          <w:kern w:val="2"/>
          <w:sz w:val="32"/>
          <w:lang w:val="en-US" w:eastAsia="zh-CN" w:bidi="ar-SA"/>
        </w:rPr>
      </w:pPr>
      <w:bookmarkStart w:id="23" w:name="_Toc40045887"/>
      <w:bookmarkStart w:id="24" w:name="bookmark21"/>
      <w:r>
        <w:rPr>
          <w:rFonts w:ascii="楷体_GB2312" w:hAnsi="Times New Roman" w:eastAsia="楷体_GB2312" w:cs="Times New Roman"/>
          <w:bCs/>
          <w:color w:val="auto"/>
          <w:kern w:val="2"/>
          <w:sz w:val="32"/>
          <w:lang w:val="en-US" w:eastAsia="zh-CN" w:bidi="ar-SA"/>
        </w:rPr>
        <w:t>2.3公用工程及辅助设施</w:t>
      </w:r>
      <w:bookmarkEnd w:id="23"/>
    </w:p>
    <w:p>
      <w:pPr>
        <w:spacing w:line="560" w:lineRule="exact"/>
        <w:jc w:val="both"/>
        <w:outlineLvl w:val="2"/>
        <w:rPr>
          <w:rFonts w:ascii="宋体" w:hAnsi="宋体" w:eastAsia="宋体" w:cs="Times New Roman"/>
          <w:bCs/>
          <w:color w:val="auto"/>
          <w:kern w:val="2"/>
          <w:sz w:val="28"/>
          <w:szCs w:val="28"/>
          <w:lang w:val="en-US" w:eastAsia="zh-CN" w:bidi="ar-SA"/>
        </w:rPr>
      </w:pPr>
      <w:r>
        <w:rPr>
          <w:rFonts w:ascii="宋体" w:hAnsi="宋体" w:eastAsia="宋体" w:cs="Times New Roman"/>
          <w:bCs/>
          <w:color w:val="auto"/>
          <w:kern w:val="2"/>
          <w:sz w:val="28"/>
          <w:szCs w:val="28"/>
          <w:lang w:val="en-US" w:eastAsia="zh-CN" w:bidi="ar-SA"/>
        </w:rPr>
        <w:t>2.3.1给排水</w:t>
      </w:r>
      <w:bookmarkEnd w:id="24"/>
    </w:p>
    <w:p>
      <w:pPr>
        <w:spacing w:line="560" w:lineRule="exact"/>
        <w:ind w:firstLine="560" w:firstLineChars="200"/>
        <w:jc w:val="both"/>
        <w:rPr>
          <w:rFonts w:ascii="宋体" w:hAnsi="宋体" w:eastAsia="宋体"/>
          <w:color w:val="auto"/>
          <w:sz w:val="28"/>
          <w:szCs w:val="28"/>
          <w:lang w:eastAsia="zh-CN"/>
        </w:rPr>
      </w:pPr>
      <w:r>
        <w:rPr>
          <w:rFonts w:hint="eastAsia" w:ascii="宋体" w:hAnsi="宋体" w:eastAsia="宋体"/>
          <w:color w:val="auto"/>
          <w:sz w:val="28"/>
          <w:szCs w:val="28"/>
          <w:lang w:eastAsia="zh-CN"/>
        </w:rPr>
        <w:t>1)</w:t>
      </w:r>
      <w:r>
        <w:rPr>
          <w:rFonts w:ascii="宋体" w:hAnsi="宋体" w:eastAsia="宋体"/>
          <w:color w:val="auto"/>
          <w:sz w:val="28"/>
          <w:szCs w:val="28"/>
          <w:lang w:eastAsia="zh-CN"/>
        </w:rPr>
        <w:t>给水：</w:t>
      </w:r>
      <w:r>
        <w:rPr>
          <w:rFonts w:hint="eastAsia" w:ascii="宋体" w:hAnsi="宋体" w:eastAsia="宋体"/>
          <w:color w:val="auto"/>
          <w:sz w:val="28"/>
          <w:szCs w:val="28"/>
        </w:rPr>
        <w:t>消防、生产、生活用水由市政供水水源供给，产生的废水主要为清洗容器生产的有机溶剂清洗水，洗桶水收集于铁桶中，集中后由有资质的机构上门回收处理。生活污水排放量约为10m</w:t>
      </w:r>
      <w:r>
        <w:rPr>
          <w:rFonts w:hint="eastAsia" w:ascii="宋体" w:hAnsi="宋体" w:eastAsia="宋体"/>
          <w:color w:val="auto"/>
          <w:sz w:val="28"/>
          <w:szCs w:val="28"/>
          <w:vertAlign w:val="superscript"/>
        </w:rPr>
        <w:t>3</w:t>
      </w:r>
      <w:r>
        <w:rPr>
          <w:rFonts w:hint="eastAsia" w:ascii="宋体" w:hAnsi="宋体" w:eastAsia="宋体"/>
          <w:color w:val="auto"/>
          <w:sz w:val="28"/>
          <w:szCs w:val="28"/>
        </w:rPr>
        <w:t>/d，经化粪池后再排入生活污水处理池中处理后进排污渠。</w:t>
      </w:r>
    </w:p>
    <w:p>
      <w:pPr>
        <w:spacing w:line="560" w:lineRule="exact"/>
        <w:ind w:firstLine="560" w:firstLineChars="200"/>
        <w:jc w:val="both"/>
        <w:rPr>
          <w:rFonts w:ascii="宋体" w:hAnsi="宋体" w:eastAsia="宋体"/>
          <w:color w:val="auto"/>
          <w:sz w:val="28"/>
          <w:szCs w:val="28"/>
        </w:rPr>
      </w:pPr>
      <w:r>
        <w:rPr>
          <w:rFonts w:ascii="宋体" w:hAnsi="宋体" w:eastAsia="宋体"/>
          <w:color w:val="auto"/>
          <w:sz w:val="28"/>
          <w:szCs w:val="28"/>
        </w:rPr>
        <w:t>2</w:t>
      </w:r>
      <w:r>
        <w:rPr>
          <w:rFonts w:hint="eastAsia" w:ascii="宋体" w:hAnsi="宋体" w:eastAsia="宋体"/>
          <w:color w:val="auto"/>
          <w:sz w:val="28"/>
          <w:szCs w:val="28"/>
          <w:lang w:eastAsia="zh-CN"/>
        </w:rPr>
        <w:t>)</w:t>
      </w:r>
      <w:r>
        <w:rPr>
          <w:rFonts w:ascii="宋体" w:hAnsi="宋体" w:eastAsia="宋体"/>
          <w:color w:val="auto"/>
          <w:sz w:val="28"/>
          <w:szCs w:val="28"/>
          <w:lang w:eastAsia="zh-CN"/>
        </w:rPr>
        <w:t>排水：</w:t>
      </w:r>
      <w:r>
        <w:rPr>
          <w:rFonts w:hint="eastAsia" w:ascii="宋体" w:hAnsi="宋体" w:eastAsia="宋体"/>
          <w:color w:val="auto"/>
          <w:sz w:val="28"/>
          <w:szCs w:val="28"/>
        </w:rPr>
        <w:t>厂区内排水采用雨水、污水分流制。竖向雨水用明沟或暗管收集后直接排入市政雨水管网，生活污水中粪便污水经三级化粪处理，达标后与其它生活污水一起排入市政污水管网。</w:t>
      </w:r>
    </w:p>
    <w:p>
      <w:pPr>
        <w:spacing w:line="560" w:lineRule="exact"/>
        <w:ind w:firstLine="425" w:firstLineChars="152"/>
        <w:jc w:val="both"/>
        <w:rPr>
          <w:rFonts w:ascii="宋体" w:hAnsi="宋体" w:eastAsia="宋体"/>
          <w:color w:val="auto"/>
          <w:sz w:val="28"/>
          <w:szCs w:val="28"/>
          <w:lang w:eastAsia="zh-CN"/>
        </w:rPr>
      </w:pPr>
      <w:r>
        <w:rPr>
          <w:rFonts w:ascii="宋体" w:hAnsi="宋体" w:eastAsia="宋体"/>
          <w:color w:val="auto"/>
          <w:sz w:val="28"/>
          <w:szCs w:val="28"/>
        </w:rPr>
        <w:t>3</w:t>
      </w:r>
      <w:r>
        <w:rPr>
          <w:rFonts w:hint="eastAsia" w:ascii="宋体" w:hAnsi="宋体" w:eastAsia="宋体"/>
          <w:color w:val="auto"/>
          <w:sz w:val="28"/>
          <w:szCs w:val="28"/>
          <w:lang w:eastAsia="zh-CN"/>
        </w:rPr>
        <w:t>)</w:t>
      </w:r>
      <w:r>
        <w:rPr>
          <w:rFonts w:ascii="宋体" w:hAnsi="宋体" w:eastAsia="宋体"/>
          <w:color w:val="auto"/>
          <w:sz w:val="28"/>
          <w:szCs w:val="28"/>
          <w:lang w:eastAsia="zh-CN"/>
        </w:rPr>
        <w:t>雨水、污水排放：</w:t>
      </w:r>
      <w:r>
        <w:rPr>
          <w:rFonts w:hint="eastAsia" w:ascii="宋体" w:hAnsi="宋体" w:eastAsia="宋体"/>
          <w:color w:val="auto"/>
          <w:sz w:val="28"/>
          <w:szCs w:val="28"/>
        </w:rPr>
        <w:t>该公司修建了厂区清净下水工程，设置了容积约324m</w:t>
      </w:r>
      <w:r>
        <w:rPr>
          <w:rFonts w:hint="eastAsia" w:ascii="宋体" w:hAnsi="宋体" w:eastAsia="宋体"/>
          <w:color w:val="auto"/>
          <w:sz w:val="28"/>
          <w:szCs w:val="28"/>
          <w:vertAlign w:val="superscript"/>
        </w:rPr>
        <w:t>3</w:t>
      </w:r>
      <w:r>
        <w:rPr>
          <w:rFonts w:hint="eastAsia" w:ascii="宋体" w:hAnsi="宋体" w:eastAsia="宋体"/>
          <w:color w:val="auto"/>
          <w:sz w:val="28"/>
          <w:szCs w:val="28"/>
        </w:rPr>
        <w:t>的事故收集池，事故状态下的污水进入管道汇集后，直接进入事故收集池，经事故收集池收集的污水交有资质的部门处理</w:t>
      </w:r>
      <w:r>
        <w:rPr>
          <w:rFonts w:ascii="宋体" w:hAnsi="宋体" w:eastAsia="宋体"/>
          <w:color w:val="auto"/>
          <w:sz w:val="28"/>
          <w:szCs w:val="28"/>
          <w:lang w:eastAsia="zh-CN"/>
        </w:rPr>
        <w:t>。</w:t>
      </w:r>
    </w:p>
    <w:p>
      <w:pPr>
        <w:spacing w:line="560" w:lineRule="exact"/>
        <w:jc w:val="both"/>
        <w:outlineLvl w:val="2"/>
        <w:rPr>
          <w:rFonts w:ascii="宋体" w:hAnsi="宋体" w:eastAsia="宋体" w:cs="Times New Roman"/>
          <w:bCs/>
          <w:color w:val="auto"/>
          <w:kern w:val="2"/>
          <w:sz w:val="28"/>
          <w:szCs w:val="28"/>
          <w:lang w:val="en-US" w:eastAsia="zh-CN" w:bidi="ar-SA"/>
        </w:rPr>
      </w:pPr>
      <w:bookmarkStart w:id="25" w:name="bookmark22"/>
      <w:r>
        <w:rPr>
          <w:rFonts w:ascii="宋体" w:hAnsi="宋体" w:eastAsia="宋体" w:cs="Times New Roman"/>
          <w:bCs/>
          <w:color w:val="auto"/>
          <w:kern w:val="2"/>
          <w:sz w:val="28"/>
          <w:szCs w:val="28"/>
          <w:lang w:val="en-US" w:eastAsia="zh-CN" w:bidi="ar-SA"/>
        </w:rPr>
        <w:t>2.3.2供配电</w:t>
      </w:r>
      <w:bookmarkEnd w:id="25"/>
    </w:p>
    <w:p>
      <w:pPr>
        <w:spacing w:line="560" w:lineRule="exact"/>
        <w:ind w:firstLine="425" w:firstLineChars="152"/>
        <w:rPr>
          <w:rFonts w:ascii="宋体" w:hAnsi="宋体" w:eastAsia="宋体"/>
          <w:color w:val="auto"/>
          <w:sz w:val="28"/>
          <w:szCs w:val="28"/>
        </w:rPr>
      </w:pPr>
      <w:r>
        <w:rPr>
          <w:rFonts w:hint="eastAsia" w:ascii="宋体" w:hAnsi="宋体" w:eastAsia="宋体"/>
          <w:color w:val="auto"/>
          <w:sz w:val="28"/>
          <w:szCs w:val="28"/>
        </w:rPr>
        <w:t>1)</w:t>
      </w:r>
      <w:r>
        <w:rPr>
          <w:rFonts w:ascii="宋体" w:hAnsi="宋体" w:eastAsia="宋体"/>
          <w:color w:val="auto"/>
          <w:sz w:val="28"/>
          <w:szCs w:val="28"/>
        </w:rPr>
        <w:t>供配电系统</w:t>
      </w:r>
    </w:p>
    <w:p>
      <w:pPr>
        <w:spacing w:line="560" w:lineRule="exact"/>
        <w:ind w:firstLine="560" w:firstLineChars="200"/>
        <w:jc w:val="both"/>
        <w:rPr>
          <w:rFonts w:ascii="宋体" w:hAnsi="宋体" w:eastAsia="宋体"/>
          <w:color w:val="auto"/>
          <w:sz w:val="28"/>
          <w:szCs w:val="28"/>
        </w:rPr>
      </w:pPr>
      <w:r>
        <w:rPr>
          <w:rFonts w:hint="eastAsia" w:ascii="宋体" w:hAnsi="宋体" w:eastAsia="宋体"/>
          <w:color w:val="auto"/>
          <w:sz w:val="28"/>
          <w:szCs w:val="28"/>
        </w:rPr>
        <w:t>厂区电源由东莞市供电分公司道滘供电公司提供一路市电到厂区配电房，由配电房接入公司用电线路。</w:t>
      </w:r>
    </w:p>
    <w:p>
      <w:pPr>
        <w:spacing w:line="560" w:lineRule="exact"/>
        <w:ind w:firstLine="560" w:firstLineChars="200"/>
        <w:jc w:val="both"/>
        <w:rPr>
          <w:rFonts w:ascii="宋体" w:hAnsi="宋体" w:eastAsia="宋体"/>
          <w:color w:val="auto"/>
          <w:sz w:val="28"/>
          <w:szCs w:val="28"/>
        </w:rPr>
      </w:pPr>
      <w:r>
        <w:rPr>
          <w:rFonts w:hint="eastAsia" w:ascii="宋体" w:hAnsi="宋体" w:eastAsia="宋体"/>
          <w:color w:val="auto"/>
          <w:sz w:val="28"/>
          <w:szCs w:val="28"/>
        </w:rPr>
        <w:t>低压供电系统采用三相四线制系统，供电方式采用放射式和树干式相结合的供电方式。生产车间的配电箱、电动机、照明灯具、开关、接线盒等均采用防爆型，厂区发配电房线路采用铜芯电缆，沿电缆沟穿管埋地敷设至车间配电房；车间内电力线路根据需要穿钢管保护至各用电设备。</w:t>
      </w:r>
    </w:p>
    <w:p>
      <w:pPr>
        <w:spacing w:line="560" w:lineRule="exact"/>
        <w:ind w:firstLine="560" w:firstLineChars="200"/>
        <w:jc w:val="both"/>
        <w:rPr>
          <w:rFonts w:ascii="宋体" w:hAnsi="宋体" w:eastAsia="宋体"/>
          <w:color w:val="auto"/>
          <w:sz w:val="28"/>
          <w:szCs w:val="28"/>
        </w:rPr>
      </w:pPr>
      <w:r>
        <w:rPr>
          <w:rFonts w:hint="eastAsia" w:ascii="宋体" w:hAnsi="宋体" w:eastAsia="宋体"/>
          <w:color w:val="auto"/>
          <w:sz w:val="28"/>
          <w:szCs w:val="28"/>
        </w:rPr>
        <w:t>用电负荷除消防设备用电为二级负荷等级外，其他均为三级负荷。供电负荷能够满足新增设备需要。</w:t>
      </w:r>
    </w:p>
    <w:p>
      <w:pPr>
        <w:spacing w:line="560" w:lineRule="exact"/>
        <w:ind w:firstLine="425" w:firstLineChars="152"/>
        <w:rPr>
          <w:rFonts w:ascii="宋体" w:hAnsi="宋体" w:eastAsia="宋体"/>
          <w:color w:val="auto"/>
          <w:sz w:val="28"/>
          <w:szCs w:val="28"/>
        </w:rPr>
      </w:pPr>
      <w:r>
        <w:rPr>
          <w:rFonts w:hint="eastAsia" w:ascii="宋体" w:hAnsi="宋体" w:eastAsia="宋体"/>
          <w:color w:val="auto"/>
          <w:sz w:val="28"/>
          <w:szCs w:val="28"/>
          <w:lang w:eastAsia="zh-CN"/>
        </w:rPr>
        <w:t>2</w:t>
      </w:r>
      <w:r>
        <w:rPr>
          <w:rFonts w:hint="eastAsia" w:ascii="宋体" w:hAnsi="宋体" w:eastAsia="宋体"/>
          <w:color w:val="auto"/>
          <w:sz w:val="28"/>
          <w:szCs w:val="28"/>
        </w:rPr>
        <w:t>)</w:t>
      </w:r>
      <w:r>
        <w:rPr>
          <w:rFonts w:ascii="宋体" w:hAnsi="宋体" w:eastAsia="宋体"/>
          <w:color w:val="auto"/>
          <w:sz w:val="28"/>
          <w:szCs w:val="28"/>
        </w:rPr>
        <w:t>照明配线</w:t>
      </w:r>
    </w:p>
    <w:p>
      <w:pPr>
        <w:spacing w:line="560" w:lineRule="exact"/>
        <w:ind w:firstLine="425" w:firstLineChars="152"/>
        <w:jc w:val="both"/>
        <w:rPr>
          <w:rFonts w:ascii="宋体" w:hAnsi="宋体" w:eastAsia="宋体"/>
          <w:color w:val="auto"/>
          <w:sz w:val="28"/>
          <w:szCs w:val="28"/>
        </w:rPr>
      </w:pPr>
      <w:r>
        <w:rPr>
          <w:rFonts w:ascii="宋体" w:hAnsi="宋体" w:eastAsia="宋体"/>
          <w:color w:val="auto"/>
          <w:sz w:val="28"/>
          <w:szCs w:val="28"/>
        </w:rPr>
        <w:t>室外照明线路采用电缆穿管埋地敷设，经过道路处穿钢管保护；室内照明线路在爆炸危险区域内采用阻燃电线穿钢管保护明敷；非防爆区域采用阻燃电线穿难燃塑料线槽沿墙明敷。</w:t>
      </w:r>
    </w:p>
    <w:p>
      <w:pPr>
        <w:spacing w:line="560" w:lineRule="exact"/>
        <w:jc w:val="both"/>
        <w:outlineLvl w:val="2"/>
        <w:rPr>
          <w:rFonts w:ascii="宋体" w:hAnsi="宋体" w:eastAsia="宋体" w:cs="Times New Roman"/>
          <w:bCs/>
          <w:color w:val="auto"/>
          <w:kern w:val="2"/>
          <w:sz w:val="28"/>
          <w:szCs w:val="28"/>
          <w:lang w:val="en-US" w:eastAsia="zh-CN" w:bidi="ar-SA"/>
        </w:rPr>
      </w:pPr>
      <w:bookmarkStart w:id="26" w:name="bookmark23"/>
      <w:r>
        <w:rPr>
          <w:rFonts w:ascii="宋体" w:hAnsi="宋体" w:eastAsia="宋体" w:cs="Times New Roman"/>
          <w:bCs/>
          <w:color w:val="auto"/>
          <w:kern w:val="2"/>
          <w:sz w:val="28"/>
          <w:szCs w:val="28"/>
          <w:lang w:val="en-US" w:eastAsia="zh-CN" w:bidi="ar-SA"/>
        </w:rPr>
        <w:t>2.3.3消防设施</w:t>
      </w:r>
      <w:bookmarkEnd w:id="26"/>
    </w:p>
    <w:p>
      <w:pPr>
        <w:spacing w:line="560" w:lineRule="exact"/>
        <w:ind w:firstLine="560" w:firstLineChars="200"/>
        <w:jc w:val="both"/>
        <w:rPr>
          <w:rFonts w:ascii="宋体" w:hAnsi="宋体" w:eastAsia="宋体"/>
          <w:color w:val="auto"/>
          <w:sz w:val="28"/>
          <w:szCs w:val="28"/>
        </w:rPr>
      </w:pPr>
      <w:r>
        <w:rPr>
          <w:rFonts w:ascii="宋体" w:hAnsi="宋体" w:eastAsia="宋体"/>
          <w:color w:val="auto"/>
          <w:sz w:val="28"/>
          <w:szCs w:val="28"/>
        </w:rPr>
        <w:t>该项目</w:t>
      </w:r>
      <w:r>
        <w:rPr>
          <w:rFonts w:hint="eastAsia" w:ascii="宋体" w:hAnsi="宋体" w:eastAsia="宋体"/>
          <w:color w:val="auto"/>
          <w:sz w:val="28"/>
          <w:szCs w:val="28"/>
        </w:rPr>
        <w:t>的消防设施由以下几部分组成：消防水栓系统、泡沫喷淋系统及移动式灭火器</w:t>
      </w:r>
      <w:r>
        <w:rPr>
          <w:rFonts w:hint="eastAsia" w:ascii="宋体" w:hAnsi="宋体" w:eastAsia="宋体"/>
          <w:color w:val="auto"/>
          <w:sz w:val="28"/>
          <w:szCs w:val="28"/>
          <w:lang w:eastAsia="zh-CN"/>
        </w:rPr>
        <w:t>，</w:t>
      </w:r>
      <w:r>
        <w:rPr>
          <w:rFonts w:hint="eastAsia" w:ascii="宋体" w:hAnsi="宋体" w:eastAsia="宋体"/>
          <w:color w:val="auto"/>
          <w:sz w:val="28"/>
          <w:szCs w:val="28"/>
        </w:rPr>
        <w:t>消防用水量按25L/s设计，供水量由消防水池（容积V=470m</w:t>
      </w:r>
      <w:r>
        <w:rPr>
          <w:rFonts w:hint="eastAsia" w:ascii="宋体" w:hAnsi="宋体" w:eastAsia="宋体"/>
          <w:color w:val="auto"/>
          <w:sz w:val="28"/>
          <w:szCs w:val="28"/>
          <w:vertAlign w:val="superscript"/>
        </w:rPr>
        <w:t>3</w:t>
      </w:r>
      <w:r>
        <w:rPr>
          <w:rFonts w:hint="eastAsia" w:ascii="宋体" w:hAnsi="宋体" w:eastAsia="宋体"/>
          <w:color w:val="auto"/>
          <w:sz w:val="28"/>
          <w:szCs w:val="28"/>
        </w:rPr>
        <w:t>）提供，厂区消防给水处管网管径为DN150。</w:t>
      </w:r>
    </w:p>
    <w:p>
      <w:pPr>
        <w:spacing w:line="560" w:lineRule="exact"/>
        <w:ind w:firstLine="560" w:firstLineChars="200"/>
        <w:jc w:val="both"/>
        <w:rPr>
          <w:rFonts w:ascii="宋体" w:hAnsi="宋体" w:eastAsia="宋体"/>
          <w:color w:val="auto"/>
          <w:sz w:val="28"/>
          <w:szCs w:val="28"/>
        </w:rPr>
      </w:pPr>
      <w:r>
        <w:rPr>
          <w:rFonts w:hint="eastAsia" w:ascii="宋体" w:hAnsi="宋体" w:eastAsia="宋体"/>
          <w:color w:val="auto"/>
          <w:sz w:val="28"/>
          <w:szCs w:val="28"/>
        </w:rPr>
        <w:t>消防泵房和消防水池位于厂区东北角，消防泵房内安装两台IS80-65-160消防水泵（一用一备），两台IS125-100-250B消防泡沫泵（一用一备），4m</w:t>
      </w:r>
      <w:r>
        <w:rPr>
          <w:rFonts w:hint="eastAsia" w:ascii="宋体" w:hAnsi="宋体" w:eastAsia="宋体"/>
          <w:color w:val="auto"/>
          <w:sz w:val="28"/>
          <w:szCs w:val="28"/>
          <w:vertAlign w:val="superscript"/>
        </w:rPr>
        <w:t>3</w:t>
      </w:r>
      <w:r>
        <w:rPr>
          <w:rFonts w:hint="eastAsia" w:ascii="宋体" w:hAnsi="宋体" w:eastAsia="宋体"/>
          <w:color w:val="auto"/>
          <w:sz w:val="28"/>
          <w:szCs w:val="28"/>
        </w:rPr>
        <w:t>蛋白泡沫罐一个，泡沫类型YEF6（抗溶性泡沫）。</w:t>
      </w:r>
    </w:p>
    <w:p>
      <w:pPr>
        <w:spacing w:line="560" w:lineRule="exact"/>
        <w:ind w:firstLine="425" w:firstLineChars="152"/>
        <w:jc w:val="both"/>
        <w:rPr>
          <w:rFonts w:ascii="宋体" w:hAnsi="宋体" w:eastAsia="宋体"/>
          <w:color w:val="auto"/>
          <w:sz w:val="28"/>
          <w:szCs w:val="28"/>
        </w:rPr>
      </w:pPr>
      <w:r>
        <w:rPr>
          <w:rFonts w:hint="eastAsia" w:ascii="宋体" w:hAnsi="宋体" w:eastAsia="宋体"/>
          <w:color w:val="auto"/>
          <w:sz w:val="28"/>
          <w:szCs w:val="28"/>
          <w:lang w:eastAsia="zh-CN"/>
        </w:rPr>
        <w:t>1</w:t>
      </w:r>
      <w:r>
        <w:rPr>
          <w:rFonts w:hint="eastAsia" w:ascii="宋体" w:hAnsi="宋体" w:eastAsia="宋体"/>
          <w:color w:val="auto"/>
          <w:sz w:val="28"/>
          <w:szCs w:val="28"/>
        </w:rPr>
        <w:t>)</w:t>
      </w:r>
      <w:r>
        <w:rPr>
          <w:rFonts w:hint="eastAsia" w:ascii="宋体" w:hAnsi="宋体" w:eastAsia="宋体"/>
          <w:color w:val="auto"/>
          <w:sz w:val="28"/>
          <w:szCs w:val="28"/>
          <w:lang w:eastAsia="zh-CN"/>
        </w:rPr>
        <w:t>消防水栓</w:t>
      </w:r>
      <w:r>
        <w:rPr>
          <w:rFonts w:ascii="宋体" w:hAnsi="宋体" w:eastAsia="宋体"/>
          <w:color w:val="auto"/>
          <w:sz w:val="28"/>
          <w:szCs w:val="28"/>
        </w:rPr>
        <w:t>系统</w:t>
      </w:r>
    </w:p>
    <w:p>
      <w:pPr>
        <w:spacing w:line="560" w:lineRule="exact"/>
        <w:ind w:firstLine="425" w:firstLineChars="152"/>
        <w:rPr>
          <w:rFonts w:ascii="宋体" w:hAnsi="宋体" w:eastAsia="宋体"/>
          <w:color w:val="auto"/>
          <w:sz w:val="28"/>
          <w:szCs w:val="28"/>
        </w:rPr>
      </w:pPr>
      <w:r>
        <w:rPr>
          <w:rFonts w:ascii="宋体" w:hAnsi="宋体" w:eastAsia="宋体"/>
          <w:color w:val="auto"/>
          <w:sz w:val="28"/>
          <w:szCs w:val="28"/>
        </w:rPr>
        <w:t>水消防系统分为室外消防系统和室内消防系统。</w:t>
      </w:r>
    </w:p>
    <w:p>
      <w:pPr>
        <w:spacing w:line="560" w:lineRule="exact"/>
        <w:ind w:firstLine="425" w:firstLineChars="152"/>
        <w:rPr>
          <w:rFonts w:ascii="宋体" w:hAnsi="宋体" w:eastAsia="宋体"/>
          <w:color w:val="auto"/>
          <w:sz w:val="28"/>
          <w:szCs w:val="28"/>
        </w:rPr>
      </w:pPr>
      <w:r>
        <w:rPr>
          <w:rFonts w:ascii="宋体" w:hAnsi="宋体" w:eastAsia="宋体"/>
          <w:color w:val="auto"/>
          <w:sz w:val="28"/>
          <w:szCs w:val="28"/>
        </w:rPr>
        <w:t>室外水消防主管网环状布置，环状管网的输水管及向环状管网输水的输水管两条；厂区室外沿消防通道设置室外地上式水消防栓，室外消防栓的间距小于80m，可确保厂区内每一建筑物均处于不少于两个室外消防栓的有效覆盖范围内，在室外消防栓边配置室外消防箱一个，内置</w:t>
      </w:r>
      <w:r>
        <w:rPr>
          <w:rFonts w:hint="eastAsia" w:ascii="宋体" w:hAnsi="宋体" w:eastAsia="宋体"/>
          <w:color w:val="auto"/>
          <w:sz w:val="28"/>
          <w:szCs w:val="28"/>
          <w:lang w:eastAsia="zh-CN"/>
        </w:rPr>
        <w:t>直径</w:t>
      </w:r>
      <w:r>
        <w:rPr>
          <w:rFonts w:ascii="宋体" w:hAnsi="宋体" w:eastAsia="宋体"/>
          <w:color w:val="auto"/>
          <w:sz w:val="28"/>
          <w:szCs w:val="28"/>
        </w:rPr>
        <w:t>19mm直流喷雾水枪及25m衬胶消防水带，并在箱面设有消防破玻按钮及消防警铃。</w:t>
      </w:r>
    </w:p>
    <w:p>
      <w:pPr>
        <w:spacing w:line="560" w:lineRule="exact"/>
        <w:ind w:firstLine="425" w:firstLineChars="152"/>
        <w:rPr>
          <w:rFonts w:ascii="宋体" w:hAnsi="宋体" w:eastAsia="宋体"/>
          <w:color w:val="auto"/>
          <w:sz w:val="28"/>
          <w:szCs w:val="28"/>
        </w:rPr>
      </w:pPr>
      <w:r>
        <w:rPr>
          <w:rFonts w:ascii="宋体" w:hAnsi="宋体" w:eastAsia="宋体"/>
          <w:color w:val="auto"/>
          <w:sz w:val="28"/>
          <w:szCs w:val="28"/>
        </w:rPr>
        <w:t>室内水消防系统包括在甲类车间、甲类仓库等内设置室内消火栓箱，室内消火栓的布置按同时有两支水枪到达室内任何位置设计，其间距不大于30m；消火栓箱内配SN65室内消火栓、</w:t>
      </w:r>
      <w:r>
        <w:rPr>
          <w:rFonts w:hint="eastAsia" w:ascii="宋体" w:hAnsi="宋体" w:eastAsia="宋体"/>
          <w:color w:val="auto"/>
          <w:sz w:val="28"/>
          <w:szCs w:val="28"/>
          <w:lang w:eastAsia="zh-CN"/>
        </w:rPr>
        <w:t>直径</w:t>
      </w:r>
      <w:r>
        <w:rPr>
          <w:rFonts w:ascii="宋体" w:hAnsi="宋体" w:eastAsia="宋体"/>
          <w:color w:val="auto"/>
          <w:sz w:val="28"/>
          <w:szCs w:val="28"/>
        </w:rPr>
        <w:t>19mm直流喷雾水枪及25m衬胶消防水带，并在箱面设有消防破玻按钮及消防警铃。</w:t>
      </w:r>
    </w:p>
    <w:p>
      <w:pPr>
        <w:spacing w:line="560" w:lineRule="exact"/>
        <w:ind w:firstLine="425" w:firstLineChars="152"/>
        <w:rPr>
          <w:rFonts w:ascii="宋体" w:hAnsi="宋体" w:eastAsia="宋体"/>
          <w:color w:val="auto"/>
          <w:sz w:val="28"/>
          <w:szCs w:val="28"/>
        </w:rPr>
      </w:pPr>
      <w:r>
        <w:rPr>
          <w:rFonts w:hint="eastAsia" w:ascii="宋体" w:hAnsi="宋体" w:eastAsia="宋体"/>
          <w:color w:val="auto"/>
          <w:sz w:val="28"/>
          <w:szCs w:val="28"/>
          <w:lang w:eastAsia="zh-CN"/>
        </w:rPr>
        <w:t>2</w:t>
      </w:r>
      <w:r>
        <w:rPr>
          <w:rFonts w:hint="eastAsia" w:ascii="宋体" w:hAnsi="宋体" w:eastAsia="宋体"/>
          <w:color w:val="auto"/>
          <w:sz w:val="28"/>
          <w:szCs w:val="28"/>
        </w:rPr>
        <w:t>)</w:t>
      </w:r>
      <w:r>
        <w:rPr>
          <w:rFonts w:ascii="宋体" w:hAnsi="宋体" w:eastAsia="宋体"/>
          <w:color w:val="auto"/>
          <w:sz w:val="28"/>
          <w:szCs w:val="28"/>
        </w:rPr>
        <w:t>泡沬</w:t>
      </w:r>
      <w:r>
        <w:rPr>
          <w:rFonts w:hint="eastAsia" w:ascii="宋体" w:hAnsi="宋体" w:eastAsia="宋体"/>
          <w:color w:val="auto"/>
          <w:sz w:val="28"/>
          <w:szCs w:val="28"/>
          <w:lang w:eastAsia="zh-CN"/>
        </w:rPr>
        <w:t>喷淋</w:t>
      </w:r>
      <w:r>
        <w:rPr>
          <w:rFonts w:ascii="宋体" w:hAnsi="宋体" w:eastAsia="宋体"/>
          <w:color w:val="auto"/>
          <w:sz w:val="28"/>
          <w:szCs w:val="28"/>
        </w:rPr>
        <w:t>系统</w:t>
      </w:r>
    </w:p>
    <w:p>
      <w:pPr>
        <w:spacing w:line="560" w:lineRule="exact"/>
        <w:ind w:firstLine="425" w:firstLineChars="152"/>
        <w:rPr>
          <w:rFonts w:ascii="宋体" w:hAnsi="宋体" w:eastAsia="宋体"/>
          <w:color w:val="auto"/>
          <w:sz w:val="28"/>
          <w:szCs w:val="28"/>
        </w:rPr>
      </w:pPr>
      <w:r>
        <w:rPr>
          <w:rFonts w:ascii="宋体" w:hAnsi="宋体" w:eastAsia="宋体"/>
          <w:color w:val="auto"/>
          <w:sz w:val="28"/>
          <w:szCs w:val="28"/>
        </w:rPr>
        <w:t>泡沬消防系统为室内</w:t>
      </w:r>
      <w:r>
        <w:rPr>
          <w:rFonts w:hint="eastAsia" w:ascii="宋体" w:hAnsi="宋体" w:eastAsia="宋体"/>
          <w:color w:val="auto"/>
          <w:sz w:val="28"/>
          <w:szCs w:val="28"/>
          <w:lang w:eastAsia="zh-CN"/>
        </w:rPr>
        <w:t>泡沫自动喷淋</w:t>
      </w:r>
      <w:r>
        <w:rPr>
          <w:rFonts w:ascii="宋体" w:hAnsi="宋体" w:eastAsia="宋体"/>
          <w:color w:val="auto"/>
          <w:sz w:val="28"/>
          <w:szCs w:val="28"/>
        </w:rPr>
        <w:t>系统，</w:t>
      </w:r>
    </w:p>
    <w:p>
      <w:pPr>
        <w:spacing w:line="560" w:lineRule="exact"/>
        <w:ind w:firstLine="425" w:firstLineChars="152"/>
        <w:rPr>
          <w:rFonts w:ascii="宋体" w:hAnsi="宋体" w:eastAsia="宋体"/>
          <w:color w:val="auto"/>
          <w:sz w:val="28"/>
          <w:szCs w:val="28"/>
          <w:lang w:eastAsia="zh-CN"/>
        </w:rPr>
      </w:pPr>
      <w:r>
        <w:rPr>
          <w:rFonts w:hint="eastAsia" w:ascii="宋体" w:hAnsi="宋体" w:eastAsia="宋体"/>
          <w:color w:val="auto"/>
          <w:sz w:val="28"/>
          <w:szCs w:val="28"/>
          <w:lang w:eastAsia="zh-CN"/>
        </w:rPr>
        <w:t>系统是由固定泡沫混合液泵、泡沫比例混合器、泡沫液储罐等组成。泡沫喷淋灭火系统为吸气型，采用6%（FP、-10℃）氟蛋白泡沫灭火剂。当报警阀处于伺应状态时，泡沫液通过混合器按比例混合，洒水喷头受热爆破而喷洒灭火剂，从而达到灭火的效果。</w:t>
      </w:r>
    </w:p>
    <w:p>
      <w:pPr>
        <w:spacing w:line="560" w:lineRule="exact"/>
        <w:ind w:firstLine="425" w:firstLineChars="152"/>
        <w:rPr>
          <w:rFonts w:ascii="宋体" w:hAnsi="宋体" w:eastAsia="宋体"/>
          <w:color w:val="auto"/>
          <w:sz w:val="28"/>
          <w:szCs w:val="28"/>
        </w:rPr>
      </w:pPr>
      <w:r>
        <w:rPr>
          <w:rFonts w:hint="eastAsia" w:ascii="宋体" w:hAnsi="宋体" w:eastAsia="宋体"/>
          <w:color w:val="auto"/>
          <w:sz w:val="28"/>
          <w:szCs w:val="28"/>
          <w:lang w:eastAsia="zh-CN"/>
        </w:rPr>
        <w:t>3</w:t>
      </w:r>
      <w:r>
        <w:rPr>
          <w:rFonts w:hint="eastAsia" w:ascii="宋体" w:hAnsi="宋体" w:eastAsia="宋体"/>
          <w:color w:val="auto"/>
          <w:sz w:val="28"/>
          <w:szCs w:val="28"/>
        </w:rPr>
        <w:t>)</w:t>
      </w:r>
      <w:r>
        <w:rPr>
          <w:rFonts w:ascii="宋体" w:hAnsi="宋体" w:eastAsia="宋体"/>
          <w:color w:val="auto"/>
          <w:sz w:val="28"/>
          <w:szCs w:val="28"/>
        </w:rPr>
        <w:t>灭火器系统</w:t>
      </w:r>
    </w:p>
    <w:p>
      <w:pPr>
        <w:spacing w:line="560" w:lineRule="exact"/>
        <w:ind w:firstLine="425" w:firstLineChars="152"/>
        <w:rPr>
          <w:rFonts w:ascii="宋体" w:hAnsi="宋体" w:eastAsia="宋体"/>
          <w:color w:val="auto"/>
          <w:sz w:val="28"/>
          <w:szCs w:val="28"/>
        </w:rPr>
      </w:pPr>
      <w:r>
        <w:rPr>
          <w:rFonts w:ascii="宋体" w:hAnsi="宋体" w:eastAsia="宋体"/>
          <w:color w:val="auto"/>
          <w:sz w:val="28"/>
          <w:szCs w:val="28"/>
        </w:rPr>
        <w:t>该项目在各建筑物明显和便于取用处设置手提式、推车式ABC干粉灭火器，在办公楼设消防过滤式自救呼吸器等。</w:t>
      </w:r>
    </w:p>
    <w:p>
      <w:pPr>
        <w:spacing w:line="560" w:lineRule="exact"/>
        <w:ind w:firstLine="425" w:firstLineChars="152"/>
        <w:rPr>
          <w:rFonts w:ascii="宋体" w:hAnsi="宋体" w:eastAsia="宋体"/>
          <w:color w:val="auto"/>
          <w:sz w:val="28"/>
          <w:szCs w:val="28"/>
        </w:rPr>
      </w:pPr>
      <w:r>
        <w:rPr>
          <w:rFonts w:ascii="宋体" w:hAnsi="宋体" w:eastAsia="宋体"/>
          <w:color w:val="auto"/>
          <w:sz w:val="28"/>
          <w:szCs w:val="28"/>
        </w:rPr>
        <w:t>该项目的消防设施已经取得东莞市公安消防局建设工程消防验收意见书</w:t>
      </w:r>
      <w:r>
        <w:rPr>
          <w:rFonts w:hint="eastAsia" w:ascii="宋体" w:hAnsi="宋体" w:eastAsia="宋体"/>
          <w:color w:val="auto"/>
          <w:sz w:val="28"/>
          <w:szCs w:val="28"/>
          <w:lang w:eastAsia="zh-CN"/>
        </w:rPr>
        <w:t>，证书编号为：东公消验[2010]第114号</w:t>
      </w:r>
      <w:r>
        <w:rPr>
          <w:rFonts w:ascii="宋体" w:hAnsi="宋体" w:eastAsia="宋体"/>
          <w:color w:val="auto"/>
          <w:sz w:val="28"/>
          <w:szCs w:val="28"/>
        </w:rPr>
        <w:t>。</w:t>
      </w:r>
    </w:p>
    <w:p>
      <w:pPr>
        <w:spacing w:line="560" w:lineRule="exact"/>
        <w:jc w:val="both"/>
        <w:outlineLvl w:val="2"/>
        <w:rPr>
          <w:rFonts w:ascii="宋体" w:hAnsi="宋体" w:eastAsia="宋体" w:cs="Times New Roman"/>
          <w:bCs/>
          <w:color w:val="auto"/>
          <w:kern w:val="2"/>
          <w:sz w:val="28"/>
          <w:szCs w:val="28"/>
          <w:lang w:val="en-US" w:eastAsia="zh-CN" w:bidi="ar-SA"/>
        </w:rPr>
      </w:pPr>
      <w:bookmarkStart w:id="27" w:name="bookmark24"/>
      <w:r>
        <w:rPr>
          <w:rFonts w:ascii="宋体" w:hAnsi="宋体" w:eastAsia="宋体" w:cs="Times New Roman"/>
          <w:bCs/>
          <w:color w:val="auto"/>
          <w:kern w:val="2"/>
          <w:sz w:val="28"/>
          <w:szCs w:val="28"/>
          <w:lang w:val="en-US" w:eastAsia="zh-CN" w:bidi="ar-SA"/>
        </w:rPr>
        <w:t>2.3.4防雷防静电设施</w:t>
      </w:r>
      <w:bookmarkEnd w:id="27"/>
    </w:p>
    <w:p>
      <w:pPr>
        <w:spacing w:line="560" w:lineRule="exact"/>
        <w:ind w:firstLine="425" w:firstLineChars="152"/>
        <w:rPr>
          <w:rFonts w:ascii="宋体" w:hAnsi="宋体" w:eastAsia="宋体"/>
          <w:color w:val="auto"/>
          <w:sz w:val="28"/>
          <w:szCs w:val="28"/>
          <w:lang w:eastAsia="zh-CN"/>
        </w:rPr>
      </w:pPr>
      <w:r>
        <w:rPr>
          <w:rFonts w:ascii="宋体" w:hAnsi="宋体" w:eastAsia="宋体"/>
          <w:color w:val="auto"/>
          <w:sz w:val="28"/>
          <w:szCs w:val="28"/>
          <w:lang w:eastAsia="zh-CN"/>
        </w:rPr>
        <w:t>该项目的防雷、防静电设置主要有：</w:t>
      </w:r>
    </w:p>
    <w:p>
      <w:pPr>
        <w:spacing w:line="560" w:lineRule="exact"/>
        <w:ind w:firstLine="425" w:firstLineChars="152"/>
        <w:rPr>
          <w:rFonts w:ascii="宋体" w:hAnsi="宋体" w:eastAsia="宋体"/>
          <w:color w:val="auto"/>
          <w:sz w:val="28"/>
          <w:szCs w:val="28"/>
          <w:lang w:eastAsia="zh-CN"/>
        </w:rPr>
      </w:pPr>
      <w:r>
        <w:rPr>
          <w:rFonts w:hint="eastAsia" w:ascii="宋体" w:hAnsi="宋体" w:eastAsia="宋体"/>
          <w:color w:val="auto"/>
          <w:sz w:val="28"/>
          <w:szCs w:val="28"/>
          <w:lang w:eastAsia="zh-CN"/>
        </w:rPr>
        <w:t>1)</w:t>
      </w:r>
      <w:r>
        <w:rPr>
          <w:rFonts w:ascii="宋体" w:hAnsi="宋体" w:eastAsia="宋体"/>
          <w:color w:val="auto"/>
          <w:sz w:val="28"/>
          <w:szCs w:val="28"/>
          <w:lang w:eastAsia="zh-CN"/>
        </w:rPr>
        <w:t>甲类车间、甲类仓库属二类防雷建筑物，其他建筑物(消防泵房</w:t>
      </w:r>
      <w:r>
        <w:rPr>
          <w:rFonts w:hint="eastAsia" w:ascii="宋体" w:hAnsi="宋体" w:eastAsia="宋体"/>
          <w:color w:val="auto"/>
          <w:sz w:val="28"/>
          <w:szCs w:val="28"/>
          <w:lang w:eastAsia="zh-CN"/>
        </w:rPr>
        <w:t>、配电房</w:t>
      </w:r>
      <w:r>
        <w:rPr>
          <w:rFonts w:ascii="宋体" w:hAnsi="宋体" w:eastAsia="宋体"/>
          <w:color w:val="auto"/>
          <w:sz w:val="28"/>
          <w:szCs w:val="28"/>
          <w:lang w:eastAsia="zh-CN"/>
        </w:rPr>
        <w:t>等)为三类防雷建筑物，该项目所有建筑物均按第二类防雷建筑物设计，在屋面装设避雷带，屋角、屋脊装设避雷短针，避雷使用避雷带相互连接，经防雷引下线(柱内钢筋)与接地装置(基础接地体)焊接联通。</w:t>
      </w:r>
    </w:p>
    <w:p>
      <w:pPr>
        <w:spacing w:line="560" w:lineRule="exact"/>
        <w:ind w:firstLine="425" w:firstLineChars="152"/>
        <w:rPr>
          <w:rFonts w:ascii="宋体" w:hAnsi="宋体" w:eastAsia="宋体"/>
          <w:color w:val="auto"/>
          <w:sz w:val="28"/>
          <w:szCs w:val="28"/>
          <w:lang w:eastAsia="zh-CN"/>
        </w:rPr>
      </w:pPr>
      <w:r>
        <w:rPr>
          <w:rFonts w:hint="eastAsia" w:ascii="宋体" w:hAnsi="宋体" w:eastAsia="宋体"/>
          <w:color w:val="auto"/>
          <w:sz w:val="28"/>
          <w:szCs w:val="28"/>
          <w:lang w:eastAsia="zh-CN"/>
        </w:rPr>
        <w:t>2)</w:t>
      </w:r>
      <w:r>
        <w:rPr>
          <w:rFonts w:ascii="宋体" w:hAnsi="宋体" w:eastAsia="宋体"/>
          <w:color w:val="auto"/>
          <w:sz w:val="28"/>
          <w:szCs w:val="28"/>
          <w:lang w:eastAsia="zh-CN"/>
        </w:rPr>
        <w:t>防雷引下线(柱内钢筋)围绕建筑物设置，间距小于18m，在各防雷引下线上距室外地坪+0.4m和-0.5m处预埋40×4的镀锌扁钢，伸出柱外50m和100m，用作等电位连接、测量接地电阻及连接人工接地装置用。</w:t>
      </w:r>
    </w:p>
    <w:p>
      <w:pPr>
        <w:spacing w:line="560" w:lineRule="exact"/>
        <w:ind w:firstLine="425" w:firstLineChars="152"/>
        <w:rPr>
          <w:rFonts w:ascii="宋体" w:hAnsi="宋体" w:eastAsia="宋体"/>
          <w:color w:val="auto"/>
          <w:sz w:val="28"/>
          <w:szCs w:val="28"/>
          <w:lang w:eastAsia="zh-CN"/>
        </w:rPr>
      </w:pPr>
      <w:r>
        <w:rPr>
          <w:rFonts w:hint="eastAsia" w:ascii="宋体" w:hAnsi="宋体" w:eastAsia="宋体"/>
          <w:color w:val="auto"/>
          <w:sz w:val="28"/>
          <w:szCs w:val="28"/>
          <w:lang w:eastAsia="zh-CN"/>
        </w:rPr>
        <w:t>3)</w:t>
      </w:r>
      <w:r>
        <w:rPr>
          <w:rFonts w:ascii="宋体" w:hAnsi="宋体" w:eastAsia="宋体"/>
          <w:color w:val="auto"/>
          <w:sz w:val="28"/>
          <w:szCs w:val="28"/>
          <w:lang w:eastAsia="zh-CN"/>
        </w:rPr>
        <w:t>接地装置利用地梁及承台基础钢筋作接地体，利用柱内钢筋(两对角主钢筋，钢筋直径</w:t>
      </w:r>
      <w:r>
        <w:rPr>
          <w:rFonts w:hint="eastAsia" w:ascii="宋体" w:hAnsi="宋体" w:eastAsia="宋体"/>
          <w:color w:val="auto"/>
          <w:sz w:val="28"/>
          <w:szCs w:val="28"/>
          <w:lang w:eastAsia="zh-CN"/>
        </w:rPr>
        <w:t>≥</w:t>
      </w:r>
      <w:r>
        <w:rPr>
          <w:rFonts w:ascii="宋体" w:hAnsi="宋体" w:eastAsia="宋体"/>
          <w:color w:val="auto"/>
          <w:sz w:val="28"/>
          <w:szCs w:val="28"/>
          <w:lang w:eastAsia="zh-CN"/>
        </w:rPr>
        <w:t>10mm)作防雷引下线；作防雷引下线的柱内钢筋经焊接构成电气通路。</w:t>
      </w:r>
    </w:p>
    <w:p>
      <w:pPr>
        <w:spacing w:line="560" w:lineRule="exact"/>
        <w:ind w:firstLine="425" w:firstLineChars="152"/>
        <w:rPr>
          <w:rFonts w:ascii="宋体" w:hAnsi="宋体" w:eastAsia="宋体"/>
          <w:color w:val="auto"/>
          <w:sz w:val="28"/>
          <w:szCs w:val="28"/>
          <w:lang w:eastAsia="zh-CN"/>
        </w:rPr>
      </w:pPr>
      <w:r>
        <w:rPr>
          <w:rFonts w:hint="eastAsia" w:ascii="宋体" w:hAnsi="宋体" w:eastAsia="宋体"/>
          <w:color w:val="auto"/>
          <w:sz w:val="28"/>
          <w:szCs w:val="28"/>
          <w:lang w:eastAsia="zh-CN"/>
        </w:rPr>
        <w:t>4)</w:t>
      </w:r>
      <w:r>
        <w:rPr>
          <w:rFonts w:ascii="宋体" w:hAnsi="宋体" w:eastAsia="宋体"/>
          <w:color w:val="auto"/>
          <w:sz w:val="28"/>
          <w:szCs w:val="28"/>
          <w:lang w:eastAsia="zh-CN"/>
        </w:rPr>
        <w:t>作接地装置的基础钢筋，连接处采用焊接，并在焊接处做防腐处理。</w:t>
      </w:r>
    </w:p>
    <w:p>
      <w:pPr>
        <w:spacing w:line="560" w:lineRule="exact"/>
        <w:ind w:firstLine="425" w:firstLineChars="152"/>
        <w:rPr>
          <w:rFonts w:ascii="宋体" w:hAnsi="宋体" w:eastAsia="宋体"/>
          <w:color w:val="auto"/>
          <w:sz w:val="28"/>
          <w:szCs w:val="28"/>
          <w:lang w:eastAsia="zh-CN"/>
        </w:rPr>
      </w:pPr>
      <w:r>
        <w:rPr>
          <w:rFonts w:ascii="宋体" w:hAnsi="宋体" w:eastAsia="宋体"/>
          <w:color w:val="auto"/>
          <w:sz w:val="28"/>
          <w:szCs w:val="28"/>
          <w:lang w:eastAsia="zh-CN"/>
        </w:rPr>
        <w:t>5</w:t>
      </w:r>
      <w:r>
        <w:rPr>
          <w:rFonts w:hint="eastAsia" w:ascii="宋体" w:hAnsi="宋体" w:eastAsia="宋体"/>
          <w:color w:val="auto"/>
          <w:sz w:val="28"/>
          <w:szCs w:val="28"/>
          <w:lang w:eastAsia="zh-CN"/>
        </w:rPr>
        <w:t>)</w:t>
      </w:r>
      <w:r>
        <w:rPr>
          <w:rFonts w:ascii="宋体" w:hAnsi="宋体" w:eastAsia="宋体"/>
          <w:color w:val="auto"/>
          <w:sz w:val="28"/>
          <w:szCs w:val="28"/>
          <w:lang w:eastAsia="zh-CN"/>
        </w:rPr>
        <w:t>建筑物内的设别、管道、架构(包括门窗)等利用预留的引出接地线就近接地以防雷电感应；架空、埋地或地沟内的金属管道、电缆的金属外皮等在入室端接地以防雷电波侵入。</w:t>
      </w:r>
    </w:p>
    <w:p>
      <w:pPr>
        <w:spacing w:line="560" w:lineRule="exact"/>
        <w:ind w:firstLine="425" w:firstLineChars="152"/>
        <w:rPr>
          <w:rFonts w:ascii="宋体" w:hAnsi="宋体" w:eastAsia="宋体"/>
          <w:color w:val="auto"/>
          <w:sz w:val="28"/>
          <w:szCs w:val="28"/>
          <w:lang w:eastAsia="zh-CN"/>
        </w:rPr>
      </w:pPr>
      <w:r>
        <w:rPr>
          <w:rFonts w:ascii="宋体" w:hAnsi="宋体" w:eastAsia="宋体"/>
          <w:color w:val="auto"/>
          <w:sz w:val="28"/>
          <w:szCs w:val="28"/>
          <w:lang w:eastAsia="zh-CN"/>
        </w:rPr>
        <w:t>6</w:t>
      </w:r>
      <w:r>
        <w:rPr>
          <w:rFonts w:hint="eastAsia" w:ascii="宋体" w:hAnsi="宋体" w:eastAsia="宋体"/>
          <w:color w:val="auto"/>
          <w:sz w:val="28"/>
          <w:szCs w:val="28"/>
          <w:lang w:eastAsia="zh-CN"/>
        </w:rPr>
        <w:t>)</w:t>
      </w:r>
      <w:r>
        <w:rPr>
          <w:rFonts w:ascii="宋体" w:hAnsi="宋体" w:eastAsia="宋体"/>
          <w:color w:val="auto"/>
          <w:sz w:val="28"/>
          <w:szCs w:val="28"/>
          <w:lang w:eastAsia="zh-CN"/>
        </w:rPr>
        <w:t>在屋面接闪器保护范围之外的非金属物体装接闪器，并和屋面防雷装置相连。</w:t>
      </w:r>
    </w:p>
    <w:p>
      <w:pPr>
        <w:spacing w:line="560" w:lineRule="exact"/>
        <w:ind w:firstLine="425" w:firstLineChars="152"/>
        <w:rPr>
          <w:rFonts w:ascii="宋体" w:hAnsi="宋体" w:eastAsia="宋体"/>
          <w:color w:val="auto"/>
          <w:sz w:val="28"/>
          <w:szCs w:val="28"/>
          <w:lang w:eastAsia="zh-CN"/>
        </w:rPr>
      </w:pPr>
      <w:r>
        <w:rPr>
          <w:rFonts w:hint="eastAsia" w:ascii="宋体" w:hAnsi="宋体" w:eastAsia="宋体"/>
          <w:color w:val="auto"/>
          <w:sz w:val="28"/>
          <w:szCs w:val="28"/>
          <w:lang w:eastAsia="zh-CN"/>
        </w:rPr>
        <w:t>7)</w:t>
      </w:r>
      <w:r>
        <w:rPr>
          <w:rFonts w:ascii="宋体" w:hAnsi="宋体" w:eastAsia="宋体"/>
          <w:color w:val="auto"/>
          <w:sz w:val="28"/>
          <w:szCs w:val="28"/>
          <w:lang w:eastAsia="zh-CN"/>
        </w:rPr>
        <w:t>在电源引入的总配电箱处装设过电压保护器。</w:t>
      </w:r>
    </w:p>
    <w:p>
      <w:pPr>
        <w:spacing w:line="560" w:lineRule="exact"/>
        <w:ind w:firstLine="425" w:firstLineChars="152"/>
        <w:rPr>
          <w:rFonts w:ascii="宋体" w:hAnsi="宋体" w:eastAsia="宋体"/>
          <w:color w:val="auto"/>
          <w:sz w:val="28"/>
          <w:szCs w:val="28"/>
          <w:lang w:eastAsia="zh-CN"/>
        </w:rPr>
      </w:pPr>
      <w:r>
        <w:rPr>
          <w:rFonts w:ascii="宋体" w:hAnsi="宋体" w:eastAsia="宋体"/>
          <w:color w:val="auto"/>
          <w:sz w:val="28"/>
          <w:szCs w:val="28"/>
          <w:lang w:eastAsia="zh-CN"/>
        </w:rPr>
        <w:t>8</w:t>
      </w:r>
      <w:r>
        <w:rPr>
          <w:rFonts w:hint="eastAsia" w:ascii="宋体" w:hAnsi="宋体" w:eastAsia="宋体"/>
          <w:color w:val="auto"/>
          <w:sz w:val="28"/>
          <w:szCs w:val="28"/>
          <w:lang w:eastAsia="zh-CN"/>
        </w:rPr>
        <w:t>)</w:t>
      </w:r>
      <w:r>
        <w:rPr>
          <w:rFonts w:ascii="宋体" w:hAnsi="宋体" w:eastAsia="宋体"/>
          <w:color w:val="auto"/>
          <w:sz w:val="28"/>
          <w:szCs w:val="28"/>
          <w:lang w:eastAsia="zh-CN"/>
        </w:rPr>
        <w:t>防雷接地、防静电接地、电气保护接地采用共用的接地装置，并将厂区内各建筑物的接地装置连接成一体，其接地电阻小于4。</w:t>
      </w:r>
    </w:p>
    <w:p>
      <w:pPr>
        <w:spacing w:line="560" w:lineRule="exact"/>
        <w:ind w:firstLine="425" w:firstLineChars="152"/>
        <w:rPr>
          <w:rFonts w:ascii="宋体" w:hAnsi="宋体" w:eastAsia="宋体"/>
          <w:color w:val="auto"/>
          <w:sz w:val="28"/>
          <w:szCs w:val="28"/>
          <w:lang w:eastAsia="zh-CN"/>
        </w:rPr>
      </w:pPr>
      <w:r>
        <w:rPr>
          <w:rFonts w:ascii="宋体" w:hAnsi="宋体" w:eastAsia="宋体"/>
          <w:color w:val="auto"/>
          <w:sz w:val="28"/>
          <w:szCs w:val="28"/>
          <w:lang w:eastAsia="zh-CN"/>
        </w:rPr>
        <w:t>9</w:t>
      </w:r>
      <w:r>
        <w:rPr>
          <w:rFonts w:hint="eastAsia" w:ascii="宋体" w:hAnsi="宋体" w:eastAsia="宋体"/>
          <w:color w:val="auto"/>
          <w:sz w:val="28"/>
          <w:szCs w:val="28"/>
          <w:lang w:eastAsia="zh-CN"/>
        </w:rPr>
        <w:t>)</w:t>
      </w:r>
      <w:r>
        <w:rPr>
          <w:rFonts w:ascii="宋体" w:hAnsi="宋体" w:eastAsia="宋体"/>
          <w:color w:val="auto"/>
          <w:sz w:val="28"/>
          <w:szCs w:val="28"/>
          <w:lang w:eastAsia="zh-CN"/>
        </w:rPr>
        <w:t>在甲类车间内设接地干线，每一接地干线与接地装置的连接不少于2处，车间内的移动设备均利用接地干线接地。</w:t>
      </w:r>
    </w:p>
    <w:p>
      <w:pPr>
        <w:spacing w:line="560" w:lineRule="exact"/>
        <w:ind w:firstLine="425" w:firstLineChars="152"/>
        <w:rPr>
          <w:rFonts w:ascii="宋体" w:hAnsi="宋体" w:eastAsia="宋体"/>
          <w:color w:val="auto"/>
          <w:sz w:val="28"/>
          <w:szCs w:val="28"/>
          <w:lang w:eastAsia="zh-CN"/>
        </w:rPr>
      </w:pPr>
      <w:r>
        <w:rPr>
          <w:rFonts w:ascii="宋体" w:hAnsi="宋体" w:eastAsia="宋体"/>
          <w:color w:val="auto"/>
          <w:sz w:val="28"/>
          <w:szCs w:val="28"/>
          <w:lang w:eastAsia="zh-CN"/>
        </w:rPr>
        <w:t>10</w:t>
      </w:r>
      <w:r>
        <w:rPr>
          <w:rFonts w:hint="eastAsia" w:ascii="宋体" w:hAnsi="宋体" w:eastAsia="宋体"/>
          <w:color w:val="auto"/>
          <w:sz w:val="28"/>
          <w:szCs w:val="28"/>
          <w:lang w:eastAsia="zh-CN"/>
        </w:rPr>
        <w:t>)</w:t>
      </w:r>
      <w:r>
        <w:rPr>
          <w:rFonts w:ascii="宋体" w:hAnsi="宋体" w:eastAsia="宋体"/>
          <w:color w:val="auto"/>
          <w:sz w:val="28"/>
          <w:szCs w:val="28"/>
          <w:lang w:eastAsia="zh-CN"/>
        </w:rPr>
        <w:t>在甲类仓库及甲类车间的入口处均设置有人体静电消除器。</w:t>
      </w:r>
    </w:p>
    <w:p>
      <w:pPr>
        <w:spacing w:line="560" w:lineRule="exact"/>
        <w:ind w:firstLine="425" w:firstLineChars="152"/>
        <w:rPr>
          <w:rFonts w:ascii="宋体" w:hAnsi="宋体" w:eastAsia="宋体"/>
          <w:color w:val="auto"/>
          <w:sz w:val="28"/>
          <w:szCs w:val="28"/>
          <w:lang w:eastAsia="zh-CN"/>
        </w:rPr>
      </w:pPr>
      <w:r>
        <w:rPr>
          <w:rFonts w:hint="eastAsia" w:ascii="宋体" w:hAnsi="宋体" w:eastAsia="宋体"/>
          <w:color w:val="auto"/>
          <w:sz w:val="28"/>
          <w:szCs w:val="28"/>
          <w:lang w:eastAsia="zh-CN"/>
        </w:rPr>
        <w:t>11)</w:t>
      </w:r>
      <w:r>
        <w:rPr>
          <w:rFonts w:ascii="宋体" w:hAnsi="宋体" w:eastAsia="宋体"/>
          <w:color w:val="auto"/>
          <w:sz w:val="28"/>
          <w:szCs w:val="28"/>
          <w:lang w:eastAsia="zh-CN"/>
        </w:rPr>
        <w:t>消防管线等金属物均接地，配电线路的保护金属管采用两端接地，中间驳接处用铜线跨接。</w:t>
      </w:r>
    </w:p>
    <w:p>
      <w:pPr>
        <w:spacing w:line="560" w:lineRule="exact"/>
        <w:ind w:firstLine="425" w:firstLineChars="152"/>
        <w:rPr>
          <w:rFonts w:ascii="宋体" w:hAnsi="宋体" w:eastAsia="宋体"/>
          <w:color w:val="auto"/>
          <w:sz w:val="28"/>
          <w:szCs w:val="28"/>
          <w:lang w:eastAsia="zh-CN"/>
        </w:rPr>
      </w:pPr>
      <w:r>
        <w:rPr>
          <w:rFonts w:ascii="宋体" w:hAnsi="宋体" w:eastAsia="宋体"/>
          <w:color w:val="auto"/>
          <w:sz w:val="28"/>
          <w:szCs w:val="28"/>
          <w:lang w:eastAsia="zh-CN"/>
        </w:rPr>
        <w:t>该项目防雷、防静装置经广东省气象防灾技术服务中心检测合格，</w:t>
      </w:r>
      <w:r>
        <w:rPr>
          <w:rFonts w:hint="eastAsia" w:ascii="宋体" w:hAnsi="宋体" w:eastAsia="宋体"/>
          <w:color w:val="auto"/>
          <w:sz w:val="28"/>
          <w:szCs w:val="28"/>
          <w:lang w:eastAsia="zh-CN"/>
        </w:rPr>
        <w:t>有</w:t>
      </w:r>
      <w:r>
        <w:rPr>
          <w:rFonts w:ascii="宋体" w:hAnsi="宋体" w:eastAsia="宋体"/>
          <w:color w:val="auto"/>
          <w:sz w:val="28"/>
          <w:szCs w:val="28"/>
          <w:lang w:eastAsia="zh-CN"/>
        </w:rPr>
        <w:t>防雷合格证和防雷装置定期检测报告，报告编号：粤雷检[2019]YFS-2-</w:t>
      </w:r>
      <w:r>
        <w:rPr>
          <w:rFonts w:hint="eastAsia" w:ascii="宋体" w:hAnsi="宋体" w:eastAsia="宋体"/>
          <w:color w:val="auto"/>
          <w:sz w:val="28"/>
          <w:szCs w:val="28"/>
          <w:lang w:eastAsia="zh-CN"/>
        </w:rPr>
        <w:t>3082</w:t>
      </w:r>
      <w:r>
        <w:rPr>
          <w:rFonts w:ascii="宋体" w:hAnsi="宋体" w:eastAsia="宋体"/>
          <w:color w:val="auto"/>
          <w:sz w:val="28"/>
          <w:szCs w:val="28"/>
          <w:lang w:eastAsia="zh-CN"/>
        </w:rPr>
        <w:t>号，有效期至20</w:t>
      </w:r>
      <w:r>
        <w:rPr>
          <w:rFonts w:hint="eastAsia" w:ascii="宋体" w:hAnsi="宋体" w:eastAsia="宋体"/>
          <w:color w:val="auto"/>
          <w:sz w:val="28"/>
          <w:szCs w:val="28"/>
          <w:lang w:eastAsia="zh-CN"/>
        </w:rPr>
        <w:t>20</w:t>
      </w:r>
      <w:r>
        <w:rPr>
          <w:rFonts w:ascii="宋体" w:hAnsi="宋体" w:eastAsia="宋体"/>
          <w:color w:val="auto"/>
          <w:sz w:val="28"/>
          <w:szCs w:val="28"/>
          <w:lang w:eastAsia="zh-CN"/>
        </w:rPr>
        <w:t>年</w:t>
      </w:r>
      <w:r>
        <w:rPr>
          <w:rFonts w:hint="eastAsia" w:ascii="宋体" w:hAnsi="宋体" w:eastAsia="宋体"/>
          <w:color w:val="auto"/>
          <w:sz w:val="28"/>
          <w:szCs w:val="28"/>
          <w:lang w:eastAsia="zh-CN"/>
        </w:rPr>
        <w:t>06</w:t>
      </w:r>
      <w:r>
        <w:rPr>
          <w:rFonts w:ascii="宋体" w:hAnsi="宋体" w:eastAsia="宋体"/>
          <w:color w:val="auto"/>
          <w:sz w:val="28"/>
          <w:szCs w:val="28"/>
          <w:lang w:eastAsia="zh-CN"/>
        </w:rPr>
        <w:t>月</w:t>
      </w:r>
      <w:r>
        <w:rPr>
          <w:rFonts w:hint="eastAsia" w:ascii="宋体" w:hAnsi="宋体" w:eastAsia="宋体"/>
          <w:color w:val="auto"/>
          <w:sz w:val="28"/>
          <w:szCs w:val="28"/>
          <w:lang w:eastAsia="zh-CN"/>
        </w:rPr>
        <w:t>24</w:t>
      </w:r>
      <w:r>
        <w:rPr>
          <w:rFonts w:ascii="宋体" w:hAnsi="宋体" w:eastAsia="宋体"/>
          <w:color w:val="auto"/>
          <w:sz w:val="28"/>
          <w:szCs w:val="28"/>
          <w:lang w:eastAsia="zh-CN"/>
        </w:rPr>
        <w:t>日。</w:t>
      </w:r>
    </w:p>
    <w:p>
      <w:pPr>
        <w:spacing w:line="560" w:lineRule="exact"/>
        <w:jc w:val="both"/>
        <w:outlineLvl w:val="1"/>
        <w:rPr>
          <w:rFonts w:ascii="楷体_GB2312" w:hAnsi="Times New Roman" w:eastAsia="楷体_GB2312" w:cs="Times New Roman"/>
          <w:bCs/>
          <w:color w:val="auto"/>
          <w:kern w:val="2"/>
          <w:sz w:val="32"/>
          <w:lang w:val="en-US" w:eastAsia="zh-CN" w:bidi="ar-SA"/>
        </w:rPr>
      </w:pPr>
      <w:bookmarkStart w:id="28" w:name="_Toc40045888"/>
      <w:bookmarkStart w:id="29" w:name="bookmark26"/>
      <w:r>
        <w:rPr>
          <w:rFonts w:ascii="楷体_GB2312" w:hAnsi="Times New Roman" w:eastAsia="楷体_GB2312" w:cs="Times New Roman"/>
          <w:bCs/>
          <w:color w:val="auto"/>
          <w:kern w:val="2"/>
          <w:sz w:val="32"/>
          <w:lang w:val="en-US" w:eastAsia="zh-CN" w:bidi="ar-SA"/>
        </w:rPr>
        <w:t>2.4主要安全卫生设施及技术措施</w:t>
      </w:r>
      <w:bookmarkEnd w:id="28"/>
    </w:p>
    <w:p>
      <w:pPr>
        <w:spacing w:line="560" w:lineRule="exact"/>
        <w:jc w:val="both"/>
        <w:outlineLvl w:val="2"/>
        <w:rPr>
          <w:rFonts w:ascii="宋体" w:hAnsi="宋体" w:eastAsia="宋体" w:cs="Times New Roman"/>
          <w:bCs/>
          <w:color w:val="auto"/>
          <w:kern w:val="2"/>
          <w:sz w:val="28"/>
          <w:szCs w:val="28"/>
          <w:lang w:val="en-US" w:eastAsia="zh-CN" w:bidi="ar-SA"/>
        </w:rPr>
      </w:pPr>
      <w:r>
        <w:rPr>
          <w:rFonts w:ascii="宋体" w:hAnsi="宋体" w:eastAsia="宋体" w:cs="Times New Roman"/>
          <w:bCs/>
          <w:color w:val="auto"/>
          <w:kern w:val="2"/>
          <w:sz w:val="28"/>
          <w:szCs w:val="28"/>
          <w:lang w:val="en-US" w:eastAsia="zh-CN" w:bidi="ar-SA"/>
        </w:rPr>
        <w:t>2.4.1工艺、设备方面的安全设施</w:t>
      </w:r>
      <w:bookmarkEnd w:id="29"/>
    </w:p>
    <w:p>
      <w:pPr>
        <w:spacing w:line="560" w:lineRule="exact"/>
        <w:ind w:firstLine="425" w:firstLineChars="152"/>
        <w:rPr>
          <w:rFonts w:ascii="宋体" w:hAnsi="宋体" w:eastAsia="宋体"/>
          <w:color w:val="auto"/>
          <w:sz w:val="28"/>
          <w:szCs w:val="28"/>
          <w:lang w:eastAsia="zh-CN"/>
        </w:rPr>
      </w:pPr>
      <w:r>
        <w:rPr>
          <w:rFonts w:ascii="宋体" w:hAnsi="宋体" w:eastAsia="宋体"/>
          <w:color w:val="auto"/>
          <w:sz w:val="28"/>
          <w:szCs w:val="28"/>
          <w:lang w:eastAsia="zh-CN"/>
        </w:rPr>
        <w:t>该公司危险化学品生产的工艺、设备方面的安全设施如下：</w:t>
      </w:r>
    </w:p>
    <w:p>
      <w:pPr>
        <w:spacing w:line="560" w:lineRule="exact"/>
        <w:ind w:firstLine="425" w:firstLineChars="152"/>
        <w:rPr>
          <w:rFonts w:ascii="宋体" w:hAnsi="宋体" w:eastAsia="宋体"/>
          <w:color w:val="auto"/>
          <w:sz w:val="28"/>
          <w:szCs w:val="28"/>
          <w:lang w:eastAsia="zh-CN"/>
        </w:rPr>
      </w:pPr>
      <w:r>
        <w:rPr>
          <w:rFonts w:hint="eastAsia" w:ascii="宋体" w:hAnsi="宋体" w:eastAsia="宋体"/>
          <w:color w:val="auto"/>
          <w:sz w:val="28"/>
          <w:szCs w:val="28"/>
          <w:lang w:eastAsia="zh-CN"/>
        </w:rPr>
        <w:t>1</w:t>
      </w:r>
      <w:r>
        <w:rPr>
          <w:rFonts w:hint="eastAsia" w:ascii="宋体" w:hAnsi="宋体" w:eastAsia="宋体"/>
          <w:color w:val="auto"/>
          <w:sz w:val="28"/>
          <w:szCs w:val="28"/>
        </w:rPr>
        <w:t>)</w:t>
      </w:r>
      <w:r>
        <w:rPr>
          <w:rFonts w:ascii="宋体" w:hAnsi="宋体" w:eastAsia="宋体"/>
          <w:color w:val="auto"/>
          <w:sz w:val="28"/>
          <w:szCs w:val="28"/>
          <w:lang w:eastAsia="zh-CN"/>
        </w:rPr>
        <w:t>旋转设备主要是各类电机，电机的旋转构件有外壳和护罩保护。</w:t>
      </w:r>
    </w:p>
    <w:p>
      <w:pPr>
        <w:spacing w:line="560" w:lineRule="exact"/>
        <w:ind w:firstLine="425" w:firstLineChars="152"/>
        <w:rPr>
          <w:rFonts w:ascii="宋体" w:hAnsi="宋体" w:eastAsia="宋体"/>
          <w:color w:val="auto"/>
          <w:sz w:val="28"/>
          <w:szCs w:val="28"/>
          <w:lang w:eastAsia="zh-CN"/>
        </w:rPr>
      </w:pPr>
      <w:r>
        <w:rPr>
          <w:rFonts w:hint="eastAsia" w:ascii="宋体" w:hAnsi="宋体" w:eastAsia="宋体"/>
          <w:color w:val="auto"/>
          <w:sz w:val="28"/>
          <w:szCs w:val="28"/>
          <w:lang w:eastAsia="zh-CN"/>
        </w:rPr>
        <w:t>2</w:t>
      </w:r>
      <w:r>
        <w:rPr>
          <w:rFonts w:hint="eastAsia" w:ascii="宋体" w:hAnsi="宋体" w:eastAsia="宋体"/>
          <w:color w:val="auto"/>
          <w:sz w:val="28"/>
          <w:szCs w:val="28"/>
        </w:rPr>
        <w:t>)</w:t>
      </w:r>
      <w:r>
        <w:rPr>
          <w:rFonts w:ascii="宋体" w:hAnsi="宋体" w:eastAsia="宋体"/>
          <w:color w:val="auto"/>
          <w:sz w:val="28"/>
          <w:szCs w:val="28"/>
          <w:lang w:eastAsia="zh-CN"/>
        </w:rPr>
        <w:t>设备可被人员接触到的部分及其零部件无易伤人的锐角、利棱。</w:t>
      </w:r>
    </w:p>
    <w:p>
      <w:pPr>
        <w:spacing w:line="560" w:lineRule="exact"/>
        <w:ind w:firstLine="425" w:firstLineChars="152"/>
        <w:rPr>
          <w:rFonts w:ascii="宋体" w:hAnsi="宋体" w:eastAsia="宋体"/>
          <w:color w:val="auto"/>
          <w:sz w:val="28"/>
          <w:szCs w:val="28"/>
          <w:lang w:eastAsia="zh-CN"/>
        </w:rPr>
      </w:pPr>
      <w:r>
        <w:rPr>
          <w:rFonts w:hint="eastAsia" w:ascii="宋体" w:hAnsi="宋体" w:eastAsia="宋体"/>
          <w:color w:val="auto"/>
          <w:sz w:val="28"/>
          <w:szCs w:val="28"/>
          <w:lang w:eastAsia="zh-CN"/>
        </w:rPr>
        <w:t>3</w:t>
      </w:r>
      <w:r>
        <w:rPr>
          <w:rFonts w:hint="eastAsia" w:ascii="宋体" w:hAnsi="宋体" w:eastAsia="宋体"/>
          <w:color w:val="auto"/>
          <w:sz w:val="28"/>
          <w:szCs w:val="28"/>
        </w:rPr>
        <w:t>)</w:t>
      </w:r>
      <w:r>
        <w:rPr>
          <w:rFonts w:ascii="宋体" w:hAnsi="宋体" w:eastAsia="宋体"/>
          <w:color w:val="auto"/>
          <w:sz w:val="28"/>
          <w:szCs w:val="28"/>
          <w:lang w:eastAsia="zh-CN"/>
        </w:rPr>
        <w:t>生产区、储存场所的各种走道、通道有符合国家规范要求的净宽、净空高度，不易发生夹击和碰撞伤害。</w:t>
      </w:r>
    </w:p>
    <w:p>
      <w:pPr>
        <w:spacing w:line="560" w:lineRule="exact"/>
        <w:ind w:firstLine="425" w:firstLineChars="152"/>
        <w:rPr>
          <w:rFonts w:ascii="宋体" w:hAnsi="宋体" w:eastAsia="宋体"/>
          <w:color w:val="auto"/>
          <w:sz w:val="28"/>
          <w:szCs w:val="28"/>
          <w:lang w:eastAsia="zh-CN"/>
        </w:rPr>
      </w:pPr>
      <w:r>
        <w:rPr>
          <w:rFonts w:hint="eastAsia" w:ascii="宋体" w:hAnsi="宋体" w:eastAsia="宋体"/>
          <w:color w:val="auto"/>
          <w:sz w:val="28"/>
          <w:szCs w:val="28"/>
          <w:lang w:eastAsia="zh-CN"/>
        </w:rPr>
        <w:t>4</w:t>
      </w:r>
      <w:r>
        <w:rPr>
          <w:rFonts w:hint="eastAsia" w:ascii="宋体" w:hAnsi="宋体" w:eastAsia="宋体"/>
          <w:color w:val="auto"/>
          <w:sz w:val="28"/>
          <w:szCs w:val="28"/>
        </w:rPr>
        <w:t>)</w:t>
      </w:r>
      <w:r>
        <w:rPr>
          <w:rFonts w:ascii="宋体" w:hAnsi="宋体" w:eastAsia="宋体"/>
          <w:color w:val="auto"/>
          <w:sz w:val="28"/>
          <w:szCs w:val="28"/>
          <w:lang w:eastAsia="zh-CN"/>
        </w:rPr>
        <w:t>该公司在甲类仓库、甲类车间等易燃易爆场所设置了可燃气体检测报警仪，探头安装位置离地面约</w:t>
      </w:r>
      <w:r>
        <w:rPr>
          <w:rFonts w:hint="eastAsia" w:ascii="宋体" w:hAnsi="宋体" w:eastAsia="宋体"/>
          <w:color w:val="auto"/>
          <w:sz w:val="28"/>
          <w:szCs w:val="28"/>
          <w:lang w:eastAsia="zh-CN"/>
        </w:rPr>
        <w:t>5</w:t>
      </w:r>
      <w:r>
        <w:rPr>
          <w:rFonts w:ascii="宋体" w:hAnsi="宋体" w:eastAsia="宋体"/>
          <w:color w:val="auto"/>
          <w:sz w:val="28"/>
          <w:szCs w:val="28"/>
          <w:lang w:eastAsia="zh-CN"/>
        </w:rPr>
        <w:t>0cm，可燃气体报警仪有效覆盖水平平面半径在</w:t>
      </w:r>
      <w:r>
        <w:rPr>
          <w:rFonts w:hint="eastAsia" w:ascii="宋体" w:hAnsi="宋体" w:eastAsia="宋体"/>
          <w:color w:val="auto"/>
          <w:sz w:val="28"/>
          <w:szCs w:val="28"/>
          <w:lang w:eastAsia="zh-CN"/>
        </w:rPr>
        <w:t>5</w:t>
      </w:r>
      <w:r>
        <w:rPr>
          <w:rFonts w:ascii="宋体" w:hAnsi="宋体" w:eastAsia="宋体"/>
          <w:color w:val="auto"/>
          <w:sz w:val="28"/>
          <w:szCs w:val="28"/>
          <w:lang w:eastAsia="zh-CN"/>
        </w:rPr>
        <w:t>m范围内，可有效对可燃气体泄漏报警。</w:t>
      </w:r>
    </w:p>
    <w:p>
      <w:pPr>
        <w:spacing w:line="560" w:lineRule="exact"/>
        <w:ind w:firstLine="425" w:firstLineChars="152"/>
        <w:rPr>
          <w:rFonts w:ascii="宋体" w:hAnsi="宋体" w:eastAsia="宋体"/>
          <w:color w:val="auto"/>
          <w:sz w:val="28"/>
          <w:szCs w:val="28"/>
          <w:lang w:eastAsia="zh-CN"/>
        </w:rPr>
      </w:pPr>
      <w:r>
        <w:rPr>
          <w:rFonts w:hint="eastAsia" w:ascii="宋体" w:hAnsi="宋体" w:eastAsia="宋体"/>
          <w:color w:val="auto"/>
          <w:sz w:val="28"/>
          <w:szCs w:val="28"/>
          <w:lang w:eastAsia="zh-CN"/>
        </w:rPr>
        <w:t>5</w:t>
      </w:r>
      <w:r>
        <w:rPr>
          <w:rFonts w:hint="eastAsia" w:ascii="宋体" w:hAnsi="宋体" w:eastAsia="宋体"/>
          <w:color w:val="auto"/>
          <w:sz w:val="28"/>
          <w:szCs w:val="28"/>
        </w:rPr>
        <w:t>)</w:t>
      </w:r>
      <w:r>
        <w:rPr>
          <w:rFonts w:ascii="宋体" w:hAnsi="宋体" w:eastAsia="宋体"/>
          <w:color w:val="auto"/>
          <w:sz w:val="28"/>
          <w:szCs w:val="28"/>
          <w:lang w:eastAsia="zh-CN"/>
        </w:rPr>
        <w:t>在车间、仓库等危险场所设置了“禁止烟火”、“禁止吸烟”等安全</w:t>
      </w:r>
      <w:r>
        <w:rPr>
          <w:rFonts w:hint="eastAsia" w:ascii="宋体" w:hAnsi="宋体" w:eastAsia="宋体"/>
          <w:color w:val="auto"/>
          <w:sz w:val="28"/>
          <w:szCs w:val="28"/>
          <w:lang w:eastAsia="zh-CN"/>
        </w:rPr>
        <w:t>标志以及物料、产品的安全周知卡</w:t>
      </w:r>
      <w:r>
        <w:rPr>
          <w:rFonts w:ascii="宋体" w:hAnsi="宋体" w:eastAsia="宋体"/>
          <w:color w:val="auto"/>
          <w:sz w:val="28"/>
          <w:szCs w:val="28"/>
          <w:lang w:eastAsia="zh-CN"/>
        </w:rPr>
        <w:t>。</w:t>
      </w:r>
    </w:p>
    <w:p>
      <w:pPr>
        <w:spacing w:line="560" w:lineRule="exact"/>
        <w:ind w:firstLine="425" w:firstLineChars="152"/>
        <w:rPr>
          <w:rFonts w:ascii="宋体" w:hAnsi="宋体" w:eastAsia="宋体"/>
          <w:color w:val="auto"/>
          <w:sz w:val="28"/>
          <w:szCs w:val="28"/>
          <w:lang w:eastAsia="zh-CN"/>
        </w:rPr>
      </w:pPr>
      <w:r>
        <w:rPr>
          <w:rFonts w:hint="eastAsia" w:ascii="宋体" w:hAnsi="宋体" w:eastAsia="宋体"/>
          <w:color w:val="auto"/>
          <w:sz w:val="28"/>
          <w:szCs w:val="28"/>
          <w:lang w:eastAsia="zh-CN"/>
        </w:rPr>
        <w:t>6</w:t>
      </w:r>
      <w:r>
        <w:rPr>
          <w:rFonts w:hint="eastAsia" w:ascii="宋体" w:hAnsi="宋体" w:eastAsia="宋体"/>
          <w:color w:val="auto"/>
          <w:sz w:val="28"/>
          <w:szCs w:val="28"/>
        </w:rPr>
        <w:t>)</w:t>
      </w:r>
      <w:r>
        <w:rPr>
          <w:rFonts w:ascii="宋体" w:hAnsi="宋体" w:eastAsia="宋体"/>
          <w:color w:val="auto"/>
          <w:sz w:val="28"/>
          <w:szCs w:val="28"/>
          <w:lang w:eastAsia="zh-CN"/>
        </w:rPr>
        <w:t>在甲类车间、甲类仓库门外设置了洗眼器、喷淋装置等应急设施。</w:t>
      </w:r>
    </w:p>
    <w:p>
      <w:pPr>
        <w:spacing w:line="560" w:lineRule="exact"/>
        <w:ind w:firstLine="425" w:firstLineChars="152"/>
        <w:rPr>
          <w:rFonts w:ascii="宋体" w:hAnsi="宋体" w:eastAsia="宋体"/>
          <w:color w:val="auto"/>
          <w:sz w:val="28"/>
          <w:szCs w:val="28"/>
          <w:lang w:eastAsia="zh-CN"/>
        </w:rPr>
      </w:pPr>
      <w:r>
        <w:rPr>
          <w:rFonts w:hint="eastAsia" w:ascii="宋体" w:hAnsi="宋体" w:eastAsia="宋体"/>
          <w:color w:val="auto"/>
          <w:sz w:val="28"/>
          <w:szCs w:val="28"/>
          <w:lang w:eastAsia="zh-CN"/>
        </w:rPr>
        <w:t>7</w:t>
      </w:r>
      <w:r>
        <w:rPr>
          <w:rFonts w:hint="eastAsia" w:ascii="宋体" w:hAnsi="宋体" w:eastAsia="宋体"/>
          <w:color w:val="auto"/>
          <w:sz w:val="28"/>
          <w:szCs w:val="28"/>
        </w:rPr>
        <w:t>)</w:t>
      </w:r>
      <w:r>
        <w:rPr>
          <w:rFonts w:ascii="宋体" w:hAnsi="宋体" w:eastAsia="宋体"/>
          <w:color w:val="auto"/>
          <w:sz w:val="28"/>
          <w:szCs w:val="28"/>
          <w:lang w:eastAsia="zh-CN"/>
        </w:rPr>
        <w:t>在甲类车间、甲类仓库入口处设置了人体静电消除装置。</w:t>
      </w:r>
    </w:p>
    <w:p>
      <w:pPr>
        <w:spacing w:line="560" w:lineRule="exact"/>
        <w:ind w:firstLine="425" w:firstLineChars="152"/>
        <w:rPr>
          <w:rFonts w:ascii="宋体" w:hAnsi="宋体" w:eastAsia="宋体"/>
          <w:color w:val="auto"/>
          <w:sz w:val="28"/>
          <w:szCs w:val="28"/>
          <w:lang w:eastAsia="zh-CN"/>
        </w:rPr>
      </w:pPr>
      <w:r>
        <w:rPr>
          <w:rFonts w:hint="eastAsia" w:ascii="宋体" w:hAnsi="宋体" w:eastAsia="宋体"/>
          <w:color w:val="auto"/>
          <w:sz w:val="28"/>
          <w:szCs w:val="28"/>
          <w:lang w:eastAsia="zh-CN"/>
        </w:rPr>
        <w:t>8</w:t>
      </w:r>
      <w:r>
        <w:rPr>
          <w:rFonts w:hint="eastAsia" w:ascii="宋体" w:hAnsi="宋体" w:eastAsia="宋体"/>
          <w:color w:val="auto"/>
          <w:sz w:val="28"/>
          <w:szCs w:val="28"/>
        </w:rPr>
        <w:t>)</w:t>
      </w:r>
      <w:r>
        <w:rPr>
          <w:rFonts w:ascii="宋体" w:hAnsi="宋体" w:eastAsia="宋体"/>
          <w:color w:val="auto"/>
          <w:sz w:val="28"/>
          <w:szCs w:val="28"/>
          <w:lang w:eastAsia="zh-CN"/>
        </w:rPr>
        <w:t>生产区、储存场所的各种走道、通道有符合国家规范要求的净宽、净空高度，不易发生夹击和碰撞伤害。</w:t>
      </w:r>
    </w:p>
    <w:p>
      <w:pPr>
        <w:spacing w:line="560" w:lineRule="exact"/>
        <w:jc w:val="both"/>
        <w:outlineLvl w:val="2"/>
        <w:rPr>
          <w:rFonts w:ascii="宋体" w:hAnsi="宋体" w:eastAsia="宋体" w:cs="Times New Roman"/>
          <w:bCs/>
          <w:color w:val="auto"/>
          <w:kern w:val="2"/>
          <w:sz w:val="28"/>
          <w:szCs w:val="28"/>
          <w:lang w:val="en-US" w:eastAsia="zh-CN" w:bidi="ar-SA"/>
        </w:rPr>
      </w:pPr>
      <w:bookmarkStart w:id="30" w:name="bookmark27"/>
      <w:r>
        <w:rPr>
          <w:rFonts w:ascii="宋体" w:hAnsi="宋体" w:eastAsia="宋体" w:cs="Times New Roman"/>
          <w:bCs/>
          <w:color w:val="auto"/>
          <w:kern w:val="2"/>
          <w:sz w:val="28"/>
          <w:szCs w:val="28"/>
          <w:lang w:val="en-US" w:eastAsia="zh-CN" w:bidi="ar-SA"/>
        </w:rPr>
        <w:t>2.4.2作业场所防爆线路、电机、照明灯具等的防爆等级</w:t>
      </w:r>
      <w:bookmarkEnd w:id="30"/>
    </w:p>
    <w:p>
      <w:pPr>
        <w:spacing w:line="560" w:lineRule="exact"/>
        <w:ind w:firstLine="425" w:firstLineChars="152"/>
        <w:rPr>
          <w:rFonts w:ascii="宋体" w:hAnsi="宋体" w:eastAsia="宋体"/>
          <w:color w:val="auto"/>
          <w:sz w:val="28"/>
          <w:szCs w:val="28"/>
          <w:lang w:eastAsia="zh-CN"/>
        </w:rPr>
      </w:pPr>
      <w:r>
        <w:rPr>
          <w:rFonts w:hint="eastAsia" w:ascii="宋体" w:hAnsi="宋体" w:eastAsia="宋体"/>
          <w:color w:val="auto"/>
          <w:sz w:val="28"/>
          <w:szCs w:val="28"/>
          <w:lang w:eastAsia="zh-CN"/>
        </w:rPr>
        <w:t>1</w:t>
      </w:r>
      <w:r>
        <w:rPr>
          <w:rFonts w:hint="eastAsia" w:ascii="宋体" w:hAnsi="宋体" w:eastAsia="宋体"/>
          <w:color w:val="auto"/>
          <w:sz w:val="28"/>
          <w:szCs w:val="28"/>
        </w:rPr>
        <w:t>)</w:t>
      </w:r>
      <w:r>
        <w:rPr>
          <w:rFonts w:ascii="宋体" w:hAnsi="宋体" w:eastAsia="宋体"/>
          <w:color w:val="auto"/>
          <w:sz w:val="28"/>
          <w:szCs w:val="28"/>
          <w:lang w:eastAsia="zh-CN"/>
        </w:rPr>
        <w:t>各建筑物内爆炸危险区域内的配电设备均按规范规定采用防爆型，防爆等级不低于E</w:t>
      </w:r>
      <w:r>
        <w:rPr>
          <w:rFonts w:hint="eastAsia" w:ascii="宋体" w:hAnsi="宋体" w:eastAsia="宋体"/>
          <w:color w:val="auto"/>
          <w:sz w:val="28"/>
          <w:szCs w:val="28"/>
          <w:vertAlign w:val="subscript"/>
          <w:lang w:eastAsia="zh-CN"/>
        </w:rPr>
        <w:t>x</w:t>
      </w:r>
      <w:r>
        <w:rPr>
          <w:rFonts w:ascii="宋体" w:hAnsi="宋体" w:eastAsia="宋体"/>
          <w:color w:val="auto"/>
          <w:sz w:val="28"/>
          <w:szCs w:val="28"/>
          <w:lang w:eastAsia="zh-CN"/>
        </w:rPr>
        <w:t>dIIBT4。</w:t>
      </w:r>
    </w:p>
    <w:p>
      <w:pPr>
        <w:spacing w:line="560" w:lineRule="exact"/>
        <w:ind w:firstLine="425" w:firstLineChars="152"/>
        <w:rPr>
          <w:rFonts w:ascii="宋体" w:hAnsi="宋体" w:eastAsia="宋体"/>
          <w:color w:val="auto"/>
          <w:sz w:val="28"/>
          <w:szCs w:val="28"/>
          <w:lang w:eastAsia="zh-CN"/>
        </w:rPr>
      </w:pPr>
      <w:r>
        <w:rPr>
          <w:rFonts w:hint="eastAsia" w:ascii="宋体" w:hAnsi="宋体" w:eastAsia="宋体"/>
          <w:color w:val="auto"/>
          <w:sz w:val="28"/>
          <w:szCs w:val="28"/>
          <w:lang w:eastAsia="zh-CN"/>
        </w:rPr>
        <w:t>2</w:t>
      </w:r>
      <w:r>
        <w:rPr>
          <w:rFonts w:hint="eastAsia" w:ascii="宋体" w:hAnsi="宋体" w:eastAsia="宋体"/>
          <w:color w:val="auto"/>
          <w:sz w:val="28"/>
          <w:szCs w:val="28"/>
        </w:rPr>
        <w:t>)</w:t>
      </w:r>
      <w:r>
        <w:rPr>
          <w:rFonts w:ascii="宋体" w:hAnsi="宋体" w:eastAsia="宋体"/>
          <w:color w:val="auto"/>
          <w:sz w:val="28"/>
          <w:szCs w:val="28"/>
          <w:lang w:eastAsia="zh-CN"/>
        </w:rPr>
        <w:t>甲类仓库及甲类车间内的照明采用防爆灯，开关均为防爆开关。</w:t>
      </w:r>
    </w:p>
    <w:p>
      <w:pPr>
        <w:spacing w:line="560" w:lineRule="exact"/>
        <w:ind w:firstLine="425" w:firstLineChars="152"/>
        <w:rPr>
          <w:rFonts w:ascii="宋体" w:hAnsi="宋体" w:eastAsia="宋体"/>
          <w:color w:val="auto"/>
          <w:sz w:val="28"/>
          <w:szCs w:val="28"/>
          <w:lang w:eastAsia="zh-CN"/>
        </w:rPr>
      </w:pPr>
      <w:r>
        <w:rPr>
          <w:rFonts w:hint="eastAsia" w:ascii="宋体" w:hAnsi="宋体" w:eastAsia="宋体"/>
          <w:color w:val="auto"/>
          <w:sz w:val="28"/>
          <w:szCs w:val="28"/>
          <w:lang w:eastAsia="zh-CN"/>
        </w:rPr>
        <w:t>3</w:t>
      </w:r>
      <w:r>
        <w:rPr>
          <w:rFonts w:hint="eastAsia" w:ascii="宋体" w:hAnsi="宋体" w:eastAsia="宋体"/>
          <w:color w:val="auto"/>
          <w:sz w:val="28"/>
          <w:szCs w:val="28"/>
        </w:rPr>
        <w:t>)</w:t>
      </w:r>
      <w:r>
        <w:rPr>
          <w:rFonts w:ascii="宋体" w:hAnsi="宋体" w:eastAsia="宋体"/>
          <w:color w:val="auto"/>
          <w:sz w:val="28"/>
          <w:szCs w:val="28"/>
          <w:lang w:eastAsia="zh-CN"/>
        </w:rPr>
        <w:t>甲类车间内的通风采用的是防爆排风扇。</w:t>
      </w:r>
    </w:p>
    <w:p>
      <w:pPr>
        <w:spacing w:line="560" w:lineRule="exact"/>
        <w:ind w:firstLine="425" w:firstLineChars="152"/>
        <w:rPr>
          <w:rFonts w:ascii="宋体" w:hAnsi="宋体" w:eastAsia="宋体"/>
          <w:color w:val="auto"/>
          <w:sz w:val="28"/>
          <w:szCs w:val="28"/>
          <w:lang w:eastAsia="zh-CN"/>
        </w:rPr>
      </w:pPr>
      <w:r>
        <w:rPr>
          <w:rFonts w:hint="eastAsia" w:ascii="宋体" w:hAnsi="宋体" w:eastAsia="宋体"/>
          <w:color w:val="auto"/>
          <w:sz w:val="28"/>
          <w:szCs w:val="28"/>
          <w:lang w:eastAsia="zh-CN"/>
        </w:rPr>
        <w:t>4</w:t>
      </w:r>
      <w:r>
        <w:rPr>
          <w:rFonts w:hint="eastAsia" w:ascii="宋体" w:hAnsi="宋体" w:eastAsia="宋体"/>
          <w:color w:val="auto"/>
          <w:sz w:val="28"/>
          <w:szCs w:val="28"/>
        </w:rPr>
        <w:t>)</w:t>
      </w:r>
      <w:r>
        <w:rPr>
          <w:rFonts w:ascii="宋体" w:hAnsi="宋体" w:eastAsia="宋体"/>
          <w:color w:val="auto"/>
          <w:sz w:val="28"/>
          <w:szCs w:val="28"/>
          <w:lang w:eastAsia="zh-CN"/>
        </w:rPr>
        <w:t>甲类仓库及甲类车间内设置有相应的防爆型疏散指示灯以备事故状态下的紧急疏散用。</w:t>
      </w:r>
    </w:p>
    <w:p>
      <w:pPr>
        <w:spacing w:line="560" w:lineRule="exact"/>
        <w:ind w:firstLine="425" w:firstLineChars="152"/>
        <w:rPr>
          <w:rFonts w:ascii="宋体" w:hAnsi="宋体" w:eastAsia="宋体"/>
          <w:color w:val="auto"/>
          <w:sz w:val="28"/>
          <w:szCs w:val="28"/>
          <w:lang w:eastAsia="zh-CN"/>
        </w:rPr>
      </w:pPr>
      <w:r>
        <w:rPr>
          <w:rFonts w:hint="eastAsia" w:ascii="宋体" w:hAnsi="宋体" w:eastAsia="宋体"/>
          <w:color w:val="auto"/>
          <w:sz w:val="28"/>
          <w:szCs w:val="28"/>
          <w:lang w:eastAsia="zh-CN"/>
        </w:rPr>
        <w:t>5</w:t>
      </w:r>
      <w:r>
        <w:rPr>
          <w:rFonts w:hint="eastAsia" w:ascii="宋体" w:hAnsi="宋体" w:eastAsia="宋体"/>
          <w:color w:val="auto"/>
          <w:sz w:val="28"/>
          <w:szCs w:val="28"/>
        </w:rPr>
        <w:t>)</w:t>
      </w:r>
      <w:r>
        <w:rPr>
          <w:rFonts w:ascii="宋体" w:hAnsi="宋体" w:eastAsia="宋体"/>
          <w:color w:val="auto"/>
          <w:sz w:val="28"/>
          <w:szCs w:val="28"/>
          <w:lang w:eastAsia="zh-CN"/>
        </w:rPr>
        <w:t>甲类仓库及甲类车间内的电气线路均穿钢管保护，管线交接处采用防爆接线盒。</w:t>
      </w:r>
    </w:p>
    <w:p>
      <w:pPr>
        <w:spacing w:line="560" w:lineRule="exact"/>
        <w:ind w:firstLine="425" w:firstLineChars="152"/>
        <w:rPr>
          <w:rFonts w:ascii="宋体" w:hAnsi="宋体" w:eastAsia="宋体"/>
          <w:color w:val="auto"/>
          <w:sz w:val="28"/>
          <w:szCs w:val="28"/>
          <w:lang w:eastAsia="zh-CN"/>
        </w:rPr>
      </w:pPr>
      <w:r>
        <w:rPr>
          <w:rFonts w:ascii="宋体" w:hAnsi="宋体" w:eastAsia="宋体"/>
          <w:color w:val="auto"/>
          <w:sz w:val="28"/>
          <w:szCs w:val="28"/>
          <w:lang w:eastAsia="zh-CN"/>
        </w:rPr>
        <w:t>综上所述，电气设备的设置符合《爆炸危险环境电力装置设计规范》(GB50058-2014)标准中的相关规定要求。</w:t>
      </w:r>
    </w:p>
    <w:p>
      <w:pPr>
        <w:spacing w:line="560" w:lineRule="exact"/>
        <w:jc w:val="both"/>
        <w:outlineLvl w:val="2"/>
        <w:rPr>
          <w:rFonts w:ascii="宋体" w:hAnsi="宋体" w:eastAsia="宋体" w:cs="Times New Roman"/>
          <w:bCs/>
          <w:color w:val="auto"/>
          <w:kern w:val="2"/>
          <w:sz w:val="28"/>
          <w:szCs w:val="28"/>
          <w:lang w:val="en-US" w:eastAsia="zh-CN" w:bidi="ar-SA"/>
        </w:rPr>
      </w:pPr>
      <w:bookmarkStart w:id="31" w:name="bookmark28"/>
      <w:r>
        <w:rPr>
          <w:rFonts w:ascii="宋体" w:hAnsi="宋体" w:eastAsia="宋体" w:cs="Times New Roman"/>
          <w:bCs/>
          <w:color w:val="auto"/>
          <w:kern w:val="2"/>
          <w:sz w:val="28"/>
          <w:szCs w:val="28"/>
          <w:lang w:val="en-US" w:eastAsia="zh-CN" w:bidi="ar-SA"/>
        </w:rPr>
        <w:t>2.4.3可燃气体检测报警的安装和布防情况。</w:t>
      </w:r>
      <w:bookmarkEnd w:id="31"/>
    </w:p>
    <w:p>
      <w:pPr>
        <w:spacing w:line="560" w:lineRule="exact"/>
        <w:ind w:firstLine="425" w:firstLineChars="152"/>
        <w:rPr>
          <w:rFonts w:ascii="宋体" w:hAnsi="宋体" w:eastAsia="宋体"/>
          <w:color w:val="auto"/>
          <w:sz w:val="28"/>
          <w:szCs w:val="28"/>
          <w:lang w:eastAsia="zh-CN"/>
        </w:rPr>
      </w:pPr>
      <w:r>
        <w:rPr>
          <w:rFonts w:ascii="宋体" w:hAnsi="宋体" w:eastAsia="宋体"/>
          <w:color w:val="auto"/>
          <w:sz w:val="28"/>
          <w:szCs w:val="28"/>
          <w:lang w:eastAsia="zh-CN"/>
        </w:rPr>
        <w:t>该项目在甲类仓库及甲类车间内均设置有可燃气体检测报警装置，对可燃气体泄漏状况进行监控及报警，当现场可燃气体体浓度超限时，报警控制器进行报警，相关人员可及时进行处理，确保整个厂区的生产、生</w:t>
      </w:r>
      <w:bookmarkStart w:id="32" w:name="bookmark29"/>
      <w:r>
        <w:rPr>
          <w:rFonts w:ascii="宋体" w:hAnsi="宋体" w:eastAsia="宋体"/>
          <w:color w:val="auto"/>
          <w:sz w:val="28"/>
          <w:szCs w:val="28"/>
          <w:lang w:eastAsia="zh-CN"/>
        </w:rPr>
        <w:t>活安全，该项目可燃气体报警装置的设置高度、位置及数量符合《石油化工可燃气体和有毒气体检测报警设计标准》(GB50493-2019)的要求，可燃气体浓度报警控制器设在</w:t>
      </w:r>
      <w:r>
        <w:rPr>
          <w:rFonts w:hint="eastAsia" w:ascii="宋体" w:hAnsi="宋体" w:eastAsia="宋体"/>
          <w:color w:val="auto"/>
          <w:sz w:val="28"/>
          <w:szCs w:val="28"/>
          <w:lang w:eastAsia="zh-CN"/>
        </w:rPr>
        <w:t>保安</w:t>
      </w:r>
      <w:r>
        <w:rPr>
          <w:rFonts w:ascii="宋体" w:hAnsi="宋体" w:eastAsia="宋体"/>
          <w:color w:val="auto"/>
          <w:sz w:val="28"/>
          <w:szCs w:val="28"/>
          <w:lang w:eastAsia="zh-CN"/>
        </w:rPr>
        <w:t>室内。</w:t>
      </w:r>
      <w:bookmarkEnd w:id="32"/>
    </w:p>
    <w:p>
      <w:pPr>
        <w:spacing w:line="560" w:lineRule="exact"/>
        <w:jc w:val="both"/>
        <w:outlineLvl w:val="2"/>
        <w:rPr>
          <w:rFonts w:ascii="宋体" w:hAnsi="宋体" w:eastAsia="宋体" w:cs="Times New Roman"/>
          <w:bCs/>
          <w:color w:val="auto"/>
          <w:kern w:val="2"/>
          <w:sz w:val="28"/>
          <w:szCs w:val="28"/>
          <w:lang w:val="en-US" w:eastAsia="zh-CN" w:bidi="ar-SA"/>
        </w:rPr>
      </w:pPr>
      <w:bookmarkStart w:id="33" w:name="bookmark30"/>
      <w:r>
        <w:rPr>
          <w:rFonts w:ascii="宋体" w:hAnsi="宋体" w:eastAsia="宋体" w:cs="Times New Roman"/>
          <w:bCs/>
          <w:color w:val="auto"/>
          <w:kern w:val="2"/>
          <w:sz w:val="28"/>
          <w:szCs w:val="28"/>
          <w:lang w:val="en-US" w:eastAsia="zh-CN" w:bidi="ar-SA"/>
        </w:rPr>
        <w:t>2.4.4通风设施</w:t>
      </w:r>
      <w:bookmarkEnd w:id="33"/>
    </w:p>
    <w:p>
      <w:pPr>
        <w:spacing w:line="560" w:lineRule="exact"/>
        <w:ind w:firstLine="425" w:firstLineChars="152"/>
        <w:rPr>
          <w:rFonts w:ascii="宋体" w:hAnsi="宋体" w:eastAsia="宋体"/>
          <w:color w:val="auto"/>
          <w:sz w:val="28"/>
          <w:szCs w:val="28"/>
          <w:lang w:eastAsia="zh-CN"/>
        </w:rPr>
      </w:pPr>
      <w:r>
        <w:rPr>
          <w:rFonts w:ascii="宋体" w:hAnsi="宋体" w:eastAsia="宋体"/>
          <w:color w:val="auto"/>
          <w:sz w:val="28"/>
          <w:szCs w:val="28"/>
          <w:lang w:eastAsia="zh-CN"/>
        </w:rPr>
        <w:t>企业车间内部安装</w:t>
      </w:r>
      <w:r>
        <w:rPr>
          <w:rFonts w:hint="eastAsia" w:ascii="宋体" w:hAnsi="宋体" w:eastAsia="宋体"/>
          <w:color w:val="auto"/>
          <w:sz w:val="28"/>
          <w:szCs w:val="28"/>
          <w:lang w:eastAsia="zh-CN"/>
        </w:rPr>
        <w:t>局部</w:t>
      </w:r>
      <w:r>
        <w:rPr>
          <w:rFonts w:ascii="宋体" w:hAnsi="宋体" w:eastAsia="宋体"/>
          <w:color w:val="auto"/>
          <w:sz w:val="28"/>
          <w:szCs w:val="28"/>
          <w:lang w:eastAsia="zh-CN"/>
        </w:rPr>
        <w:t>机械排风，对生产过程中挥发有毒有害物质，采用通风排毒方式，排除生产过程中的有害气体，并为作业人员配备防毒口罩、防毒面具等劳动防护用品，防止人员中毒和窒息。</w:t>
      </w:r>
    </w:p>
    <w:p>
      <w:pPr>
        <w:spacing w:line="560" w:lineRule="exact"/>
        <w:jc w:val="both"/>
        <w:outlineLvl w:val="2"/>
        <w:rPr>
          <w:rFonts w:ascii="宋体" w:hAnsi="宋体" w:eastAsia="宋体" w:cs="Times New Roman"/>
          <w:bCs/>
          <w:color w:val="auto"/>
          <w:kern w:val="2"/>
          <w:sz w:val="28"/>
          <w:szCs w:val="28"/>
          <w:lang w:val="en-US" w:eastAsia="zh-CN" w:bidi="ar-SA"/>
        </w:rPr>
      </w:pPr>
      <w:bookmarkStart w:id="34" w:name="bookmark32"/>
      <w:r>
        <w:rPr>
          <w:rFonts w:ascii="宋体" w:hAnsi="宋体" w:eastAsia="宋体" w:cs="Times New Roman"/>
          <w:bCs/>
          <w:color w:val="auto"/>
          <w:kern w:val="2"/>
          <w:sz w:val="28"/>
          <w:szCs w:val="28"/>
          <w:lang w:val="en-US" w:eastAsia="zh-CN" w:bidi="ar-SA"/>
        </w:rPr>
        <w:t>2.4.</w:t>
      </w:r>
      <w:r>
        <w:rPr>
          <w:rFonts w:hint="eastAsia" w:ascii="宋体" w:hAnsi="宋体" w:eastAsia="宋体" w:cs="Times New Roman"/>
          <w:bCs/>
          <w:color w:val="auto"/>
          <w:kern w:val="2"/>
          <w:sz w:val="28"/>
          <w:szCs w:val="28"/>
          <w:lang w:val="en-US" w:eastAsia="zh-CN" w:bidi="ar-SA"/>
        </w:rPr>
        <w:t>5</w:t>
      </w:r>
      <w:r>
        <w:rPr>
          <w:rFonts w:ascii="宋体" w:hAnsi="宋体" w:eastAsia="宋体" w:cs="Times New Roman"/>
          <w:bCs/>
          <w:color w:val="auto"/>
          <w:kern w:val="2"/>
          <w:sz w:val="28"/>
          <w:szCs w:val="28"/>
          <w:lang w:val="en-US" w:eastAsia="zh-CN" w:bidi="ar-SA"/>
        </w:rPr>
        <w:t>用品情况</w:t>
      </w:r>
      <w:bookmarkEnd w:id="34"/>
    </w:p>
    <w:p>
      <w:pPr>
        <w:spacing w:line="560" w:lineRule="exact"/>
        <w:ind w:firstLine="425" w:firstLineChars="152"/>
        <w:rPr>
          <w:rFonts w:ascii="宋体" w:hAnsi="宋体" w:eastAsia="宋体"/>
          <w:color w:val="auto"/>
          <w:sz w:val="28"/>
          <w:szCs w:val="28"/>
          <w:lang w:eastAsia="zh-CN"/>
        </w:rPr>
      </w:pPr>
      <w:r>
        <w:rPr>
          <w:rFonts w:ascii="宋体" w:hAnsi="宋体" w:eastAsia="宋体"/>
          <w:color w:val="auto"/>
          <w:sz w:val="28"/>
          <w:szCs w:val="28"/>
          <w:lang w:eastAsia="zh-CN"/>
        </w:rPr>
        <w:t>该公司所有员工均配备有劳动保护用品，从事危险化学品生产的员工配备有与自己岗位相适应的防护用品。如手套、防毒口罩、防毒面具、防护服、防护罩等。</w:t>
      </w:r>
    </w:p>
    <w:p>
      <w:pPr>
        <w:spacing w:line="560" w:lineRule="exact"/>
        <w:jc w:val="both"/>
        <w:outlineLvl w:val="2"/>
        <w:rPr>
          <w:rFonts w:ascii="宋体" w:hAnsi="宋体" w:eastAsia="宋体" w:cs="Times New Roman"/>
          <w:bCs/>
          <w:color w:val="auto"/>
          <w:kern w:val="2"/>
          <w:sz w:val="28"/>
          <w:szCs w:val="28"/>
          <w:lang w:val="en-US" w:eastAsia="zh-CN" w:bidi="ar-SA"/>
        </w:rPr>
      </w:pPr>
      <w:bookmarkStart w:id="35" w:name="bookmark33"/>
      <w:r>
        <w:rPr>
          <w:rFonts w:ascii="宋体" w:hAnsi="宋体" w:eastAsia="宋体" w:cs="Times New Roman"/>
          <w:bCs/>
          <w:color w:val="auto"/>
          <w:kern w:val="2"/>
          <w:sz w:val="28"/>
          <w:szCs w:val="28"/>
          <w:lang w:val="en-US" w:eastAsia="zh-CN" w:bidi="ar-SA"/>
        </w:rPr>
        <w:t>2.4.</w:t>
      </w:r>
      <w:r>
        <w:rPr>
          <w:rFonts w:hint="eastAsia" w:ascii="宋体" w:hAnsi="宋体" w:eastAsia="宋体" w:cs="Times New Roman"/>
          <w:bCs/>
          <w:color w:val="auto"/>
          <w:kern w:val="2"/>
          <w:sz w:val="28"/>
          <w:szCs w:val="28"/>
          <w:lang w:val="en-US" w:eastAsia="zh-CN" w:bidi="ar-SA"/>
        </w:rPr>
        <w:t>6</w:t>
      </w:r>
      <w:r>
        <w:rPr>
          <w:rFonts w:ascii="宋体" w:hAnsi="宋体" w:eastAsia="宋体" w:cs="Times New Roman"/>
          <w:bCs/>
          <w:color w:val="auto"/>
          <w:kern w:val="2"/>
          <w:sz w:val="28"/>
          <w:szCs w:val="28"/>
          <w:lang w:val="en-US" w:eastAsia="zh-CN" w:bidi="ar-SA"/>
        </w:rPr>
        <w:t>他安全设施的设置情况</w:t>
      </w:r>
      <w:bookmarkEnd w:id="35"/>
    </w:p>
    <w:p>
      <w:pPr>
        <w:spacing w:line="560" w:lineRule="exact"/>
        <w:ind w:firstLine="425" w:firstLineChars="152"/>
        <w:rPr>
          <w:rFonts w:ascii="宋体" w:hAnsi="宋体" w:eastAsia="宋体"/>
          <w:color w:val="auto"/>
          <w:sz w:val="28"/>
          <w:szCs w:val="28"/>
          <w:lang w:eastAsia="zh-CN"/>
        </w:rPr>
      </w:pPr>
      <w:r>
        <w:rPr>
          <w:rFonts w:hint="eastAsia" w:ascii="宋体" w:hAnsi="宋体" w:eastAsia="宋体"/>
          <w:color w:val="auto"/>
          <w:sz w:val="28"/>
          <w:szCs w:val="28"/>
          <w:lang w:eastAsia="zh-CN"/>
        </w:rPr>
        <w:t>1</w:t>
      </w:r>
      <w:r>
        <w:rPr>
          <w:rFonts w:hint="eastAsia" w:ascii="宋体" w:hAnsi="宋体" w:eastAsia="宋体"/>
          <w:color w:val="auto"/>
          <w:sz w:val="28"/>
          <w:szCs w:val="28"/>
        </w:rPr>
        <w:t>)</w:t>
      </w:r>
      <w:r>
        <w:rPr>
          <w:rFonts w:ascii="宋体" w:hAnsi="宋体" w:eastAsia="宋体"/>
          <w:color w:val="auto"/>
          <w:sz w:val="28"/>
          <w:szCs w:val="28"/>
          <w:lang w:eastAsia="zh-CN"/>
        </w:rPr>
        <w:t>有危险作业的地方张贴有各种警示标识，如在储存、生产车间设置有“严禁烟火”，在变配电房设置“</w:t>
      </w:r>
      <w:r>
        <w:rPr>
          <w:rFonts w:hint="eastAsia" w:ascii="宋体" w:hAnsi="宋体" w:eastAsia="宋体"/>
          <w:color w:val="auto"/>
          <w:sz w:val="28"/>
          <w:szCs w:val="28"/>
          <w:lang w:eastAsia="zh-CN"/>
        </w:rPr>
        <w:t>当心触电</w:t>
      </w:r>
      <w:r>
        <w:rPr>
          <w:rFonts w:ascii="宋体" w:hAnsi="宋体" w:eastAsia="宋体"/>
          <w:color w:val="auto"/>
          <w:sz w:val="28"/>
          <w:szCs w:val="28"/>
          <w:lang w:eastAsia="zh-CN"/>
        </w:rPr>
        <w:t>”等警示标志。</w:t>
      </w:r>
    </w:p>
    <w:p>
      <w:pPr>
        <w:spacing w:line="560" w:lineRule="exact"/>
        <w:ind w:firstLine="425" w:firstLineChars="152"/>
        <w:rPr>
          <w:rFonts w:ascii="宋体" w:hAnsi="宋体" w:eastAsia="宋体"/>
          <w:color w:val="auto"/>
          <w:sz w:val="28"/>
          <w:szCs w:val="28"/>
          <w:lang w:eastAsia="zh-CN"/>
        </w:rPr>
      </w:pPr>
      <w:r>
        <w:rPr>
          <w:rFonts w:hint="eastAsia" w:ascii="宋体" w:hAnsi="宋体" w:eastAsia="宋体"/>
          <w:color w:val="auto"/>
          <w:sz w:val="28"/>
          <w:szCs w:val="28"/>
          <w:lang w:eastAsia="zh-CN"/>
        </w:rPr>
        <w:t>2</w:t>
      </w:r>
      <w:r>
        <w:rPr>
          <w:rFonts w:hint="eastAsia" w:ascii="宋体" w:hAnsi="宋体" w:eastAsia="宋体"/>
          <w:color w:val="auto"/>
          <w:sz w:val="28"/>
          <w:szCs w:val="28"/>
        </w:rPr>
        <w:t>)</w:t>
      </w:r>
      <w:r>
        <w:rPr>
          <w:rFonts w:ascii="宋体" w:hAnsi="宋体" w:eastAsia="宋体"/>
          <w:color w:val="auto"/>
          <w:sz w:val="28"/>
          <w:szCs w:val="28"/>
          <w:lang w:eastAsia="zh-CN"/>
        </w:rPr>
        <w:t>事故应急池周边安装有防护栏杆，消防水池四周设置有防护堤。</w:t>
      </w:r>
    </w:p>
    <w:p>
      <w:pPr>
        <w:spacing w:line="560" w:lineRule="exact"/>
        <w:ind w:firstLine="425" w:firstLineChars="152"/>
        <w:rPr>
          <w:rFonts w:ascii="宋体" w:hAnsi="宋体" w:eastAsia="宋体"/>
          <w:color w:val="auto"/>
          <w:sz w:val="28"/>
          <w:szCs w:val="28"/>
          <w:lang w:eastAsia="zh-CN"/>
        </w:rPr>
      </w:pPr>
      <w:r>
        <w:rPr>
          <w:rFonts w:hint="eastAsia" w:ascii="宋体" w:hAnsi="宋体" w:eastAsia="宋体"/>
          <w:color w:val="auto"/>
          <w:sz w:val="28"/>
          <w:szCs w:val="28"/>
          <w:lang w:eastAsia="zh-CN"/>
        </w:rPr>
        <w:t>3</w:t>
      </w:r>
      <w:r>
        <w:rPr>
          <w:rFonts w:hint="eastAsia" w:ascii="宋体" w:hAnsi="宋体" w:eastAsia="宋体"/>
          <w:color w:val="auto"/>
          <w:sz w:val="28"/>
          <w:szCs w:val="28"/>
        </w:rPr>
        <w:t>)</w:t>
      </w:r>
      <w:r>
        <w:rPr>
          <w:rFonts w:ascii="宋体" w:hAnsi="宋体" w:eastAsia="宋体"/>
          <w:color w:val="auto"/>
          <w:sz w:val="28"/>
          <w:szCs w:val="28"/>
          <w:lang w:eastAsia="zh-CN"/>
        </w:rPr>
        <w:t>变配电房设置有挡鼠板、窗户设置有防鼠网。</w:t>
      </w:r>
    </w:p>
    <w:p>
      <w:pPr>
        <w:spacing w:line="560" w:lineRule="exact"/>
        <w:ind w:firstLine="425" w:firstLineChars="152"/>
        <w:rPr>
          <w:rFonts w:ascii="宋体" w:hAnsi="宋体" w:eastAsia="宋体"/>
          <w:color w:val="auto"/>
          <w:sz w:val="28"/>
          <w:szCs w:val="28"/>
          <w:lang w:eastAsia="zh-CN"/>
        </w:rPr>
      </w:pPr>
      <w:r>
        <w:rPr>
          <w:rFonts w:hint="eastAsia" w:ascii="宋体" w:hAnsi="宋体" w:eastAsia="宋体"/>
          <w:color w:val="auto"/>
          <w:sz w:val="28"/>
          <w:szCs w:val="28"/>
          <w:lang w:eastAsia="zh-CN"/>
        </w:rPr>
        <w:t>4</w:t>
      </w:r>
      <w:r>
        <w:rPr>
          <w:rFonts w:hint="eastAsia" w:ascii="宋体" w:hAnsi="宋体" w:eastAsia="宋体"/>
          <w:color w:val="auto"/>
          <w:sz w:val="28"/>
          <w:szCs w:val="28"/>
        </w:rPr>
        <w:t>)</w:t>
      </w:r>
      <w:r>
        <w:rPr>
          <w:rFonts w:ascii="宋体" w:hAnsi="宋体" w:eastAsia="宋体"/>
          <w:color w:val="auto"/>
          <w:sz w:val="28"/>
          <w:szCs w:val="28"/>
          <w:lang w:eastAsia="zh-CN"/>
        </w:rPr>
        <w:t>甲类仓库</w:t>
      </w:r>
      <w:r>
        <w:rPr>
          <w:rFonts w:hint="eastAsia" w:ascii="宋体" w:hAnsi="宋体" w:eastAsia="宋体"/>
          <w:color w:val="auto"/>
          <w:sz w:val="28"/>
          <w:szCs w:val="28"/>
          <w:lang w:eastAsia="zh-CN"/>
        </w:rPr>
        <w:t>、甲类车间</w:t>
      </w:r>
      <w:r>
        <w:rPr>
          <w:rFonts w:ascii="宋体" w:hAnsi="宋体" w:eastAsia="宋体"/>
          <w:color w:val="auto"/>
          <w:sz w:val="28"/>
          <w:szCs w:val="28"/>
          <w:lang w:eastAsia="zh-CN"/>
        </w:rPr>
        <w:t>每个防火隔间均设置有2个安全出口。</w:t>
      </w:r>
    </w:p>
    <w:p>
      <w:pPr>
        <w:spacing w:line="560" w:lineRule="exact"/>
        <w:ind w:firstLine="425" w:firstLineChars="152"/>
        <w:rPr>
          <w:rFonts w:ascii="宋体" w:hAnsi="宋体" w:eastAsia="宋体"/>
          <w:color w:val="auto"/>
          <w:sz w:val="28"/>
          <w:szCs w:val="28"/>
          <w:lang w:eastAsia="zh-CN"/>
        </w:rPr>
      </w:pPr>
      <w:r>
        <w:rPr>
          <w:rFonts w:hint="eastAsia" w:ascii="宋体" w:hAnsi="宋体" w:eastAsia="宋体"/>
          <w:color w:val="auto"/>
          <w:sz w:val="28"/>
          <w:szCs w:val="28"/>
          <w:lang w:eastAsia="zh-CN"/>
        </w:rPr>
        <w:t>5</w:t>
      </w:r>
      <w:r>
        <w:rPr>
          <w:rFonts w:hint="eastAsia" w:ascii="宋体" w:hAnsi="宋体" w:eastAsia="宋体"/>
          <w:color w:val="auto"/>
          <w:sz w:val="28"/>
          <w:szCs w:val="28"/>
        </w:rPr>
        <w:t>)</w:t>
      </w:r>
      <w:r>
        <w:rPr>
          <w:rFonts w:ascii="宋体" w:hAnsi="宋体" w:eastAsia="宋体"/>
          <w:color w:val="auto"/>
          <w:sz w:val="28"/>
          <w:szCs w:val="28"/>
          <w:lang w:eastAsia="zh-CN"/>
        </w:rPr>
        <w:t>配置了泄漏物收集的消防沙、铲子等器材。</w:t>
      </w:r>
    </w:p>
    <w:p>
      <w:pPr>
        <w:spacing w:line="560" w:lineRule="exact"/>
        <w:jc w:val="both"/>
        <w:outlineLvl w:val="1"/>
        <w:rPr>
          <w:rFonts w:ascii="楷体_GB2312" w:hAnsi="Times New Roman" w:eastAsia="楷体_GB2312" w:cs="Times New Roman"/>
          <w:bCs/>
          <w:color w:val="auto"/>
          <w:kern w:val="2"/>
          <w:sz w:val="32"/>
          <w:lang w:val="en-US" w:eastAsia="zh-CN" w:bidi="ar-SA"/>
        </w:rPr>
      </w:pPr>
      <w:bookmarkStart w:id="36" w:name="_Toc40045889"/>
      <w:r>
        <w:rPr>
          <w:rFonts w:ascii="楷体_GB2312" w:hAnsi="Times New Roman" w:eastAsia="楷体_GB2312" w:cs="Times New Roman"/>
          <w:bCs/>
          <w:color w:val="auto"/>
          <w:kern w:val="2"/>
          <w:sz w:val="32"/>
          <w:lang w:val="en-US" w:eastAsia="zh-CN" w:bidi="ar-SA"/>
        </w:rPr>
        <w:t>2.</w:t>
      </w:r>
      <w:r>
        <w:rPr>
          <w:rFonts w:hint="eastAsia" w:ascii="楷体_GB2312" w:hAnsi="Times New Roman" w:eastAsia="楷体_GB2312" w:cs="Times New Roman"/>
          <w:bCs/>
          <w:color w:val="auto"/>
          <w:kern w:val="2"/>
          <w:sz w:val="32"/>
          <w:lang w:val="en-US" w:eastAsia="zh-CN" w:bidi="ar-SA"/>
        </w:rPr>
        <w:t>5卫生防护距离情况</w:t>
      </w:r>
      <w:bookmarkEnd w:id="36"/>
    </w:p>
    <w:p>
      <w:pPr>
        <w:spacing w:line="560" w:lineRule="exact"/>
        <w:ind w:firstLine="425" w:firstLineChars="152"/>
        <w:jc w:val="both"/>
        <w:rPr>
          <w:rFonts w:ascii="宋体" w:hAnsi="宋体" w:eastAsia="宋体"/>
          <w:color w:val="auto"/>
          <w:sz w:val="28"/>
          <w:szCs w:val="28"/>
          <w:lang w:eastAsia="zh-CN"/>
        </w:rPr>
      </w:pPr>
      <w:r>
        <w:rPr>
          <w:rFonts w:hint="eastAsia" w:ascii="宋体" w:hAnsi="宋体" w:eastAsia="宋体"/>
          <w:color w:val="auto"/>
          <w:sz w:val="28"/>
          <w:szCs w:val="28"/>
          <w:lang w:eastAsia="zh-CN"/>
        </w:rPr>
        <w:t>该公司所在地道滘镇，属于现有涂料公司，根据网络查询资料显示，该地区平均风速为2.2m/s,按照《油漆厂卫生防护距离标准》（GB 18070-2000）要求，现有油漆厂参考执行，该公司生产车间距离居住区的最小距离应为600m。</w:t>
      </w:r>
    </w:p>
    <w:p>
      <w:pPr>
        <w:spacing w:line="560" w:lineRule="exact"/>
        <w:ind w:firstLine="425" w:firstLineChars="152"/>
        <w:jc w:val="both"/>
        <w:rPr>
          <w:rFonts w:ascii="宋体" w:hAnsi="宋体" w:eastAsia="宋体"/>
          <w:color w:val="auto"/>
          <w:sz w:val="28"/>
          <w:szCs w:val="28"/>
          <w:lang w:eastAsia="zh-CN"/>
        </w:rPr>
      </w:pPr>
      <w:r>
        <w:rPr>
          <w:rFonts w:hint="eastAsia" w:ascii="宋体" w:hAnsi="宋体" w:eastAsia="宋体"/>
          <w:color w:val="auto"/>
          <w:sz w:val="28"/>
          <w:szCs w:val="28"/>
          <w:lang w:eastAsia="zh-CN"/>
        </w:rPr>
        <w:t>根据现场调查结果的数据显示，该公司周围600m范围内无居住区,有个别零散出租屋。</w:t>
      </w:r>
    </w:p>
    <w:p>
      <w:pPr>
        <w:spacing w:line="560" w:lineRule="exact"/>
        <w:ind w:firstLine="425" w:firstLineChars="152"/>
        <w:jc w:val="both"/>
        <w:rPr>
          <w:rFonts w:ascii="宋体" w:hAnsi="宋体" w:eastAsia="宋体"/>
          <w:color w:val="auto"/>
          <w:sz w:val="28"/>
          <w:szCs w:val="28"/>
          <w:lang w:eastAsia="zh-CN"/>
        </w:rPr>
      </w:pPr>
      <w:r>
        <w:rPr>
          <w:rFonts w:hint="eastAsia" w:ascii="宋体" w:hAnsi="宋体" w:eastAsia="宋体"/>
          <w:color w:val="auto"/>
          <w:sz w:val="28"/>
          <w:szCs w:val="28"/>
          <w:lang w:eastAsia="zh-CN"/>
        </w:rPr>
        <w:t>该公司严格在职业卫生防护设施的作业条件下安排生产和作业，以降低对周边环境的影响，并通过加快仓库危险化学品的周转率，减少储存，降低风险。</w:t>
      </w:r>
    </w:p>
    <w:p>
      <w:pPr>
        <w:spacing w:line="560" w:lineRule="exact"/>
        <w:jc w:val="both"/>
        <w:outlineLvl w:val="1"/>
        <w:rPr>
          <w:rFonts w:ascii="楷体_GB2312" w:hAnsi="Times New Roman" w:eastAsia="楷体_GB2312" w:cs="Times New Roman"/>
          <w:bCs/>
          <w:color w:val="auto"/>
          <w:kern w:val="2"/>
          <w:sz w:val="32"/>
          <w:lang w:val="en-US" w:eastAsia="zh-CN" w:bidi="ar-SA"/>
        </w:rPr>
      </w:pPr>
      <w:bookmarkStart w:id="37" w:name="_Toc40045890"/>
      <w:r>
        <w:rPr>
          <w:rFonts w:ascii="楷体_GB2312" w:hAnsi="Times New Roman" w:eastAsia="楷体_GB2312" w:cs="Times New Roman"/>
          <w:bCs/>
          <w:color w:val="auto"/>
          <w:kern w:val="2"/>
          <w:sz w:val="32"/>
          <w:lang w:val="en-US" w:eastAsia="zh-CN" w:bidi="ar-SA"/>
        </w:rPr>
        <w:t>2.</w:t>
      </w:r>
      <w:r>
        <w:rPr>
          <w:rFonts w:hint="eastAsia" w:ascii="楷体_GB2312" w:hAnsi="Times New Roman" w:eastAsia="楷体_GB2312" w:cs="Times New Roman"/>
          <w:bCs/>
          <w:color w:val="auto"/>
          <w:kern w:val="2"/>
          <w:sz w:val="32"/>
          <w:lang w:val="en-US" w:eastAsia="zh-CN" w:bidi="ar-SA"/>
        </w:rPr>
        <w:t>6安</w:t>
      </w:r>
      <w:r>
        <w:rPr>
          <w:rFonts w:ascii="楷体_GB2312" w:hAnsi="Times New Roman" w:eastAsia="楷体_GB2312" w:cs="Times New Roman"/>
          <w:bCs/>
          <w:color w:val="auto"/>
          <w:kern w:val="2"/>
          <w:sz w:val="32"/>
          <w:lang w:val="en-US" w:eastAsia="zh-CN" w:bidi="ar-SA"/>
        </w:rPr>
        <w:t>全管理概况</w:t>
      </w:r>
      <w:bookmarkEnd w:id="37"/>
    </w:p>
    <w:p>
      <w:pPr>
        <w:spacing w:line="560" w:lineRule="exact"/>
        <w:ind w:firstLine="425" w:firstLineChars="152"/>
        <w:jc w:val="both"/>
        <w:rPr>
          <w:rFonts w:hint="eastAsia" w:ascii="宋体" w:hAnsi="宋体" w:eastAsia="宋体"/>
          <w:color w:val="auto"/>
          <w:sz w:val="28"/>
          <w:szCs w:val="28"/>
          <w:lang w:eastAsia="zh-CN"/>
        </w:rPr>
      </w:pPr>
      <w:r>
        <w:rPr>
          <w:rFonts w:ascii="宋体" w:hAnsi="宋体" w:eastAsia="宋体"/>
          <w:color w:val="auto"/>
          <w:sz w:val="28"/>
          <w:szCs w:val="28"/>
          <w:lang w:eastAsia="zh-CN"/>
        </w:rPr>
        <w:t>东莞市华龙实业有限公司设置了安全生产管理机构，</w:t>
      </w:r>
      <w:r>
        <w:rPr>
          <w:rFonts w:hint="eastAsia" w:ascii="宋体" w:hAnsi="宋体" w:eastAsia="宋体"/>
          <w:color w:val="auto"/>
          <w:sz w:val="28"/>
          <w:szCs w:val="28"/>
          <w:lang w:eastAsia="zh-CN"/>
        </w:rPr>
        <w:t>下设安环部，全面负责该公司的</w:t>
      </w:r>
      <w:r>
        <w:rPr>
          <w:rFonts w:ascii="宋体" w:hAnsi="宋体" w:eastAsia="宋体"/>
          <w:color w:val="auto"/>
          <w:sz w:val="28"/>
          <w:szCs w:val="28"/>
          <w:lang w:eastAsia="zh-CN"/>
        </w:rPr>
        <w:t>安全生产</w:t>
      </w:r>
      <w:r>
        <w:rPr>
          <w:rFonts w:hint="eastAsia" w:ascii="宋体" w:hAnsi="宋体" w:eastAsia="宋体"/>
          <w:color w:val="auto"/>
          <w:sz w:val="28"/>
          <w:szCs w:val="28"/>
          <w:lang w:eastAsia="zh-CN"/>
        </w:rPr>
        <w:t>日常</w:t>
      </w:r>
      <w:r>
        <w:rPr>
          <w:rFonts w:ascii="宋体" w:hAnsi="宋体" w:eastAsia="宋体"/>
          <w:color w:val="auto"/>
          <w:sz w:val="28"/>
          <w:szCs w:val="28"/>
          <w:lang w:eastAsia="zh-CN"/>
        </w:rPr>
        <w:t>工作</w:t>
      </w:r>
      <w:r>
        <w:rPr>
          <w:rFonts w:hint="eastAsia" w:ascii="宋体" w:hAnsi="宋体" w:eastAsia="宋体"/>
          <w:color w:val="auto"/>
          <w:sz w:val="28"/>
          <w:szCs w:val="28"/>
          <w:lang w:eastAsia="zh-CN"/>
        </w:rPr>
        <w:t>。该公司配备有专职安全生产管理人员，其员工王高产为注册安全工程师，人员持证情况一览表见下表</w:t>
      </w:r>
      <w:r>
        <w:rPr>
          <w:rFonts w:hint="eastAsia" w:ascii="宋体" w:hAnsi="宋体" w:eastAsia="宋体"/>
          <w:color w:val="auto"/>
          <w:sz w:val="28"/>
          <w:szCs w:val="28"/>
          <w:lang w:val="en-US" w:eastAsia="zh-CN"/>
        </w:rPr>
        <w:t>2.6-1所示，</w:t>
      </w:r>
      <w:r>
        <w:rPr>
          <w:rFonts w:hint="eastAsia" w:ascii="宋体" w:hAnsi="宋体" w:eastAsia="宋体"/>
          <w:color w:val="auto"/>
          <w:sz w:val="28"/>
          <w:szCs w:val="28"/>
          <w:lang w:eastAsia="zh-CN"/>
        </w:rPr>
        <w:t>人员详细资格证资料见附件</w:t>
      </w:r>
      <w:r>
        <w:rPr>
          <w:rFonts w:hint="eastAsia" w:ascii="宋体" w:hAnsi="宋体" w:eastAsia="宋体"/>
          <w:color w:val="auto"/>
          <w:sz w:val="28"/>
          <w:szCs w:val="28"/>
          <w:lang w:val="en-US" w:eastAsia="zh-CN"/>
        </w:rPr>
        <w:t>7</w:t>
      </w:r>
      <w:r>
        <w:rPr>
          <w:rFonts w:hint="eastAsia" w:ascii="宋体" w:hAnsi="宋体" w:eastAsia="宋体"/>
          <w:color w:val="auto"/>
          <w:sz w:val="28"/>
          <w:szCs w:val="28"/>
          <w:lang w:eastAsia="zh-CN"/>
        </w:rPr>
        <w:t>。</w:t>
      </w:r>
    </w:p>
    <w:p>
      <w:pPr>
        <w:pStyle w:val="2"/>
        <w:jc w:val="center"/>
        <w:rPr>
          <w:rFonts w:hint="eastAsia" w:ascii="宋体" w:hAnsi="宋体" w:eastAsia="宋体"/>
          <w:b/>
          <w:bCs/>
          <w:color w:val="auto"/>
          <w:sz w:val="24"/>
          <w:szCs w:val="24"/>
          <w:lang w:eastAsia="zh-CN"/>
        </w:rPr>
      </w:pPr>
      <w:r>
        <w:rPr>
          <w:rFonts w:hint="eastAsia" w:ascii="宋体" w:hAnsi="宋体"/>
          <w:b/>
          <w:bCs/>
          <w:color w:val="auto"/>
          <w:sz w:val="24"/>
          <w:szCs w:val="24"/>
          <w:lang w:eastAsia="zh-CN"/>
        </w:rPr>
        <w:t>表</w:t>
      </w:r>
      <w:r>
        <w:rPr>
          <w:rFonts w:hint="eastAsia" w:ascii="宋体" w:hAnsi="宋体"/>
          <w:b/>
          <w:bCs/>
          <w:color w:val="auto"/>
          <w:sz w:val="24"/>
          <w:szCs w:val="24"/>
          <w:lang w:val="en-US" w:eastAsia="zh-CN"/>
        </w:rPr>
        <w:t>2.6-1</w:t>
      </w:r>
      <w:r>
        <w:rPr>
          <w:rFonts w:hint="eastAsia" w:ascii="宋体" w:hAnsi="宋体" w:eastAsia="宋体"/>
          <w:b/>
          <w:bCs/>
          <w:color w:val="auto"/>
          <w:sz w:val="24"/>
          <w:szCs w:val="24"/>
          <w:lang w:eastAsia="zh-CN"/>
        </w:rPr>
        <w:t>人员持证情况一览表</w:t>
      </w:r>
    </w:p>
    <w:tbl>
      <w:tblPr>
        <w:tblStyle w:val="4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0"/>
        <w:gridCol w:w="1150"/>
        <w:gridCol w:w="1550"/>
        <w:gridCol w:w="1733"/>
        <w:gridCol w:w="2615"/>
        <w:gridCol w:w="15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0" w:type="dxa"/>
            <w:vAlign w:val="center"/>
          </w:tcPr>
          <w:p>
            <w:pPr>
              <w:jc w:val="center"/>
              <w:rPr>
                <w:rFonts w:hint="eastAsia" w:ascii="宋体" w:hAnsi="宋体" w:eastAsia="宋体" w:cs="宋体"/>
                <w:b/>
                <w:bCs/>
                <w:color w:val="auto"/>
                <w:sz w:val="21"/>
                <w:szCs w:val="21"/>
                <w:vertAlign w:val="baseline"/>
                <w:lang w:eastAsia="zh-CN"/>
              </w:rPr>
            </w:pPr>
            <w:r>
              <w:rPr>
                <w:rFonts w:hint="eastAsia" w:ascii="宋体" w:hAnsi="宋体" w:eastAsia="宋体" w:cs="宋体"/>
                <w:b/>
                <w:bCs/>
                <w:color w:val="auto"/>
                <w:sz w:val="21"/>
                <w:szCs w:val="21"/>
                <w:vertAlign w:val="baseline"/>
                <w:lang w:eastAsia="zh-CN"/>
              </w:rPr>
              <w:t>序号</w:t>
            </w:r>
          </w:p>
        </w:tc>
        <w:tc>
          <w:tcPr>
            <w:tcW w:w="1150" w:type="dxa"/>
            <w:vAlign w:val="center"/>
          </w:tcPr>
          <w:p>
            <w:pPr>
              <w:jc w:val="center"/>
              <w:rPr>
                <w:rFonts w:hint="eastAsia" w:ascii="宋体" w:hAnsi="宋体" w:eastAsia="宋体" w:cs="宋体"/>
                <w:b/>
                <w:bCs/>
                <w:color w:val="auto"/>
                <w:sz w:val="21"/>
                <w:szCs w:val="21"/>
                <w:vertAlign w:val="baseline"/>
                <w:lang w:eastAsia="zh-CN"/>
              </w:rPr>
            </w:pPr>
            <w:r>
              <w:rPr>
                <w:rFonts w:hint="eastAsia" w:ascii="宋体" w:hAnsi="宋体" w:eastAsia="宋体" w:cs="宋体"/>
                <w:b/>
                <w:bCs/>
                <w:color w:val="auto"/>
                <w:sz w:val="21"/>
                <w:szCs w:val="21"/>
                <w:vertAlign w:val="baseline"/>
                <w:lang w:eastAsia="zh-CN"/>
              </w:rPr>
              <w:t>名称</w:t>
            </w:r>
          </w:p>
        </w:tc>
        <w:tc>
          <w:tcPr>
            <w:tcW w:w="1550" w:type="dxa"/>
            <w:vAlign w:val="center"/>
          </w:tcPr>
          <w:p>
            <w:pPr>
              <w:jc w:val="center"/>
              <w:rPr>
                <w:rFonts w:hint="eastAsia" w:ascii="宋体" w:hAnsi="宋体" w:eastAsia="宋体" w:cs="宋体"/>
                <w:b/>
                <w:bCs/>
                <w:color w:val="auto"/>
                <w:sz w:val="21"/>
                <w:szCs w:val="21"/>
                <w:vertAlign w:val="baseline"/>
                <w:lang w:eastAsia="zh-CN"/>
              </w:rPr>
            </w:pPr>
            <w:r>
              <w:rPr>
                <w:rFonts w:hint="eastAsia" w:ascii="宋体" w:hAnsi="宋体" w:eastAsia="宋体" w:cs="宋体"/>
                <w:b/>
                <w:bCs/>
                <w:color w:val="auto"/>
                <w:sz w:val="21"/>
                <w:szCs w:val="21"/>
                <w:vertAlign w:val="baseline"/>
                <w:lang w:eastAsia="zh-CN"/>
              </w:rPr>
              <w:t>证书类型</w:t>
            </w:r>
          </w:p>
        </w:tc>
        <w:tc>
          <w:tcPr>
            <w:tcW w:w="1733" w:type="dxa"/>
            <w:vAlign w:val="center"/>
          </w:tcPr>
          <w:p>
            <w:pPr>
              <w:jc w:val="center"/>
              <w:rPr>
                <w:rFonts w:hint="eastAsia" w:ascii="宋体" w:hAnsi="宋体" w:eastAsia="宋体" w:cs="宋体"/>
                <w:b/>
                <w:bCs/>
                <w:color w:val="auto"/>
                <w:sz w:val="21"/>
                <w:szCs w:val="21"/>
                <w:vertAlign w:val="baseline"/>
                <w:lang w:eastAsia="zh-CN"/>
              </w:rPr>
            </w:pPr>
            <w:r>
              <w:rPr>
                <w:rFonts w:hint="eastAsia" w:ascii="宋体" w:hAnsi="宋体" w:eastAsia="宋体" w:cs="宋体"/>
                <w:b/>
                <w:bCs/>
                <w:color w:val="auto"/>
                <w:sz w:val="21"/>
                <w:szCs w:val="21"/>
                <w:vertAlign w:val="baseline"/>
                <w:lang w:eastAsia="zh-CN"/>
              </w:rPr>
              <w:t>发证机关</w:t>
            </w:r>
          </w:p>
        </w:tc>
        <w:tc>
          <w:tcPr>
            <w:tcW w:w="2615" w:type="dxa"/>
            <w:vAlign w:val="center"/>
          </w:tcPr>
          <w:p>
            <w:pPr>
              <w:jc w:val="center"/>
              <w:rPr>
                <w:rFonts w:hint="eastAsia" w:ascii="宋体" w:hAnsi="宋体" w:eastAsia="宋体" w:cs="宋体"/>
                <w:b/>
                <w:bCs/>
                <w:color w:val="auto"/>
                <w:sz w:val="21"/>
                <w:szCs w:val="21"/>
                <w:vertAlign w:val="baseline"/>
                <w:lang w:eastAsia="zh-CN"/>
              </w:rPr>
            </w:pPr>
            <w:r>
              <w:rPr>
                <w:rFonts w:hint="eastAsia" w:ascii="宋体" w:hAnsi="宋体" w:eastAsia="宋体" w:cs="宋体"/>
                <w:b/>
                <w:bCs/>
                <w:color w:val="auto"/>
                <w:sz w:val="21"/>
                <w:szCs w:val="21"/>
                <w:vertAlign w:val="baseline"/>
                <w:lang w:eastAsia="zh-CN"/>
              </w:rPr>
              <w:t>证书编号</w:t>
            </w:r>
          </w:p>
        </w:tc>
        <w:tc>
          <w:tcPr>
            <w:tcW w:w="1566" w:type="dxa"/>
            <w:vAlign w:val="center"/>
          </w:tcPr>
          <w:p>
            <w:pPr>
              <w:jc w:val="center"/>
              <w:rPr>
                <w:rFonts w:hint="eastAsia" w:ascii="宋体" w:hAnsi="宋体" w:eastAsia="宋体" w:cs="宋体"/>
                <w:b/>
                <w:bCs/>
                <w:color w:val="auto"/>
                <w:sz w:val="21"/>
                <w:szCs w:val="21"/>
                <w:vertAlign w:val="baseline"/>
                <w:lang w:eastAsia="zh-CN"/>
              </w:rPr>
            </w:pPr>
            <w:r>
              <w:rPr>
                <w:rFonts w:hint="eastAsia" w:ascii="宋体" w:hAnsi="宋体" w:eastAsia="宋体" w:cs="宋体"/>
                <w:b/>
                <w:bCs/>
                <w:color w:val="auto"/>
                <w:sz w:val="21"/>
                <w:szCs w:val="21"/>
                <w:vertAlign w:val="baseline"/>
                <w:lang w:eastAsia="zh-CN"/>
              </w:rPr>
              <w:t>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0" w:type="dxa"/>
            <w:vAlign w:val="center"/>
          </w:tcPr>
          <w:p>
            <w:pPr>
              <w:jc w:val="center"/>
              <w:rPr>
                <w:rFonts w:hint="default" w:ascii="宋体" w:hAnsi="宋体" w:eastAsia="宋体" w:cs="宋体"/>
                <w:color w:val="auto"/>
                <w:sz w:val="21"/>
                <w:szCs w:val="21"/>
                <w:vertAlign w:val="baseline"/>
                <w:lang w:val="en-US" w:eastAsia="zh-CN"/>
              </w:rPr>
            </w:pPr>
            <w:r>
              <w:rPr>
                <w:rFonts w:hint="eastAsia" w:ascii="宋体" w:hAnsi="宋体" w:eastAsia="宋体" w:cs="宋体"/>
                <w:color w:val="auto"/>
                <w:sz w:val="21"/>
                <w:szCs w:val="21"/>
                <w:vertAlign w:val="baseline"/>
                <w:lang w:val="en-US" w:eastAsia="zh-CN"/>
              </w:rPr>
              <w:t>1</w:t>
            </w:r>
          </w:p>
        </w:tc>
        <w:tc>
          <w:tcPr>
            <w:tcW w:w="1150" w:type="dxa"/>
            <w:vAlign w:val="center"/>
          </w:tcPr>
          <w:p>
            <w:pPr>
              <w:jc w:val="center"/>
              <w:rPr>
                <w:rFonts w:hint="eastAsia" w:ascii="宋体" w:hAnsi="宋体" w:eastAsia="宋体" w:cs="宋体"/>
                <w:color w:val="auto"/>
                <w:sz w:val="21"/>
                <w:szCs w:val="21"/>
                <w:vertAlign w:val="baseline"/>
                <w:lang w:eastAsia="zh-CN"/>
              </w:rPr>
            </w:pPr>
            <w:r>
              <w:rPr>
                <w:rFonts w:hint="eastAsia" w:ascii="宋体" w:hAnsi="宋体" w:eastAsia="宋体" w:cs="宋体"/>
                <w:color w:val="auto"/>
                <w:sz w:val="21"/>
                <w:szCs w:val="21"/>
                <w:vertAlign w:val="baseline"/>
                <w:lang w:eastAsia="zh-CN"/>
              </w:rPr>
              <w:t>覃国振</w:t>
            </w:r>
          </w:p>
        </w:tc>
        <w:tc>
          <w:tcPr>
            <w:tcW w:w="1550" w:type="dxa"/>
            <w:vAlign w:val="center"/>
          </w:tcPr>
          <w:p>
            <w:pPr>
              <w:jc w:val="center"/>
              <w:rPr>
                <w:rFonts w:hint="eastAsia" w:ascii="宋体" w:hAnsi="宋体" w:eastAsia="宋体" w:cs="宋体"/>
                <w:color w:val="auto"/>
                <w:sz w:val="21"/>
                <w:szCs w:val="21"/>
                <w:vertAlign w:val="baseline"/>
                <w:lang w:eastAsia="zh-CN"/>
              </w:rPr>
            </w:pPr>
            <w:r>
              <w:rPr>
                <w:rFonts w:hint="eastAsia" w:ascii="宋体" w:hAnsi="宋体" w:eastAsia="宋体" w:cs="宋体"/>
                <w:color w:val="auto"/>
                <w:sz w:val="21"/>
                <w:szCs w:val="21"/>
                <w:vertAlign w:val="baseline"/>
                <w:lang w:eastAsia="zh-CN"/>
              </w:rPr>
              <w:t>危险化学品生产主要负责人</w:t>
            </w:r>
          </w:p>
        </w:tc>
        <w:tc>
          <w:tcPr>
            <w:tcW w:w="1733" w:type="dxa"/>
            <w:vAlign w:val="center"/>
          </w:tcPr>
          <w:p>
            <w:pPr>
              <w:jc w:val="center"/>
              <w:rPr>
                <w:rFonts w:hint="eastAsia" w:ascii="宋体" w:hAnsi="宋体" w:eastAsia="宋体" w:cs="宋体"/>
                <w:color w:val="auto"/>
                <w:sz w:val="21"/>
                <w:szCs w:val="21"/>
                <w:vertAlign w:val="baseline"/>
                <w:lang w:eastAsia="zh-CN"/>
              </w:rPr>
            </w:pPr>
            <w:r>
              <w:rPr>
                <w:rFonts w:hint="eastAsia" w:ascii="宋体" w:hAnsi="宋体" w:eastAsia="宋体" w:cs="宋体"/>
                <w:color w:val="auto"/>
                <w:sz w:val="21"/>
                <w:szCs w:val="21"/>
                <w:vertAlign w:val="baseline"/>
                <w:lang w:eastAsia="zh-CN"/>
              </w:rPr>
              <w:t>东莞市安全生产监督管理局</w:t>
            </w:r>
          </w:p>
        </w:tc>
        <w:tc>
          <w:tcPr>
            <w:tcW w:w="2615" w:type="dxa"/>
            <w:vAlign w:val="center"/>
          </w:tcPr>
          <w:p>
            <w:pPr>
              <w:jc w:val="center"/>
              <w:rPr>
                <w:rFonts w:hint="default" w:ascii="宋体" w:hAnsi="宋体" w:eastAsia="宋体" w:cs="宋体"/>
                <w:color w:val="auto"/>
                <w:sz w:val="21"/>
                <w:szCs w:val="21"/>
                <w:vertAlign w:val="baseline"/>
                <w:lang w:val="en-US" w:eastAsia="zh-CN"/>
              </w:rPr>
            </w:pPr>
            <w:r>
              <w:rPr>
                <w:rFonts w:hint="eastAsia" w:ascii="宋体" w:hAnsi="宋体" w:eastAsia="宋体" w:cs="宋体"/>
                <w:color w:val="auto"/>
                <w:sz w:val="21"/>
                <w:szCs w:val="21"/>
                <w:vertAlign w:val="baseline"/>
                <w:lang w:val="en-US" w:eastAsia="zh-CN"/>
              </w:rPr>
              <w:t>440921198208016810</w:t>
            </w:r>
          </w:p>
        </w:tc>
        <w:tc>
          <w:tcPr>
            <w:tcW w:w="1566" w:type="dxa"/>
            <w:vAlign w:val="center"/>
          </w:tcPr>
          <w:p>
            <w:pPr>
              <w:jc w:val="center"/>
              <w:rPr>
                <w:rFonts w:hint="default" w:ascii="宋体" w:hAnsi="宋体" w:eastAsia="宋体" w:cs="宋体"/>
                <w:color w:val="auto"/>
                <w:sz w:val="21"/>
                <w:szCs w:val="21"/>
                <w:vertAlign w:val="baseline"/>
                <w:lang w:val="en-US" w:eastAsia="zh-CN"/>
              </w:rPr>
            </w:pPr>
            <w:r>
              <w:rPr>
                <w:rFonts w:hint="eastAsia" w:ascii="宋体" w:hAnsi="宋体" w:eastAsia="宋体" w:cs="宋体"/>
                <w:color w:val="auto"/>
                <w:sz w:val="21"/>
                <w:szCs w:val="21"/>
                <w:vertAlign w:val="baseline"/>
                <w:lang w:val="en-US" w:eastAsia="zh-CN"/>
              </w:rPr>
              <w:t>2020.06.06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0" w:type="dxa"/>
            <w:vAlign w:val="center"/>
          </w:tcPr>
          <w:p>
            <w:pPr>
              <w:jc w:val="center"/>
              <w:rPr>
                <w:rFonts w:hint="default" w:ascii="宋体" w:hAnsi="宋体" w:eastAsia="宋体" w:cs="宋体"/>
                <w:color w:val="auto"/>
                <w:sz w:val="21"/>
                <w:szCs w:val="21"/>
                <w:vertAlign w:val="baseline"/>
                <w:lang w:val="en-US" w:eastAsia="zh-CN"/>
              </w:rPr>
            </w:pPr>
            <w:r>
              <w:rPr>
                <w:rFonts w:hint="eastAsia" w:ascii="宋体" w:hAnsi="宋体" w:eastAsia="宋体" w:cs="宋体"/>
                <w:color w:val="auto"/>
                <w:sz w:val="21"/>
                <w:szCs w:val="21"/>
                <w:vertAlign w:val="baseline"/>
                <w:lang w:val="en-US" w:eastAsia="zh-CN"/>
              </w:rPr>
              <w:t>2</w:t>
            </w:r>
          </w:p>
        </w:tc>
        <w:tc>
          <w:tcPr>
            <w:tcW w:w="1150" w:type="dxa"/>
            <w:vAlign w:val="center"/>
          </w:tcPr>
          <w:p>
            <w:pPr>
              <w:jc w:val="center"/>
              <w:rPr>
                <w:rFonts w:hint="eastAsia" w:ascii="宋体" w:hAnsi="宋体" w:eastAsia="宋体" w:cs="宋体"/>
                <w:color w:val="auto"/>
                <w:sz w:val="21"/>
                <w:szCs w:val="21"/>
                <w:vertAlign w:val="baseline"/>
                <w:lang w:eastAsia="zh-CN"/>
              </w:rPr>
            </w:pPr>
            <w:r>
              <w:rPr>
                <w:rFonts w:hint="eastAsia" w:ascii="宋体" w:hAnsi="宋体" w:eastAsia="宋体" w:cs="宋体"/>
                <w:color w:val="auto"/>
                <w:sz w:val="21"/>
                <w:szCs w:val="21"/>
                <w:vertAlign w:val="baseline"/>
                <w:lang w:eastAsia="zh-CN"/>
              </w:rPr>
              <w:t>唐一哲</w:t>
            </w:r>
          </w:p>
        </w:tc>
        <w:tc>
          <w:tcPr>
            <w:tcW w:w="1550" w:type="dxa"/>
            <w:vAlign w:val="center"/>
          </w:tcPr>
          <w:p>
            <w:pPr>
              <w:jc w:val="center"/>
              <w:rPr>
                <w:rFonts w:hint="eastAsia" w:ascii="宋体" w:hAnsi="宋体" w:eastAsia="宋体" w:cs="宋体"/>
                <w:color w:val="auto"/>
                <w:sz w:val="21"/>
                <w:szCs w:val="21"/>
                <w:vertAlign w:val="baseline"/>
                <w:lang w:eastAsia="zh-CN"/>
              </w:rPr>
            </w:pPr>
            <w:r>
              <w:rPr>
                <w:rFonts w:hint="eastAsia" w:ascii="宋体" w:hAnsi="宋体" w:eastAsia="宋体" w:cs="宋体"/>
                <w:color w:val="auto"/>
                <w:sz w:val="21"/>
                <w:szCs w:val="21"/>
                <w:vertAlign w:val="baseline"/>
                <w:lang w:eastAsia="zh-CN"/>
              </w:rPr>
              <w:t>危险化学品生产安全管理员</w:t>
            </w:r>
          </w:p>
        </w:tc>
        <w:tc>
          <w:tcPr>
            <w:tcW w:w="1733" w:type="dxa"/>
            <w:vAlign w:val="center"/>
          </w:tcPr>
          <w:p>
            <w:pPr>
              <w:jc w:val="center"/>
              <w:rPr>
                <w:rFonts w:hint="eastAsia" w:ascii="宋体" w:hAnsi="宋体" w:eastAsia="宋体" w:cs="宋体"/>
                <w:color w:val="auto"/>
                <w:sz w:val="21"/>
                <w:szCs w:val="21"/>
                <w:vertAlign w:val="baseline"/>
                <w:lang w:eastAsia="zh-CN"/>
              </w:rPr>
            </w:pPr>
            <w:r>
              <w:rPr>
                <w:rFonts w:hint="eastAsia" w:ascii="宋体" w:hAnsi="宋体" w:eastAsia="宋体" w:cs="宋体"/>
                <w:color w:val="auto"/>
                <w:sz w:val="21"/>
                <w:szCs w:val="21"/>
                <w:vertAlign w:val="baseline"/>
                <w:lang w:eastAsia="zh-CN"/>
              </w:rPr>
              <w:t>东莞市安全生产监督管理局</w:t>
            </w:r>
          </w:p>
        </w:tc>
        <w:tc>
          <w:tcPr>
            <w:tcW w:w="2615" w:type="dxa"/>
            <w:vAlign w:val="center"/>
          </w:tcPr>
          <w:p>
            <w:pPr>
              <w:jc w:val="center"/>
              <w:rPr>
                <w:rFonts w:hint="default" w:ascii="宋体" w:hAnsi="宋体" w:eastAsia="宋体" w:cs="宋体"/>
                <w:color w:val="auto"/>
                <w:sz w:val="21"/>
                <w:szCs w:val="21"/>
                <w:vertAlign w:val="baseline"/>
                <w:lang w:val="en-US" w:eastAsia="zh-CN"/>
              </w:rPr>
            </w:pPr>
            <w:r>
              <w:rPr>
                <w:rFonts w:hint="eastAsia" w:ascii="宋体" w:hAnsi="宋体" w:eastAsia="宋体" w:cs="宋体"/>
                <w:color w:val="auto"/>
                <w:sz w:val="21"/>
                <w:szCs w:val="21"/>
                <w:vertAlign w:val="baseline"/>
                <w:lang w:val="en-US" w:eastAsia="zh-CN"/>
              </w:rPr>
              <w:t>452421197209103096</w:t>
            </w:r>
          </w:p>
        </w:tc>
        <w:tc>
          <w:tcPr>
            <w:tcW w:w="1566" w:type="dxa"/>
            <w:vAlign w:val="center"/>
          </w:tcPr>
          <w:p>
            <w:pPr>
              <w:jc w:val="center"/>
              <w:rPr>
                <w:rFonts w:hint="default" w:ascii="宋体" w:hAnsi="宋体" w:eastAsia="宋体" w:cs="宋体"/>
                <w:color w:val="auto"/>
                <w:sz w:val="21"/>
                <w:szCs w:val="21"/>
                <w:vertAlign w:val="baseline"/>
                <w:lang w:val="en-US" w:eastAsia="zh-CN"/>
              </w:rPr>
            </w:pPr>
            <w:r>
              <w:rPr>
                <w:rFonts w:hint="eastAsia" w:ascii="宋体" w:hAnsi="宋体" w:eastAsia="宋体" w:cs="宋体"/>
                <w:color w:val="auto"/>
                <w:sz w:val="21"/>
                <w:szCs w:val="21"/>
                <w:vertAlign w:val="baseline"/>
                <w:lang w:val="en-US" w:eastAsia="zh-CN"/>
              </w:rPr>
              <w:t>2020.06.06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0" w:type="dxa"/>
            <w:vAlign w:val="center"/>
          </w:tcPr>
          <w:p>
            <w:pPr>
              <w:jc w:val="center"/>
              <w:rPr>
                <w:rFonts w:hint="default" w:ascii="宋体" w:hAnsi="宋体" w:eastAsia="宋体" w:cs="宋体"/>
                <w:color w:val="auto"/>
                <w:sz w:val="21"/>
                <w:szCs w:val="21"/>
                <w:vertAlign w:val="baseline"/>
                <w:lang w:val="en-US" w:eastAsia="zh-CN"/>
              </w:rPr>
            </w:pPr>
            <w:r>
              <w:rPr>
                <w:rFonts w:hint="eastAsia" w:ascii="宋体" w:hAnsi="宋体" w:eastAsia="宋体" w:cs="宋体"/>
                <w:color w:val="auto"/>
                <w:sz w:val="21"/>
                <w:szCs w:val="21"/>
                <w:vertAlign w:val="baseline"/>
                <w:lang w:val="en-US" w:eastAsia="zh-CN"/>
              </w:rPr>
              <w:t>3</w:t>
            </w:r>
          </w:p>
        </w:tc>
        <w:tc>
          <w:tcPr>
            <w:tcW w:w="1150" w:type="dxa"/>
            <w:vAlign w:val="center"/>
          </w:tcPr>
          <w:p>
            <w:pPr>
              <w:jc w:val="center"/>
              <w:rPr>
                <w:rFonts w:hint="eastAsia" w:ascii="宋体" w:hAnsi="宋体" w:eastAsia="宋体" w:cs="宋体"/>
                <w:color w:val="auto"/>
                <w:sz w:val="21"/>
                <w:szCs w:val="21"/>
                <w:vertAlign w:val="baseline"/>
                <w:lang w:eastAsia="zh-CN"/>
              </w:rPr>
            </w:pPr>
            <w:r>
              <w:rPr>
                <w:rFonts w:hint="eastAsia" w:ascii="宋体" w:hAnsi="宋体" w:eastAsia="宋体" w:cs="宋体"/>
                <w:color w:val="auto"/>
                <w:sz w:val="21"/>
                <w:szCs w:val="21"/>
                <w:vertAlign w:val="baseline"/>
                <w:lang w:eastAsia="zh-CN"/>
              </w:rPr>
              <w:t>王高产</w:t>
            </w:r>
          </w:p>
        </w:tc>
        <w:tc>
          <w:tcPr>
            <w:tcW w:w="1550" w:type="dxa"/>
            <w:vAlign w:val="center"/>
          </w:tcPr>
          <w:p>
            <w:pPr>
              <w:jc w:val="center"/>
              <w:rPr>
                <w:rFonts w:hint="eastAsia" w:ascii="宋体" w:hAnsi="宋体" w:eastAsia="宋体" w:cs="宋体"/>
                <w:color w:val="auto"/>
                <w:sz w:val="21"/>
                <w:szCs w:val="21"/>
                <w:vertAlign w:val="baseline"/>
                <w:lang w:eastAsia="zh-CN"/>
              </w:rPr>
            </w:pPr>
            <w:r>
              <w:rPr>
                <w:rFonts w:hint="eastAsia" w:ascii="宋体" w:hAnsi="宋体" w:eastAsia="宋体" w:cs="宋体"/>
                <w:color w:val="auto"/>
                <w:sz w:val="21"/>
                <w:szCs w:val="21"/>
                <w:vertAlign w:val="baseline"/>
                <w:lang w:eastAsia="zh-CN"/>
              </w:rPr>
              <w:t>化工安全注册安全工程师</w:t>
            </w:r>
          </w:p>
        </w:tc>
        <w:tc>
          <w:tcPr>
            <w:tcW w:w="1733" w:type="dxa"/>
            <w:vAlign w:val="center"/>
          </w:tcPr>
          <w:p>
            <w:pPr>
              <w:jc w:val="center"/>
              <w:rPr>
                <w:rFonts w:hint="eastAsia" w:ascii="宋体" w:hAnsi="宋体" w:eastAsia="宋体" w:cs="宋体"/>
                <w:color w:val="auto"/>
                <w:sz w:val="21"/>
                <w:szCs w:val="21"/>
                <w:vertAlign w:val="baseline"/>
                <w:lang w:eastAsia="zh-CN"/>
              </w:rPr>
            </w:pPr>
            <w:r>
              <w:rPr>
                <w:rFonts w:hint="eastAsia" w:ascii="宋体" w:hAnsi="宋体" w:eastAsia="宋体" w:cs="宋体"/>
                <w:color w:val="auto"/>
                <w:sz w:val="21"/>
                <w:szCs w:val="21"/>
                <w:vertAlign w:val="baseline"/>
                <w:lang w:eastAsia="zh-CN"/>
              </w:rPr>
              <w:t>应急管理部</w:t>
            </w:r>
          </w:p>
        </w:tc>
        <w:tc>
          <w:tcPr>
            <w:tcW w:w="2615" w:type="dxa"/>
            <w:vAlign w:val="center"/>
          </w:tcPr>
          <w:p>
            <w:pPr>
              <w:jc w:val="center"/>
              <w:rPr>
                <w:rFonts w:hint="default" w:ascii="宋体" w:hAnsi="宋体" w:eastAsia="宋体" w:cs="宋体"/>
                <w:color w:val="auto"/>
                <w:sz w:val="21"/>
                <w:szCs w:val="21"/>
                <w:vertAlign w:val="baseline"/>
                <w:lang w:val="en-US" w:eastAsia="zh-CN"/>
              </w:rPr>
            </w:pPr>
            <w:r>
              <w:rPr>
                <w:rFonts w:hint="eastAsia" w:ascii="宋体" w:hAnsi="宋体" w:eastAsia="宋体" w:cs="宋体"/>
                <w:color w:val="auto"/>
                <w:sz w:val="21"/>
                <w:szCs w:val="21"/>
                <w:vertAlign w:val="baseline"/>
                <w:lang w:val="en-US" w:eastAsia="zh-CN"/>
              </w:rPr>
              <w:t>412825198304012074</w:t>
            </w:r>
          </w:p>
        </w:tc>
        <w:tc>
          <w:tcPr>
            <w:tcW w:w="1566" w:type="dxa"/>
            <w:vAlign w:val="center"/>
          </w:tcPr>
          <w:p>
            <w:pPr>
              <w:jc w:val="center"/>
              <w:rPr>
                <w:rFonts w:hint="default" w:ascii="宋体" w:hAnsi="宋体" w:eastAsia="宋体" w:cs="宋体"/>
                <w:color w:val="auto"/>
                <w:sz w:val="21"/>
                <w:szCs w:val="21"/>
                <w:vertAlign w:val="baseline"/>
                <w:lang w:val="en-US" w:eastAsia="zh-CN"/>
              </w:rPr>
            </w:pPr>
            <w:r>
              <w:rPr>
                <w:rFonts w:hint="eastAsia" w:ascii="宋体" w:hAnsi="宋体" w:eastAsia="宋体" w:cs="宋体"/>
                <w:color w:val="auto"/>
                <w:sz w:val="21"/>
                <w:szCs w:val="21"/>
                <w:vertAlign w:val="baseline"/>
                <w:lang w:val="en-US" w:eastAsia="zh-CN"/>
              </w:rPr>
              <w:t>2024.05.27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0" w:type="dxa"/>
            <w:vAlign w:val="center"/>
          </w:tcPr>
          <w:p>
            <w:pPr>
              <w:jc w:val="center"/>
              <w:rPr>
                <w:rFonts w:hint="default" w:ascii="宋体" w:hAnsi="宋体" w:eastAsia="宋体" w:cs="宋体"/>
                <w:color w:val="auto"/>
                <w:sz w:val="21"/>
                <w:szCs w:val="21"/>
                <w:vertAlign w:val="baseline"/>
                <w:lang w:val="en-US" w:eastAsia="zh-CN"/>
              </w:rPr>
            </w:pPr>
            <w:r>
              <w:rPr>
                <w:rFonts w:hint="eastAsia" w:ascii="宋体" w:hAnsi="宋体" w:eastAsia="宋体" w:cs="宋体"/>
                <w:color w:val="auto"/>
                <w:sz w:val="21"/>
                <w:szCs w:val="21"/>
                <w:vertAlign w:val="baseline"/>
                <w:lang w:val="en-US" w:eastAsia="zh-CN"/>
              </w:rPr>
              <w:t>4</w:t>
            </w:r>
          </w:p>
        </w:tc>
        <w:tc>
          <w:tcPr>
            <w:tcW w:w="1150" w:type="dxa"/>
            <w:vAlign w:val="center"/>
          </w:tcPr>
          <w:p>
            <w:pPr>
              <w:jc w:val="center"/>
              <w:rPr>
                <w:rFonts w:hint="eastAsia" w:ascii="宋体" w:hAnsi="宋体" w:eastAsia="宋体" w:cs="宋体"/>
                <w:color w:val="auto"/>
                <w:sz w:val="21"/>
                <w:szCs w:val="21"/>
                <w:vertAlign w:val="baseline"/>
                <w:lang w:eastAsia="zh-CN"/>
              </w:rPr>
            </w:pPr>
            <w:r>
              <w:rPr>
                <w:rFonts w:hint="eastAsia" w:ascii="宋体" w:hAnsi="宋体" w:eastAsia="宋体" w:cs="宋体"/>
                <w:color w:val="auto"/>
                <w:sz w:val="21"/>
                <w:szCs w:val="21"/>
                <w:vertAlign w:val="baseline"/>
                <w:lang w:eastAsia="zh-CN"/>
              </w:rPr>
              <w:t>陈义芳</w:t>
            </w:r>
          </w:p>
        </w:tc>
        <w:tc>
          <w:tcPr>
            <w:tcW w:w="1550" w:type="dxa"/>
            <w:vAlign w:val="center"/>
          </w:tcPr>
          <w:p>
            <w:pPr>
              <w:jc w:val="center"/>
              <w:rPr>
                <w:rFonts w:hint="eastAsia" w:ascii="宋体" w:hAnsi="宋体" w:eastAsia="宋体" w:cs="宋体"/>
                <w:color w:val="auto"/>
                <w:sz w:val="21"/>
                <w:szCs w:val="21"/>
                <w:vertAlign w:val="baseline"/>
                <w:lang w:eastAsia="zh-CN"/>
              </w:rPr>
            </w:pPr>
            <w:r>
              <w:rPr>
                <w:rFonts w:hint="eastAsia" w:ascii="宋体" w:hAnsi="宋体" w:eastAsia="宋体" w:cs="宋体"/>
                <w:color w:val="auto"/>
                <w:sz w:val="21"/>
                <w:szCs w:val="21"/>
                <w:vertAlign w:val="baseline"/>
                <w:lang w:eastAsia="zh-CN"/>
              </w:rPr>
              <w:t>低压电工作业</w:t>
            </w:r>
          </w:p>
        </w:tc>
        <w:tc>
          <w:tcPr>
            <w:tcW w:w="1733" w:type="dxa"/>
            <w:vAlign w:val="center"/>
          </w:tcPr>
          <w:p>
            <w:pPr>
              <w:jc w:val="center"/>
              <w:rPr>
                <w:rFonts w:hint="eastAsia" w:ascii="宋体" w:hAnsi="宋体" w:eastAsia="宋体" w:cs="宋体"/>
                <w:color w:val="auto"/>
                <w:sz w:val="21"/>
                <w:szCs w:val="21"/>
                <w:vertAlign w:val="baseline"/>
                <w:lang w:eastAsia="zh-CN"/>
              </w:rPr>
            </w:pPr>
            <w:r>
              <w:rPr>
                <w:rFonts w:hint="eastAsia" w:ascii="宋体" w:hAnsi="宋体" w:eastAsia="宋体" w:cs="宋体"/>
                <w:color w:val="auto"/>
                <w:sz w:val="21"/>
                <w:szCs w:val="21"/>
                <w:vertAlign w:val="baseline"/>
                <w:lang w:eastAsia="zh-CN"/>
              </w:rPr>
              <w:t>湖南省安全生产监督管理局</w:t>
            </w:r>
          </w:p>
        </w:tc>
        <w:tc>
          <w:tcPr>
            <w:tcW w:w="2615" w:type="dxa"/>
            <w:vAlign w:val="center"/>
          </w:tcPr>
          <w:p>
            <w:pPr>
              <w:jc w:val="center"/>
              <w:rPr>
                <w:rFonts w:hint="default" w:ascii="宋体" w:hAnsi="宋体" w:eastAsia="宋体" w:cs="宋体"/>
                <w:color w:val="auto"/>
                <w:sz w:val="21"/>
                <w:szCs w:val="21"/>
                <w:vertAlign w:val="baseline"/>
                <w:lang w:val="en-US" w:eastAsia="zh-CN"/>
              </w:rPr>
            </w:pPr>
            <w:r>
              <w:rPr>
                <w:rFonts w:hint="eastAsia" w:ascii="宋体" w:hAnsi="宋体" w:eastAsia="宋体" w:cs="宋体"/>
                <w:color w:val="auto"/>
                <w:sz w:val="21"/>
                <w:szCs w:val="21"/>
                <w:vertAlign w:val="baseline"/>
                <w:lang w:val="en-US" w:eastAsia="zh-CN"/>
              </w:rPr>
              <w:t>T432325196911236616</w:t>
            </w:r>
          </w:p>
        </w:tc>
        <w:tc>
          <w:tcPr>
            <w:tcW w:w="1566" w:type="dxa"/>
            <w:vAlign w:val="center"/>
          </w:tcPr>
          <w:p>
            <w:pPr>
              <w:jc w:val="center"/>
              <w:rPr>
                <w:rFonts w:hint="default" w:ascii="宋体" w:hAnsi="宋体" w:eastAsia="宋体" w:cs="宋体"/>
                <w:color w:val="auto"/>
                <w:sz w:val="21"/>
                <w:szCs w:val="21"/>
                <w:vertAlign w:val="baseline"/>
                <w:lang w:val="en-US" w:eastAsia="zh-CN"/>
              </w:rPr>
            </w:pPr>
            <w:r>
              <w:rPr>
                <w:rFonts w:hint="eastAsia" w:ascii="宋体" w:hAnsi="宋体" w:eastAsia="宋体" w:cs="宋体"/>
                <w:color w:val="auto"/>
                <w:sz w:val="21"/>
                <w:szCs w:val="21"/>
                <w:vertAlign w:val="baseline"/>
                <w:lang w:val="en-US" w:eastAsia="zh-CN"/>
              </w:rPr>
              <w:t>2023.03.29</w:t>
            </w:r>
          </w:p>
        </w:tc>
      </w:tr>
    </w:tbl>
    <w:p>
      <w:pPr>
        <w:rPr>
          <w:rFonts w:hint="eastAsia"/>
          <w:color w:val="auto"/>
          <w:lang w:eastAsia="zh-CN"/>
        </w:rPr>
      </w:pPr>
    </w:p>
    <w:p>
      <w:pPr>
        <w:spacing w:line="560" w:lineRule="exact"/>
        <w:ind w:firstLine="425" w:firstLineChars="152"/>
        <w:jc w:val="both"/>
        <w:rPr>
          <w:rFonts w:ascii="宋体" w:hAnsi="宋体" w:eastAsia="宋体"/>
          <w:color w:val="auto"/>
          <w:sz w:val="28"/>
          <w:szCs w:val="28"/>
          <w:lang w:eastAsia="zh-CN"/>
        </w:rPr>
      </w:pPr>
      <w:r>
        <w:rPr>
          <w:rFonts w:ascii="宋体" w:hAnsi="宋体" w:eastAsia="宋体"/>
          <w:color w:val="auto"/>
          <w:sz w:val="28"/>
          <w:szCs w:val="28"/>
          <w:lang w:eastAsia="zh-CN"/>
        </w:rPr>
        <w:t>东莞市华龙实业有限公司已建立了完善的安全责任制；制定了较为完善的安全管理制度；根据实际工作岗位情况，结合法律、法规和标准、规范制定了安全操作规程；根据自身实际情况，按照《生产经营单位生产安全事故应急预案编制导则》(GB/T29639-2013)修改了原有的生产安全事故应急预案，完善了应急救援组织，并于20</w:t>
      </w:r>
      <w:r>
        <w:rPr>
          <w:rFonts w:hint="eastAsia" w:ascii="宋体" w:hAnsi="宋体" w:eastAsia="宋体"/>
          <w:color w:val="auto"/>
          <w:sz w:val="28"/>
          <w:szCs w:val="28"/>
          <w:lang w:eastAsia="zh-CN"/>
        </w:rPr>
        <w:t>18</w:t>
      </w:r>
      <w:r>
        <w:rPr>
          <w:rFonts w:ascii="宋体" w:hAnsi="宋体" w:eastAsia="宋体"/>
          <w:color w:val="auto"/>
          <w:sz w:val="28"/>
          <w:szCs w:val="28"/>
          <w:lang w:eastAsia="zh-CN"/>
        </w:rPr>
        <w:t>年</w:t>
      </w:r>
      <w:r>
        <w:rPr>
          <w:rFonts w:hint="eastAsia" w:ascii="宋体" w:hAnsi="宋体" w:eastAsia="宋体"/>
          <w:color w:val="auto"/>
          <w:sz w:val="28"/>
          <w:szCs w:val="28"/>
          <w:lang w:eastAsia="zh-CN"/>
        </w:rPr>
        <w:t>03</w:t>
      </w:r>
      <w:r>
        <w:rPr>
          <w:rFonts w:ascii="宋体" w:hAnsi="宋体" w:eastAsia="宋体"/>
          <w:color w:val="auto"/>
          <w:sz w:val="28"/>
          <w:szCs w:val="28"/>
          <w:lang w:eastAsia="zh-CN"/>
        </w:rPr>
        <w:t>月</w:t>
      </w:r>
      <w:r>
        <w:rPr>
          <w:rFonts w:hint="eastAsia" w:ascii="宋体" w:hAnsi="宋体" w:eastAsia="宋体"/>
          <w:color w:val="auto"/>
          <w:sz w:val="28"/>
          <w:szCs w:val="28"/>
          <w:lang w:eastAsia="zh-CN"/>
        </w:rPr>
        <w:t>29</w:t>
      </w:r>
      <w:r>
        <w:rPr>
          <w:rFonts w:ascii="宋体" w:hAnsi="宋体" w:eastAsia="宋体"/>
          <w:color w:val="auto"/>
          <w:sz w:val="28"/>
          <w:szCs w:val="28"/>
          <w:lang w:eastAsia="zh-CN"/>
        </w:rPr>
        <w:t>日经东莞市安全生产监督管理局备案</w:t>
      </w:r>
      <w:r>
        <w:rPr>
          <w:rFonts w:hint="eastAsia" w:ascii="宋体" w:hAnsi="宋体" w:eastAsia="宋体"/>
          <w:color w:val="auto"/>
          <w:sz w:val="28"/>
          <w:szCs w:val="28"/>
          <w:lang w:eastAsia="zh-CN"/>
        </w:rPr>
        <w:t>，备案编号：441900-2018-0066</w:t>
      </w:r>
      <w:r>
        <w:rPr>
          <w:rFonts w:ascii="宋体" w:hAnsi="宋体" w:eastAsia="宋体"/>
          <w:color w:val="auto"/>
          <w:sz w:val="28"/>
          <w:szCs w:val="28"/>
          <w:lang w:eastAsia="zh-CN"/>
        </w:rPr>
        <w:t>。</w:t>
      </w:r>
    </w:p>
    <w:p>
      <w:pPr>
        <w:spacing w:line="560" w:lineRule="exact"/>
        <w:jc w:val="both"/>
        <w:outlineLvl w:val="1"/>
        <w:rPr>
          <w:rFonts w:ascii="楷体_GB2312" w:hAnsi="Times New Roman" w:eastAsia="楷体_GB2312" w:cs="Times New Roman"/>
          <w:bCs/>
          <w:color w:val="auto"/>
          <w:kern w:val="2"/>
          <w:sz w:val="32"/>
          <w:lang w:val="en-US" w:eastAsia="zh-CN" w:bidi="ar-SA"/>
        </w:rPr>
      </w:pPr>
      <w:bookmarkStart w:id="38" w:name="_Toc40045891"/>
      <w:bookmarkStart w:id="39" w:name="bookmark40"/>
      <w:r>
        <w:rPr>
          <w:rFonts w:ascii="楷体_GB2312" w:hAnsi="Times New Roman" w:eastAsia="楷体_GB2312" w:cs="Times New Roman"/>
          <w:bCs/>
          <w:color w:val="auto"/>
          <w:kern w:val="2"/>
          <w:sz w:val="32"/>
          <w:lang w:val="en-US" w:eastAsia="zh-CN" w:bidi="ar-SA"/>
        </w:rPr>
        <w:t>2.</w:t>
      </w:r>
      <w:r>
        <w:rPr>
          <w:rFonts w:hint="eastAsia" w:ascii="楷体_GB2312" w:hAnsi="Times New Roman" w:eastAsia="楷体_GB2312" w:cs="Times New Roman"/>
          <w:bCs/>
          <w:color w:val="auto"/>
          <w:kern w:val="2"/>
          <w:sz w:val="32"/>
          <w:lang w:val="en-US" w:eastAsia="zh-CN" w:bidi="ar-SA"/>
        </w:rPr>
        <w:t>7安</w:t>
      </w:r>
      <w:r>
        <w:rPr>
          <w:rFonts w:ascii="楷体_GB2312" w:hAnsi="Times New Roman" w:eastAsia="楷体_GB2312" w:cs="Times New Roman"/>
          <w:bCs/>
          <w:color w:val="auto"/>
          <w:kern w:val="2"/>
          <w:sz w:val="32"/>
          <w:lang w:val="en-US" w:eastAsia="zh-CN" w:bidi="ar-SA"/>
        </w:rPr>
        <w:t>全投入情况</w:t>
      </w:r>
      <w:bookmarkEnd w:id="38"/>
      <w:bookmarkEnd w:id="39"/>
    </w:p>
    <w:p>
      <w:pPr>
        <w:spacing w:line="560" w:lineRule="exact"/>
        <w:ind w:firstLine="425" w:firstLineChars="152"/>
        <w:rPr>
          <w:rFonts w:ascii="宋体" w:hAnsi="宋体" w:eastAsia="宋体"/>
          <w:color w:val="auto"/>
          <w:sz w:val="28"/>
          <w:szCs w:val="28"/>
          <w:lang w:eastAsia="zh-CN"/>
        </w:rPr>
      </w:pPr>
      <w:r>
        <w:rPr>
          <w:rFonts w:ascii="宋体" w:hAnsi="宋体" w:eastAsia="宋体"/>
          <w:color w:val="auto"/>
          <w:sz w:val="28"/>
          <w:szCs w:val="28"/>
          <w:lang w:eastAsia="zh-CN"/>
        </w:rPr>
        <w:t>该公司根据《关于印发＜企业安全生产费用提取和使用管理办法〉的通知》(财企〔2012〕16号)的规定提取安全生产费用，安全生产费用(以下简称安全费用)是指企业按照规定标准提取在成本中列支，专门用于完善和改进企业或者该公司安全生产条件的资金，该公司属于危险化学品生产企业，根据该规定第8条的要求，危险品生产与储存企业以上年度实际营业收入为计提依据，采取超额累退方式按照以下标准平均逐月提取：</w:t>
      </w:r>
    </w:p>
    <w:p>
      <w:pPr>
        <w:spacing w:line="560" w:lineRule="exact"/>
        <w:ind w:firstLine="425" w:firstLineChars="152"/>
        <w:rPr>
          <w:rFonts w:ascii="宋体" w:hAnsi="宋体" w:eastAsia="宋体"/>
          <w:color w:val="auto"/>
          <w:sz w:val="28"/>
          <w:szCs w:val="28"/>
          <w:lang w:eastAsia="zh-CN"/>
        </w:rPr>
      </w:pPr>
      <w:r>
        <w:rPr>
          <w:rFonts w:ascii="宋体" w:hAnsi="宋体" w:eastAsia="宋体"/>
          <w:color w:val="auto"/>
          <w:sz w:val="28"/>
          <w:szCs w:val="28"/>
          <w:lang w:eastAsia="zh-CN"/>
        </w:rPr>
        <w:t>营业收入不超过1000万元的，按照4%提取；</w:t>
      </w:r>
    </w:p>
    <w:p>
      <w:pPr>
        <w:spacing w:line="560" w:lineRule="exact"/>
        <w:ind w:firstLine="425" w:firstLineChars="152"/>
        <w:rPr>
          <w:rFonts w:ascii="宋体" w:hAnsi="宋体" w:eastAsia="宋体"/>
          <w:color w:val="auto"/>
          <w:sz w:val="28"/>
          <w:szCs w:val="28"/>
          <w:lang w:eastAsia="zh-CN"/>
        </w:rPr>
      </w:pPr>
      <w:r>
        <w:rPr>
          <w:rFonts w:ascii="宋体" w:hAnsi="宋体" w:eastAsia="宋体"/>
          <w:color w:val="auto"/>
          <w:sz w:val="28"/>
          <w:szCs w:val="28"/>
          <w:lang w:eastAsia="zh-CN"/>
        </w:rPr>
        <w:t>营业收入超过1000万元至1亿元的部分，按照2%提取；</w:t>
      </w:r>
    </w:p>
    <w:p>
      <w:pPr>
        <w:spacing w:line="560" w:lineRule="exact"/>
        <w:ind w:firstLine="425" w:firstLineChars="152"/>
        <w:rPr>
          <w:rFonts w:ascii="宋体" w:hAnsi="宋体" w:eastAsia="宋体"/>
          <w:color w:val="auto"/>
          <w:sz w:val="28"/>
          <w:szCs w:val="28"/>
          <w:lang w:eastAsia="zh-CN"/>
        </w:rPr>
      </w:pPr>
      <w:r>
        <w:rPr>
          <w:rFonts w:ascii="宋体" w:hAnsi="宋体" w:eastAsia="宋体"/>
          <w:color w:val="auto"/>
          <w:sz w:val="28"/>
          <w:szCs w:val="28"/>
          <w:lang w:eastAsia="zh-CN"/>
        </w:rPr>
        <w:t>营业收入超过1亿元至10亿元的部分，按照0.5%提取；</w:t>
      </w:r>
    </w:p>
    <w:p>
      <w:pPr>
        <w:spacing w:line="560" w:lineRule="exact"/>
        <w:ind w:firstLine="425" w:firstLineChars="152"/>
        <w:rPr>
          <w:rFonts w:ascii="宋体" w:hAnsi="宋体" w:eastAsia="宋体"/>
          <w:color w:val="auto"/>
          <w:sz w:val="28"/>
          <w:szCs w:val="28"/>
          <w:lang w:eastAsia="zh-CN"/>
        </w:rPr>
      </w:pPr>
      <w:r>
        <w:rPr>
          <w:rFonts w:ascii="宋体" w:hAnsi="宋体" w:eastAsia="宋体"/>
          <w:color w:val="auto"/>
          <w:sz w:val="28"/>
          <w:szCs w:val="28"/>
          <w:lang w:eastAsia="zh-CN"/>
        </w:rPr>
        <w:t>营业收入超过10亿元的部分，按照0.2%提取。</w:t>
      </w:r>
    </w:p>
    <w:p>
      <w:pPr>
        <w:spacing w:line="560" w:lineRule="exact"/>
        <w:ind w:firstLine="425" w:firstLineChars="152"/>
        <w:rPr>
          <w:rFonts w:ascii="宋体" w:hAnsi="宋体" w:eastAsia="宋体"/>
          <w:color w:val="auto"/>
          <w:sz w:val="28"/>
          <w:szCs w:val="28"/>
          <w:lang w:eastAsia="zh-CN"/>
        </w:rPr>
      </w:pPr>
      <w:r>
        <w:rPr>
          <w:rFonts w:ascii="宋体" w:hAnsi="宋体" w:eastAsia="宋体"/>
          <w:color w:val="auto"/>
          <w:sz w:val="28"/>
          <w:szCs w:val="28"/>
        </w:rPr>
        <w:t>201</w:t>
      </w:r>
      <w:r>
        <w:rPr>
          <w:rFonts w:hint="eastAsia" w:ascii="宋体" w:hAnsi="宋体" w:eastAsia="宋体"/>
          <w:color w:val="auto"/>
          <w:sz w:val="28"/>
          <w:szCs w:val="28"/>
          <w:lang w:eastAsia="zh-CN"/>
        </w:rPr>
        <w:t>9</w:t>
      </w:r>
      <w:r>
        <w:rPr>
          <w:rFonts w:ascii="宋体" w:hAnsi="宋体" w:eastAsia="宋体"/>
          <w:color w:val="auto"/>
          <w:sz w:val="28"/>
          <w:szCs w:val="28"/>
          <w:lang w:eastAsia="zh-CN"/>
        </w:rPr>
        <w:t>年东莞市华龙实业有限公司营业收入为</w:t>
      </w:r>
      <w:r>
        <w:rPr>
          <w:rFonts w:hint="eastAsia" w:ascii="宋体" w:hAnsi="宋体" w:eastAsia="宋体"/>
          <w:color w:val="auto"/>
          <w:sz w:val="28"/>
          <w:szCs w:val="28"/>
          <w:lang w:eastAsia="zh-CN"/>
        </w:rPr>
        <w:t>250</w:t>
      </w:r>
      <w:r>
        <w:rPr>
          <w:rFonts w:ascii="宋体" w:hAnsi="宋体" w:eastAsia="宋体"/>
          <w:color w:val="auto"/>
          <w:sz w:val="28"/>
          <w:szCs w:val="28"/>
          <w:lang w:eastAsia="zh-CN"/>
        </w:rPr>
        <w:t>万元，</w:t>
      </w:r>
      <w:r>
        <w:rPr>
          <w:rFonts w:hint="eastAsia" w:ascii="宋体" w:hAnsi="宋体" w:eastAsia="宋体"/>
          <w:color w:val="auto"/>
          <w:sz w:val="28"/>
          <w:szCs w:val="28"/>
          <w:lang w:eastAsia="zh-CN"/>
        </w:rPr>
        <w:t>2019</w:t>
      </w:r>
      <w:r>
        <w:rPr>
          <w:rFonts w:ascii="宋体" w:hAnsi="宋体" w:eastAsia="宋体"/>
          <w:color w:val="auto"/>
          <w:sz w:val="28"/>
          <w:szCs w:val="28"/>
          <w:lang w:eastAsia="zh-CN"/>
        </w:rPr>
        <w:t>年实际投入金额为</w:t>
      </w:r>
      <w:r>
        <w:rPr>
          <w:rFonts w:hint="eastAsia" w:ascii="宋体" w:hAnsi="宋体" w:eastAsia="宋体"/>
          <w:color w:val="auto"/>
          <w:sz w:val="28"/>
          <w:szCs w:val="28"/>
          <w:lang w:eastAsia="zh-CN"/>
        </w:rPr>
        <w:t>25.35</w:t>
      </w:r>
      <w:r>
        <w:rPr>
          <w:rFonts w:ascii="宋体" w:hAnsi="宋体" w:eastAsia="宋体"/>
          <w:color w:val="auto"/>
          <w:sz w:val="28"/>
          <w:szCs w:val="28"/>
          <w:lang w:eastAsia="zh-CN"/>
        </w:rPr>
        <w:t>万；根据《关于印发＜企业安全生产费用提取和使用管理办法〉的通知》(财企〔2012〕16号)的规定，该公司20</w:t>
      </w:r>
      <w:r>
        <w:rPr>
          <w:rFonts w:hint="eastAsia" w:ascii="宋体" w:hAnsi="宋体" w:eastAsia="宋体"/>
          <w:color w:val="auto"/>
          <w:sz w:val="28"/>
          <w:szCs w:val="28"/>
          <w:lang w:eastAsia="zh-CN"/>
        </w:rPr>
        <w:t>20</w:t>
      </w:r>
      <w:r>
        <w:rPr>
          <w:rFonts w:ascii="宋体" w:hAnsi="宋体" w:eastAsia="宋体"/>
          <w:color w:val="auto"/>
          <w:sz w:val="28"/>
          <w:szCs w:val="28"/>
          <w:lang w:eastAsia="zh-CN"/>
        </w:rPr>
        <w:t>年应提取的金额为</w:t>
      </w:r>
      <w:r>
        <w:rPr>
          <w:rFonts w:hint="eastAsia" w:ascii="宋体" w:hAnsi="宋体" w:eastAsia="宋体"/>
          <w:color w:val="auto"/>
          <w:sz w:val="28"/>
          <w:szCs w:val="28"/>
          <w:lang w:eastAsia="zh-CN"/>
        </w:rPr>
        <w:t>10</w:t>
      </w:r>
      <w:r>
        <w:rPr>
          <w:rFonts w:ascii="宋体" w:hAnsi="宋体" w:eastAsia="宋体"/>
          <w:color w:val="auto"/>
          <w:sz w:val="28"/>
          <w:szCs w:val="28"/>
          <w:lang w:eastAsia="zh-CN"/>
        </w:rPr>
        <w:t>万元，</w:t>
      </w:r>
      <w:r>
        <w:rPr>
          <w:rFonts w:hint="eastAsia" w:ascii="宋体" w:hAnsi="宋体" w:eastAsia="宋体"/>
          <w:color w:val="auto"/>
          <w:sz w:val="28"/>
          <w:szCs w:val="28"/>
          <w:lang w:eastAsia="zh-CN"/>
        </w:rPr>
        <w:t>使用的安全生产费用大于规定应提取的费用，</w:t>
      </w:r>
      <w:r>
        <w:rPr>
          <w:rFonts w:ascii="宋体" w:hAnsi="宋体" w:eastAsia="宋体"/>
          <w:color w:val="auto"/>
          <w:sz w:val="28"/>
          <w:szCs w:val="28"/>
          <w:lang w:eastAsia="zh-CN"/>
        </w:rPr>
        <w:t>提取的安全费用用于完善和改进企业安全生产条件的资金。安全生产投入情况详见下表：</w:t>
      </w:r>
    </w:p>
    <w:p>
      <w:pPr>
        <w:spacing w:line="560" w:lineRule="exact"/>
        <w:jc w:val="center"/>
        <w:rPr>
          <w:rFonts w:ascii="宋体" w:hAnsi="宋体" w:eastAsia="宋体"/>
          <w:b/>
          <w:color w:val="auto"/>
          <w:lang w:eastAsia="zh-CN"/>
        </w:rPr>
      </w:pPr>
      <w:r>
        <w:rPr>
          <w:rFonts w:ascii="宋体" w:hAnsi="宋体" w:eastAsia="宋体"/>
          <w:b/>
          <w:color w:val="auto"/>
          <w:lang w:eastAsia="zh-CN"/>
        </w:rPr>
        <w:t>表2-</w:t>
      </w:r>
      <w:r>
        <w:rPr>
          <w:rFonts w:hint="eastAsia" w:ascii="宋体" w:hAnsi="宋体" w:eastAsia="宋体"/>
          <w:b/>
          <w:color w:val="auto"/>
          <w:lang w:eastAsia="zh-CN"/>
        </w:rPr>
        <w:t>14</w:t>
      </w:r>
      <w:r>
        <w:rPr>
          <w:rFonts w:ascii="宋体" w:hAnsi="宋体" w:eastAsia="宋体"/>
          <w:b/>
          <w:color w:val="auto"/>
          <w:lang w:eastAsia="zh-CN"/>
        </w:rPr>
        <w:t>安全生产投入和使用情况表</w:t>
      </w:r>
    </w:p>
    <w:tbl>
      <w:tblPr>
        <w:tblStyle w:val="45"/>
        <w:tblW w:w="5000" w:type="pct"/>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 w:type="dxa"/>
          <w:bottom w:w="0" w:type="dxa"/>
          <w:right w:w="10" w:type="dxa"/>
        </w:tblCellMar>
      </w:tblPr>
      <w:tblGrid>
        <w:gridCol w:w="720"/>
        <w:gridCol w:w="4745"/>
        <w:gridCol w:w="3733"/>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tblHeader/>
          <w:jc w:val="center"/>
        </w:trPr>
        <w:tc>
          <w:tcPr>
            <w:tcW w:w="720" w:type="dxa"/>
            <w:shd w:val="clear" w:color="auto" w:fill="FFFFFF"/>
            <w:vAlign w:val="center"/>
          </w:tcPr>
          <w:p>
            <w:pPr>
              <w:spacing w:line="360" w:lineRule="exact"/>
              <w:jc w:val="center"/>
              <w:rPr>
                <w:rFonts w:ascii="宋体" w:hAnsi="宋体" w:eastAsia="宋体"/>
                <w:b/>
                <w:color w:val="auto"/>
                <w:sz w:val="21"/>
                <w:szCs w:val="21"/>
              </w:rPr>
            </w:pPr>
            <w:r>
              <w:rPr>
                <w:rFonts w:ascii="宋体" w:hAnsi="宋体" w:eastAsia="宋体"/>
                <w:b/>
                <w:color w:val="auto"/>
                <w:sz w:val="21"/>
                <w:szCs w:val="21"/>
              </w:rPr>
              <w:t>序号</w:t>
            </w:r>
          </w:p>
        </w:tc>
        <w:tc>
          <w:tcPr>
            <w:tcW w:w="4745" w:type="dxa"/>
            <w:shd w:val="clear" w:color="auto" w:fill="FFFFFF"/>
            <w:vAlign w:val="center"/>
          </w:tcPr>
          <w:p>
            <w:pPr>
              <w:spacing w:line="360" w:lineRule="exact"/>
              <w:jc w:val="center"/>
              <w:rPr>
                <w:rFonts w:ascii="宋体" w:hAnsi="宋体" w:eastAsia="宋体"/>
                <w:b/>
                <w:color w:val="auto"/>
                <w:sz w:val="21"/>
                <w:szCs w:val="21"/>
              </w:rPr>
            </w:pPr>
            <w:r>
              <w:rPr>
                <w:rFonts w:ascii="宋体" w:hAnsi="宋体" w:eastAsia="宋体"/>
                <w:b/>
                <w:color w:val="auto"/>
                <w:sz w:val="21"/>
                <w:szCs w:val="21"/>
              </w:rPr>
              <w:t>项目</w:t>
            </w:r>
          </w:p>
        </w:tc>
        <w:tc>
          <w:tcPr>
            <w:tcW w:w="3733" w:type="dxa"/>
            <w:shd w:val="clear" w:color="auto" w:fill="FFFFFF"/>
            <w:vAlign w:val="center"/>
          </w:tcPr>
          <w:p>
            <w:pPr>
              <w:spacing w:line="360" w:lineRule="exact"/>
              <w:jc w:val="center"/>
              <w:rPr>
                <w:rFonts w:ascii="宋体" w:hAnsi="宋体" w:eastAsia="宋体"/>
                <w:b/>
                <w:color w:val="auto"/>
                <w:sz w:val="21"/>
                <w:szCs w:val="21"/>
              </w:rPr>
            </w:pPr>
            <w:r>
              <w:rPr>
                <w:rFonts w:hint="eastAsia" w:ascii="宋体" w:hAnsi="宋体" w:eastAsia="宋体"/>
                <w:b/>
                <w:color w:val="auto"/>
                <w:sz w:val="21"/>
                <w:szCs w:val="21"/>
                <w:lang w:eastAsia="zh-CN"/>
              </w:rPr>
              <w:t>2019</w:t>
            </w:r>
            <w:r>
              <w:rPr>
                <w:rFonts w:ascii="宋体" w:hAnsi="宋体" w:eastAsia="宋体"/>
                <w:b/>
                <w:color w:val="auto"/>
                <w:sz w:val="21"/>
                <w:szCs w:val="21"/>
              </w:rPr>
              <w:t>年安全产费用使用情况(万元)</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9198" w:type="dxa"/>
            <w:gridSpan w:val="3"/>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一、完善、改造和维护安全防护设施设备</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720" w:type="dxa"/>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1</w:t>
            </w:r>
          </w:p>
        </w:tc>
        <w:tc>
          <w:tcPr>
            <w:tcW w:w="4745" w:type="dxa"/>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各类机械设备的日常维修、保养</w:t>
            </w:r>
          </w:p>
        </w:tc>
        <w:tc>
          <w:tcPr>
            <w:tcW w:w="3733" w:type="dxa"/>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2</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720" w:type="dxa"/>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小计</w:t>
            </w:r>
          </w:p>
        </w:tc>
        <w:tc>
          <w:tcPr>
            <w:tcW w:w="4745" w:type="dxa"/>
            <w:shd w:val="clear" w:color="auto" w:fill="FFFFFF"/>
            <w:vAlign w:val="center"/>
          </w:tcPr>
          <w:p>
            <w:pPr>
              <w:spacing w:line="360" w:lineRule="exact"/>
              <w:jc w:val="center"/>
              <w:rPr>
                <w:rFonts w:ascii="宋体" w:hAnsi="宋体" w:eastAsia="宋体"/>
                <w:color w:val="auto"/>
                <w:sz w:val="21"/>
                <w:szCs w:val="21"/>
              </w:rPr>
            </w:pPr>
          </w:p>
        </w:tc>
        <w:tc>
          <w:tcPr>
            <w:tcW w:w="3733" w:type="dxa"/>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2</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9198" w:type="dxa"/>
            <w:gridSpan w:val="3"/>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二、应急救援器材、设备和应急救援演练</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720" w:type="dxa"/>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1</w:t>
            </w:r>
          </w:p>
        </w:tc>
        <w:tc>
          <w:tcPr>
            <w:tcW w:w="4745" w:type="dxa"/>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消防系统的维护、保养费</w:t>
            </w:r>
          </w:p>
        </w:tc>
        <w:tc>
          <w:tcPr>
            <w:tcW w:w="3733" w:type="dxa"/>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0.2</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720" w:type="dxa"/>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2</w:t>
            </w:r>
          </w:p>
        </w:tc>
        <w:tc>
          <w:tcPr>
            <w:tcW w:w="4745" w:type="dxa"/>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消防器材的维修与更换</w:t>
            </w:r>
          </w:p>
        </w:tc>
        <w:tc>
          <w:tcPr>
            <w:tcW w:w="3733" w:type="dxa"/>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0.2</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720" w:type="dxa"/>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3</w:t>
            </w:r>
          </w:p>
        </w:tc>
        <w:tc>
          <w:tcPr>
            <w:tcW w:w="4745" w:type="dxa"/>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消防演练与急救药品费用</w:t>
            </w:r>
          </w:p>
        </w:tc>
        <w:tc>
          <w:tcPr>
            <w:tcW w:w="3733" w:type="dxa"/>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1.5</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720" w:type="dxa"/>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小计</w:t>
            </w:r>
          </w:p>
        </w:tc>
        <w:tc>
          <w:tcPr>
            <w:tcW w:w="4745" w:type="dxa"/>
            <w:shd w:val="clear" w:color="auto" w:fill="FFFFFF"/>
            <w:vAlign w:val="center"/>
          </w:tcPr>
          <w:p>
            <w:pPr>
              <w:spacing w:line="360" w:lineRule="exact"/>
              <w:jc w:val="center"/>
              <w:rPr>
                <w:rFonts w:ascii="宋体" w:hAnsi="宋体" w:eastAsia="宋体"/>
                <w:color w:val="auto"/>
                <w:sz w:val="21"/>
                <w:szCs w:val="21"/>
              </w:rPr>
            </w:pPr>
          </w:p>
        </w:tc>
        <w:tc>
          <w:tcPr>
            <w:tcW w:w="3733" w:type="dxa"/>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1.9</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9198" w:type="dxa"/>
            <w:gridSpan w:val="3"/>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三、开展各类事故隐患评估、监控和整改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720" w:type="dxa"/>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1</w:t>
            </w:r>
          </w:p>
        </w:tc>
        <w:tc>
          <w:tcPr>
            <w:tcW w:w="4745" w:type="dxa"/>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公司围墙修复</w:t>
            </w:r>
          </w:p>
        </w:tc>
        <w:tc>
          <w:tcPr>
            <w:tcW w:w="3733" w:type="dxa"/>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0.5</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720" w:type="dxa"/>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2</w:t>
            </w:r>
          </w:p>
        </w:tc>
        <w:tc>
          <w:tcPr>
            <w:tcW w:w="4745" w:type="dxa"/>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日常各类消防、安全隐患治理</w:t>
            </w:r>
          </w:p>
        </w:tc>
        <w:tc>
          <w:tcPr>
            <w:tcW w:w="3733" w:type="dxa"/>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0.8</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720" w:type="dxa"/>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3</w:t>
            </w:r>
          </w:p>
        </w:tc>
        <w:tc>
          <w:tcPr>
            <w:tcW w:w="4745" w:type="dxa"/>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安监局重点区域视频监控网络传输费</w:t>
            </w:r>
          </w:p>
        </w:tc>
        <w:tc>
          <w:tcPr>
            <w:tcW w:w="3733" w:type="dxa"/>
            <w:shd w:val="clear" w:color="auto" w:fill="FFFFFF"/>
            <w:vAlign w:val="center"/>
          </w:tcPr>
          <w:p>
            <w:pPr>
              <w:spacing w:line="360" w:lineRule="exact"/>
              <w:jc w:val="center"/>
              <w:rPr>
                <w:rFonts w:ascii="宋体" w:hAnsi="宋体" w:eastAsia="宋体"/>
                <w:color w:val="auto"/>
                <w:sz w:val="21"/>
                <w:szCs w:val="21"/>
                <w:lang w:eastAsia="zh-CN"/>
              </w:rPr>
            </w:pPr>
            <w:r>
              <w:rPr>
                <w:rFonts w:ascii="宋体" w:hAnsi="宋体" w:eastAsia="宋体"/>
                <w:color w:val="auto"/>
                <w:sz w:val="21"/>
                <w:szCs w:val="21"/>
              </w:rPr>
              <w:t>0.2</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720" w:type="dxa"/>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4</w:t>
            </w:r>
          </w:p>
        </w:tc>
        <w:tc>
          <w:tcPr>
            <w:tcW w:w="4745" w:type="dxa"/>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视频监控系统的维修与保养</w:t>
            </w:r>
          </w:p>
        </w:tc>
        <w:tc>
          <w:tcPr>
            <w:tcW w:w="3733" w:type="dxa"/>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0.1</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720" w:type="dxa"/>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小计</w:t>
            </w:r>
          </w:p>
        </w:tc>
        <w:tc>
          <w:tcPr>
            <w:tcW w:w="4745" w:type="dxa"/>
            <w:shd w:val="clear" w:color="auto" w:fill="FFFFFF"/>
            <w:vAlign w:val="center"/>
          </w:tcPr>
          <w:p>
            <w:pPr>
              <w:spacing w:line="360" w:lineRule="exact"/>
              <w:jc w:val="center"/>
              <w:rPr>
                <w:rFonts w:ascii="宋体" w:hAnsi="宋体" w:eastAsia="宋体"/>
                <w:color w:val="auto"/>
                <w:sz w:val="21"/>
                <w:szCs w:val="21"/>
              </w:rPr>
            </w:pPr>
          </w:p>
        </w:tc>
        <w:tc>
          <w:tcPr>
            <w:tcW w:w="3733" w:type="dxa"/>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1.6</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9198" w:type="dxa"/>
            <w:gridSpan w:val="3"/>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四、安全生产检查、评价、检测和标准化建设</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720" w:type="dxa"/>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1</w:t>
            </w:r>
          </w:p>
        </w:tc>
        <w:tc>
          <w:tcPr>
            <w:tcW w:w="4745" w:type="dxa"/>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安全生产隐患检查活动投入</w:t>
            </w:r>
          </w:p>
        </w:tc>
        <w:tc>
          <w:tcPr>
            <w:tcW w:w="3733" w:type="dxa"/>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1</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720" w:type="dxa"/>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2</w:t>
            </w:r>
          </w:p>
        </w:tc>
        <w:tc>
          <w:tcPr>
            <w:tcW w:w="4745" w:type="dxa"/>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安全生产技术服务</w:t>
            </w:r>
          </w:p>
        </w:tc>
        <w:tc>
          <w:tcPr>
            <w:tcW w:w="3733" w:type="dxa"/>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3</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720" w:type="dxa"/>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3</w:t>
            </w:r>
          </w:p>
        </w:tc>
        <w:tc>
          <w:tcPr>
            <w:tcW w:w="4745" w:type="dxa"/>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职业危害现状评价</w:t>
            </w:r>
          </w:p>
        </w:tc>
        <w:tc>
          <w:tcPr>
            <w:tcW w:w="3733" w:type="dxa"/>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1</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720" w:type="dxa"/>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小计</w:t>
            </w:r>
          </w:p>
        </w:tc>
        <w:tc>
          <w:tcPr>
            <w:tcW w:w="4745" w:type="dxa"/>
            <w:shd w:val="clear" w:color="auto" w:fill="FFFFFF"/>
            <w:vAlign w:val="center"/>
          </w:tcPr>
          <w:p>
            <w:pPr>
              <w:spacing w:line="360" w:lineRule="exact"/>
              <w:jc w:val="center"/>
              <w:rPr>
                <w:rFonts w:ascii="宋体" w:hAnsi="宋体" w:eastAsia="宋体"/>
                <w:color w:val="auto"/>
                <w:sz w:val="21"/>
                <w:szCs w:val="21"/>
              </w:rPr>
            </w:pPr>
          </w:p>
        </w:tc>
        <w:tc>
          <w:tcPr>
            <w:tcW w:w="3733" w:type="dxa"/>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5</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9198" w:type="dxa"/>
            <w:gridSpan w:val="3"/>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五、配备和更新现场作业人员的劳动防护用品</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720" w:type="dxa"/>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1</w:t>
            </w:r>
          </w:p>
        </w:tc>
        <w:tc>
          <w:tcPr>
            <w:tcW w:w="4745" w:type="dxa"/>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工作服</w:t>
            </w:r>
          </w:p>
        </w:tc>
        <w:tc>
          <w:tcPr>
            <w:tcW w:w="3733" w:type="dxa"/>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0.1</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720" w:type="dxa"/>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2</w:t>
            </w:r>
          </w:p>
        </w:tc>
        <w:tc>
          <w:tcPr>
            <w:tcW w:w="4745" w:type="dxa"/>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劳保鞋</w:t>
            </w:r>
          </w:p>
        </w:tc>
        <w:tc>
          <w:tcPr>
            <w:tcW w:w="3733" w:type="dxa"/>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0.1</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720" w:type="dxa"/>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3</w:t>
            </w:r>
          </w:p>
        </w:tc>
        <w:tc>
          <w:tcPr>
            <w:tcW w:w="4745" w:type="dxa"/>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防护口罩</w:t>
            </w:r>
          </w:p>
        </w:tc>
        <w:tc>
          <w:tcPr>
            <w:tcW w:w="3733" w:type="dxa"/>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0.05</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720" w:type="dxa"/>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4</w:t>
            </w:r>
          </w:p>
        </w:tc>
        <w:tc>
          <w:tcPr>
            <w:tcW w:w="4745" w:type="dxa"/>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防护手套</w:t>
            </w:r>
          </w:p>
        </w:tc>
        <w:tc>
          <w:tcPr>
            <w:tcW w:w="3733" w:type="dxa"/>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0.05</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720" w:type="dxa"/>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5</w:t>
            </w:r>
          </w:p>
        </w:tc>
        <w:tc>
          <w:tcPr>
            <w:tcW w:w="4745" w:type="dxa"/>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耳罩、安全带、安全帽等其它防护服用品</w:t>
            </w:r>
          </w:p>
        </w:tc>
        <w:tc>
          <w:tcPr>
            <w:tcW w:w="3733" w:type="dxa"/>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0.05</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720" w:type="dxa"/>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小计</w:t>
            </w:r>
          </w:p>
        </w:tc>
        <w:tc>
          <w:tcPr>
            <w:tcW w:w="4745" w:type="dxa"/>
            <w:shd w:val="clear" w:color="auto" w:fill="FFFFFF"/>
            <w:vAlign w:val="center"/>
          </w:tcPr>
          <w:p>
            <w:pPr>
              <w:spacing w:line="360" w:lineRule="exact"/>
              <w:jc w:val="center"/>
              <w:rPr>
                <w:rFonts w:ascii="宋体" w:hAnsi="宋体" w:eastAsia="宋体"/>
                <w:color w:val="auto"/>
                <w:sz w:val="21"/>
                <w:szCs w:val="21"/>
              </w:rPr>
            </w:pPr>
          </w:p>
        </w:tc>
        <w:tc>
          <w:tcPr>
            <w:tcW w:w="3733" w:type="dxa"/>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0.35</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9198" w:type="dxa"/>
            <w:gridSpan w:val="3"/>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六、安全生产宣传、教育、培训</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720" w:type="dxa"/>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1</w:t>
            </w:r>
          </w:p>
        </w:tc>
        <w:tc>
          <w:tcPr>
            <w:tcW w:w="4745" w:type="dxa"/>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安全生产奖励</w:t>
            </w:r>
          </w:p>
        </w:tc>
        <w:tc>
          <w:tcPr>
            <w:tcW w:w="3733" w:type="dxa"/>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0.5</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720" w:type="dxa"/>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2</w:t>
            </w:r>
          </w:p>
        </w:tc>
        <w:tc>
          <w:tcPr>
            <w:tcW w:w="4745" w:type="dxa"/>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新进员工教育、培训投入</w:t>
            </w:r>
          </w:p>
        </w:tc>
        <w:tc>
          <w:tcPr>
            <w:tcW w:w="3733" w:type="dxa"/>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0.1</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720" w:type="dxa"/>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3</w:t>
            </w:r>
          </w:p>
        </w:tc>
        <w:tc>
          <w:tcPr>
            <w:tcW w:w="4745" w:type="dxa"/>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安全生产宣传与继续教育</w:t>
            </w:r>
          </w:p>
        </w:tc>
        <w:tc>
          <w:tcPr>
            <w:tcW w:w="3733" w:type="dxa"/>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0.3</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720" w:type="dxa"/>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4</w:t>
            </w:r>
          </w:p>
        </w:tc>
        <w:tc>
          <w:tcPr>
            <w:tcW w:w="4745" w:type="dxa"/>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特种工种从业人员外部培训</w:t>
            </w:r>
          </w:p>
        </w:tc>
        <w:tc>
          <w:tcPr>
            <w:tcW w:w="3733" w:type="dxa"/>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0.5</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720" w:type="dxa"/>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5</w:t>
            </w:r>
          </w:p>
        </w:tc>
        <w:tc>
          <w:tcPr>
            <w:tcW w:w="4745" w:type="dxa"/>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安全管理人员继续教育培训</w:t>
            </w:r>
          </w:p>
        </w:tc>
        <w:tc>
          <w:tcPr>
            <w:tcW w:w="3733" w:type="dxa"/>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0.5</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720" w:type="dxa"/>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小计</w:t>
            </w:r>
          </w:p>
        </w:tc>
        <w:tc>
          <w:tcPr>
            <w:tcW w:w="4745" w:type="dxa"/>
            <w:shd w:val="clear" w:color="auto" w:fill="FFFFFF"/>
            <w:vAlign w:val="center"/>
          </w:tcPr>
          <w:p>
            <w:pPr>
              <w:spacing w:line="360" w:lineRule="exact"/>
              <w:jc w:val="center"/>
              <w:rPr>
                <w:rFonts w:ascii="宋体" w:hAnsi="宋体" w:eastAsia="宋体"/>
                <w:color w:val="auto"/>
                <w:sz w:val="21"/>
                <w:szCs w:val="21"/>
              </w:rPr>
            </w:pPr>
          </w:p>
        </w:tc>
        <w:tc>
          <w:tcPr>
            <w:tcW w:w="3733" w:type="dxa"/>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1.9</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9198" w:type="dxa"/>
            <w:gridSpan w:val="3"/>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七、安全生产适用的新技术、新标准、新工艺、新装备的扩广应用</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720" w:type="dxa"/>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1</w:t>
            </w:r>
          </w:p>
        </w:tc>
        <w:tc>
          <w:tcPr>
            <w:tcW w:w="4745" w:type="dxa"/>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防爆设备(防爆灯、等)</w:t>
            </w:r>
          </w:p>
        </w:tc>
        <w:tc>
          <w:tcPr>
            <w:tcW w:w="3733" w:type="dxa"/>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1</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720" w:type="dxa"/>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小计</w:t>
            </w:r>
          </w:p>
        </w:tc>
        <w:tc>
          <w:tcPr>
            <w:tcW w:w="4745" w:type="dxa"/>
            <w:shd w:val="clear" w:color="auto" w:fill="FFFFFF"/>
            <w:vAlign w:val="center"/>
          </w:tcPr>
          <w:p>
            <w:pPr>
              <w:spacing w:line="360" w:lineRule="exact"/>
              <w:jc w:val="center"/>
              <w:rPr>
                <w:rFonts w:ascii="宋体" w:hAnsi="宋体" w:eastAsia="宋体"/>
                <w:color w:val="auto"/>
                <w:sz w:val="21"/>
                <w:szCs w:val="21"/>
              </w:rPr>
            </w:pPr>
          </w:p>
        </w:tc>
        <w:tc>
          <w:tcPr>
            <w:tcW w:w="3733" w:type="dxa"/>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1</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9198" w:type="dxa"/>
            <w:gridSpan w:val="3"/>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八、安全设及特种设备施检测检验</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720" w:type="dxa"/>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1</w:t>
            </w:r>
          </w:p>
        </w:tc>
        <w:tc>
          <w:tcPr>
            <w:tcW w:w="4745" w:type="dxa"/>
            <w:shd w:val="clear" w:color="auto" w:fill="FFFFFF"/>
            <w:vAlign w:val="center"/>
          </w:tcPr>
          <w:p>
            <w:pPr>
              <w:spacing w:line="360" w:lineRule="exact"/>
              <w:jc w:val="center"/>
              <w:rPr>
                <w:rFonts w:ascii="宋体" w:hAnsi="宋体" w:eastAsia="宋体"/>
                <w:color w:val="auto"/>
                <w:sz w:val="21"/>
                <w:szCs w:val="21"/>
                <w:lang w:eastAsia="zh-CN"/>
              </w:rPr>
            </w:pPr>
            <w:r>
              <w:rPr>
                <w:rFonts w:ascii="宋体" w:hAnsi="宋体" w:eastAsia="宋体"/>
                <w:color w:val="auto"/>
                <w:sz w:val="21"/>
                <w:szCs w:val="21"/>
              </w:rPr>
              <w:t>可燃气体报警器的</w:t>
            </w:r>
            <w:r>
              <w:rPr>
                <w:rFonts w:hint="eastAsia" w:ascii="宋体" w:hAnsi="宋体" w:eastAsia="宋体"/>
                <w:color w:val="auto"/>
                <w:sz w:val="21"/>
                <w:szCs w:val="21"/>
                <w:lang w:eastAsia="zh-CN"/>
              </w:rPr>
              <w:t>更换及维护保养</w:t>
            </w:r>
          </w:p>
        </w:tc>
        <w:tc>
          <w:tcPr>
            <w:tcW w:w="3733" w:type="dxa"/>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3</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720" w:type="dxa"/>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2</w:t>
            </w:r>
          </w:p>
        </w:tc>
        <w:tc>
          <w:tcPr>
            <w:tcW w:w="4745" w:type="dxa"/>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特种设备购置、年检与保养</w:t>
            </w:r>
          </w:p>
        </w:tc>
        <w:tc>
          <w:tcPr>
            <w:tcW w:w="3733" w:type="dxa"/>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1</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720" w:type="dxa"/>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3</w:t>
            </w:r>
          </w:p>
        </w:tc>
        <w:tc>
          <w:tcPr>
            <w:tcW w:w="4745" w:type="dxa"/>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各种压力表、安全阀的检测</w:t>
            </w:r>
          </w:p>
        </w:tc>
        <w:tc>
          <w:tcPr>
            <w:tcW w:w="3733" w:type="dxa"/>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1</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720" w:type="dxa"/>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小计</w:t>
            </w:r>
          </w:p>
        </w:tc>
        <w:tc>
          <w:tcPr>
            <w:tcW w:w="4745" w:type="dxa"/>
            <w:shd w:val="clear" w:color="auto" w:fill="FFFFFF"/>
            <w:vAlign w:val="center"/>
          </w:tcPr>
          <w:p>
            <w:pPr>
              <w:spacing w:line="360" w:lineRule="exact"/>
              <w:jc w:val="center"/>
              <w:rPr>
                <w:rFonts w:ascii="宋体" w:hAnsi="宋体" w:eastAsia="宋体"/>
                <w:color w:val="auto"/>
                <w:sz w:val="21"/>
                <w:szCs w:val="21"/>
              </w:rPr>
            </w:pPr>
          </w:p>
        </w:tc>
        <w:tc>
          <w:tcPr>
            <w:tcW w:w="3733" w:type="dxa"/>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5</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9198" w:type="dxa"/>
            <w:gridSpan w:val="3"/>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九、职业卫生与其他安全投入经费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720" w:type="dxa"/>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1</w:t>
            </w:r>
          </w:p>
        </w:tc>
        <w:tc>
          <w:tcPr>
            <w:tcW w:w="4745" w:type="dxa"/>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职工工伤保险费用</w:t>
            </w:r>
          </w:p>
        </w:tc>
        <w:tc>
          <w:tcPr>
            <w:tcW w:w="3733" w:type="dxa"/>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3.1</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720" w:type="dxa"/>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2</w:t>
            </w:r>
          </w:p>
        </w:tc>
        <w:tc>
          <w:tcPr>
            <w:tcW w:w="4745" w:type="dxa"/>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职工入职、在职与离职体检</w:t>
            </w:r>
          </w:p>
        </w:tc>
        <w:tc>
          <w:tcPr>
            <w:tcW w:w="3733" w:type="dxa"/>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1.5</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720" w:type="dxa"/>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3</w:t>
            </w:r>
          </w:p>
        </w:tc>
        <w:tc>
          <w:tcPr>
            <w:tcW w:w="4745" w:type="dxa"/>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危险废弃物处置与排污费缴纳</w:t>
            </w:r>
          </w:p>
        </w:tc>
        <w:tc>
          <w:tcPr>
            <w:tcW w:w="3733" w:type="dxa"/>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2</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720" w:type="dxa"/>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小计</w:t>
            </w:r>
          </w:p>
        </w:tc>
        <w:tc>
          <w:tcPr>
            <w:tcW w:w="4745" w:type="dxa"/>
            <w:shd w:val="clear" w:color="auto" w:fill="FFFFFF"/>
            <w:vAlign w:val="center"/>
          </w:tcPr>
          <w:p>
            <w:pPr>
              <w:spacing w:line="360" w:lineRule="exact"/>
              <w:jc w:val="center"/>
              <w:rPr>
                <w:rFonts w:ascii="宋体" w:hAnsi="宋体" w:eastAsia="宋体"/>
                <w:color w:val="auto"/>
                <w:sz w:val="21"/>
                <w:szCs w:val="21"/>
              </w:rPr>
            </w:pPr>
          </w:p>
        </w:tc>
        <w:tc>
          <w:tcPr>
            <w:tcW w:w="3733" w:type="dxa"/>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6.6</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720" w:type="dxa"/>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合计</w:t>
            </w:r>
          </w:p>
        </w:tc>
        <w:tc>
          <w:tcPr>
            <w:tcW w:w="4745" w:type="dxa"/>
            <w:shd w:val="clear" w:color="auto" w:fill="FFFFFF"/>
            <w:vAlign w:val="center"/>
          </w:tcPr>
          <w:p>
            <w:pPr>
              <w:spacing w:line="360" w:lineRule="exact"/>
              <w:jc w:val="center"/>
              <w:rPr>
                <w:rFonts w:ascii="宋体" w:hAnsi="宋体" w:eastAsia="宋体"/>
                <w:color w:val="auto"/>
                <w:sz w:val="21"/>
                <w:szCs w:val="21"/>
              </w:rPr>
            </w:pPr>
          </w:p>
        </w:tc>
        <w:tc>
          <w:tcPr>
            <w:tcW w:w="3733" w:type="dxa"/>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25.35</w:t>
            </w:r>
          </w:p>
        </w:tc>
      </w:tr>
    </w:tbl>
    <w:p>
      <w:pPr>
        <w:spacing w:line="560" w:lineRule="exact"/>
        <w:jc w:val="both"/>
        <w:outlineLvl w:val="1"/>
        <w:rPr>
          <w:rFonts w:ascii="楷体_GB2312" w:hAnsi="Times New Roman" w:eastAsia="楷体_GB2312" w:cs="Times New Roman"/>
          <w:bCs/>
          <w:color w:val="auto"/>
          <w:kern w:val="2"/>
          <w:sz w:val="32"/>
          <w:lang w:val="en-US" w:eastAsia="zh-CN" w:bidi="ar-SA"/>
        </w:rPr>
      </w:pPr>
      <w:bookmarkStart w:id="40" w:name="_Toc40045892"/>
      <w:r>
        <w:rPr>
          <w:rFonts w:ascii="楷体_GB2312" w:hAnsi="Times New Roman" w:eastAsia="楷体_GB2312" w:cs="Times New Roman"/>
          <w:bCs/>
          <w:color w:val="auto"/>
          <w:kern w:val="2"/>
          <w:sz w:val="32"/>
          <w:lang w:val="en-US" w:eastAsia="zh-CN" w:bidi="ar-SA"/>
        </w:rPr>
        <w:t>2.</w:t>
      </w:r>
      <w:r>
        <w:rPr>
          <w:rFonts w:hint="eastAsia" w:ascii="楷体_GB2312" w:hAnsi="Times New Roman" w:eastAsia="楷体_GB2312" w:cs="Times New Roman"/>
          <w:bCs/>
          <w:color w:val="auto"/>
          <w:kern w:val="2"/>
          <w:sz w:val="32"/>
          <w:lang w:val="en-US" w:eastAsia="zh-CN" w:bidi="ar-SA"/>
        </w:rPr>
        <w:t>8</w:t>
      </w:r>
      <w:r>
        <w:rPr>
          <w:rFonts w:ascii="楷体_GB2312" w:hAnsi="Times New Roman" w:eastAsia="楷体_GB2312" w:cs="Times New Roman"/>
          <w:bCs/>
          <w:color w:val="auto"/>
          <w:kern w:val="2"/>
          <w:sz w:val="32"/>
          <w:lang w:val="en-US" w:eastAsia="zh-CN" w:bidi="ar-SA"/>
        </w:rPr>
        <w:t>领取安全生产许可证三年来的情况</w:t>
      </w:r>
      <w:bookmarkEnd w:id="40"/>
    </w:p>
    <w:p>
      <w:pPr>
        <w:spacing w:line="560" w:lineRule="exact"/>
        <w:ind w:firstLine="425" w:firstLineChars="152"/>
        <w:rPr>
          <w:rFonts w:ascii="宋体" w:hAnsi="宋体" w:eastAsia="宋体"/>
          <w:color w:val="auto"/>
          <w:sz w:val="28"/>
          <w:szCs w:val="28"/>
          <w:lang w:eastAsia="zh-CN"/>
        </w:rPr>
      </w:pPr>
      <w:r>
        <w:rPr>
          <w:rFonts w:ascii="宋体" w:hAnsi="宋体" w:eastAsia="宋体"/>
          <w:color w:val="auto"/>
          <w:sz w:val="28"/>
          <w:szCs w:val="28"/>
          <w:lang w:eastAsia="zh-CN"/>
        </w:rPr>
        <w:t>华龙公司自201</w:t>
      </w:r>
      <w:r>
        <w:rPr>
          <w:rFonts w:hint="eastAsia" w:ascii="宋体" w:hAnsi="宋体" w:eastAsia="宋体"/>
          <w:color w:val="auto"/>
          <w:sz w:val="28"/>
          <w:szCs w:val="28"/>
          <w:lang w:eastAsia="zh-CN"/>
        </w:rPr>
        <w:t>7</w:t>
      </w:r>
      <w:r>
        <w:rPr>
          <w:rFonts w:ascii="宋体" w:hAnsi="宋体" w:eastAsia="宋体"/>
          <w:color w:val="auto"/>
          <w:sz w:val="28"/>
          <w:szCs w:val="28"/>
          <w:lang w:eastAsia="zh-CN"/>
        </w:rPr>
        <w:t>年获得安全生产许可证以来，企业严格遵守有关安全生产的法律法规和实施办法，及时更新相关法律法规并组织员工学习了解；公司依法生产，加强日常安全生产管理和保证了安全生产条件，重新组织修订了安全生产责任制和安全管理制度，按照《生产经营单位安全生产事故应急预案编制导则》(GB/T29639-2013)编制生产安全事故应急预案，预案经审查通过，并定期进行演练。华龙公司生产状况良好，严格按工艺规程操作，未发生安全生产事故；公司人员较为稳定，流动性不大，公司每年都会根据岗位对所有在职人员进行相关的安全和技能培训；主要负责人、安全生产管理人员、特种作业人员经培训考核合格，取得相关的资格证书，并按照国家有关规定，及时参加复审。公司生产工艺成熟，设备比较简单，危险性较低，安全性可靠，3年来</w:t>
      </w:r>
      <w:r>
        <w:rPr>
          <w:rFonts w:hint="eastAsia" w:ascii="宋体" w:hAnsi="宋体" w:eastAsia="宋体"/>
          <w:color w:val="auto"/>
          <w:sz w:val="28"/>
          <w:szCs w:val="28"/>
          <w:lang w:eastAsia="zh-CN"/>
        </w:rPr>
        <w:t>其</w:t>
      </w:r>
      <w:r>
        <w:rPr>
          <w:rFonts w:ascii="宋体" w:hAnsi="宋体" w:eastAsia="宋体"/>
          <w:color w:val="auto"/>
          <w:sz w:val="28"/>
          <w:szCs w:val="28"/>
          <w:lang w:eastAsia="zh-CN"/>
        </w:rPr>
        <w:t>生产工艺未发生改变，生产设备</w:t>
      </w:r>
      <w:r>
        <w:rPr>
          <w:rFonts w:hint="eastAsia" w:ascii="宋体" w:hAnsi="宋体" w:eastAsia="宋体"/>
          <w:color w:val="auto"/>
          <w:sz w:val="28"/>
          <w:szCs w:val="28"/>
          <w:lang w:eastAsia="zh-CN"/>
        </w:rPr>
        <w:t>、</w:t>
      </w:r>
      <w:r>
        <w:rPr>
          <w:rFonts w:ascii="宋体" w:hAnsi="宋体" w:eastAsia="宋体"/>
          <w:color w:val="auto"/>
          <w:sz w:val="28"/>
          <w:szCs w:val="28"/>
          <w:lang w:eastAsia="zh-CN"/>
        </w:rPr>
        <w:t>生产品种未改变；厂区内生产车间和仓库等建筑物</w:t>
      </w:r>
      <w:r>
        <w:rPr>
          <w:rFonts w:hint="eastAsia" w:ascii="宋体" w:hAnsi="宋体" w:eastAsia="宋体"/>
          <w:color w:val="auto"/>
          <w:sz w:val="28"/>
          <w:szCs w:val="28"/>
          <w:lang w:eastAsia="zh-CN"/>
        </w:rPr>
        <w:t>未</w:t>
      </w:r>
      <w:r>
        <w:rPr>
          <w:rFonts w:ascii="宋体" w:hAnsi="宋体" w:eastAsia="宋体"/>
          <w:color w:val="auto"/>
          <w:sz w:val="28"/>
          <w:szCs w:val="28"/>
          <w:lang w:eastAsia="zh-CN"/>
        </w:rPr>
        <w:t>改变；厂区周边环境</w:t>
      </w:r>
      <w:r>
        <w:rPr>
          <w:rFonts w:hint="eastAsia" w:ascii="宋体" w:hAnsi="宋体" w:eastAsia="宋体"/>
          <w:color w:val="auto"/>
          <w:sz w:val="28"/>
          <w:szCs w:val="28"/>
          <w:lang w:eastAsia="zh-CN"/>
        </w:rPr>
        <w:t>有局部</w:t>
      </w:r>
      <w:r>
        <w:rPr>
          <w:rFonts w:ascii="宋体" w:hAnsi="宋体" w:eastAsia="宋体"/>
          <w:color w:val="auto"/>
          <w:sz w:val="28"/>
          <w:szCs w:val="28"/>
          <w:lang w:eastAsia="zh-CN"/>
        </w:rPr>
        <w:t>变化。</w:t>
      </w:r>
      <w:bookmarkStart w:id="41" w:name="bookmark42"/>
    </w:p>
    <w:p>
      <w:pPr>
        <w:spacing w:line="560" w:lineRule="exact"/>
        <w:jc w:val="center"/>
        <w:rPr>
          <w:rFonts w:ascii="宋体" w:hAnsi="宋体" w:eastAsia="宋体"/>
          <w:b/>
          <w:color w:val="auto"/>
          <w:lang w:eastAsia="zh-CN"/>
        </w:rPr>
      </w:pPr>
      <w:r>
        <w:rPr>
          <w:rFonts w:ascii="宋体" w:hAnsi="宋体" w:eastAsia="宋体"/>
          <w:b/>
          <w:color w:val="auto"/>
          <w:lang w:eastAsia="zh-CN"/>
        </w:rPr>
        <w:t>表2-1</w:t>
      </w:r>
      <w:r>
        <w:rPr>
          <w:rFonts w:hint="eastAsia" w:ascii="宋体" w:hAnsi="宋体" w:eastAsia="宋体"/>
          <w:b/>
          <w:color w:val="auto"/>
          <w:lang w:eastAsia="zh-CN"/>
        </w:rPr>
        <w:t>5</w:t>
      </w:r>
      <w:r>
        <w:rPr>
          <w:rFonts w:ascii="宋体" w:hAnsi="宋体" w:eastAsia="宋体"/>
          <w:b/>
          <w:color w:val="auto"/>
          <w:lang w:eastAsia="zh-CN"/>
        </w:rPr>
        <w:t>本次换证变化情况对照表</w:t>
      </w:r>
      <w:bookmarkEnd w:id="41"/>
    </w:p>
    <w:tbl>
      <w:tblPr>
        <w:tblStyle w:val="45"/>
        <w:tblW w:w="5000" w:type="pct"/>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 w:type="dxa"/>
          <w:bottom w:w="0" w:type="dxa"/>
          <w:right w:w="10" w:type="dxa"/>
        </w:tblCellMar>
      </w:tblPr>
      <w:tblGrid>
        <w:gridCol w:w="594"/>
        <w:gridCol w:w="1117"/>
        <w:gridCol w:w="524"/>
        <w:gridCol w:w="2025"/>
        <w:gridCol w:w="3"/>
        <w:gridCol w:w="566"/>
        <w:gridCol w:w="1936"/>
        <w:gridCol w:w="191"/>
        <w:gridCol w:w="1134"/>
        <w:gridCol w:w="1108"/>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tblHeader/>
        </w:trPr>
        <w:tc>
          <w:tcPr>
            <w:tcW w:w="594" w:type="dxa"/>
            <w:shd w:val="clear" w:color="auto" w:fill="FFFFFF"/>
            <w:vAlign w:val="center"/>
          </w:tcPr>
          <w:p>
            <w:pPr>
              <w:spacing w:line="360" w:lineRule="auto"/>
              <w:jc w:val="center"/>
              <w:rPr>
                <w:rFonts w:ascii="宋体" w:hAnsi="宋体" w:eastAsia="宋体"/>
                <w:b/>
                <w:color w:val="auto"/>
                <w:sz w:val="21"/>
                <w:szCs w:val="21"/>
              </w:rPr>
            </w:pPr>
            <w:r>
              <w:rPr>
                <w:rFonts w:ascii="宋体" w:hAnsi="宋体" w:eastAsia="宋体"/>
                <w:b/>
                <w:color w:val="auto"/>
                <w:sz w:val="21"/>
                <w:szCs w:val="21"/>
              </w:rPr>
              <w:t>序号</w:t>
            </w:r>
          </w:p>
        </w:tc>
        <w:tc>
          <w:tcPr>
            <w:tcW w:w="1117" w:type="dxa"/>
            <w:shd w:val="clear" w:color="auto" w:fill="FFFFFF"/>
            <w:vAlign w:val="center"/>
          </w:tcPr>
          <w:p>
            <w:pPr>
              <w:spacing w:line="360" w:lineRule="auto"/>
              <w:jc w:val="center"/>
              <w:rPr>
                <w:rFonts w:ascii="宋体" w:hAnsi="宋体" w:eastAsia="宋体"/>
                <w:b/>
                <w:color w:val="auto"/>
                <w:sz w:val="21"/>
                <w:szCs w:val="21"/>
              </w:rPr>
            </w:pPr>
            <w:r>
              <w:rPr>
                <w:rFonts w:ascii="宋体" w:hAnsi="宋体" w:eastAsia="宋体"/>
                <w:b/>
                <w:color w:val="auto"/>
                <w:sz w:val="21"/>
                <w:szCs w:val="21"/>
              </w:rPr>
              <w:t>对比检查项目</w:t>
            </w:r>
          </w:p>
        </w:tc>
        <w:tc>
          <w:tcPr>
            <w:tcW w:w="2552" w:type="dxa"/>
            <w:gridSpan w:val="3"/>
            <w:shd w:val="clear" w:color="auto" w:fill="FFFFFF"/>
            <w:vAlign w:val="center"/>
          </w:tcPr>
          <w:p>
            <w:pPr>
              <w:spacing w:line="360" w:lineRule="auto"/>
              <w:jc w:val="center"/>
              <w:rPr>
                <w:rFonts w:ascii="宋体" w:hAnsi="宋体" w:eastAsia="宋体"/>
                <w:b/>
                <w:color w:val="auto"/>
                <w:sz w:val="21"/>
                <w:szCs w:val="21"/>
              </w:rPr>
            </w:pPr>
            <w:r>
              <w:rPr>
                <w:rFonts w:ascii="宋体" w:hAnsi="宋体" w:eastAsia="宋体"/>
                <w:b/>
                <w:color w:val="auto"/>
                <w:sz w:val="21"/>
                <w:szCs w:val="21"/>
              </w:rPr>
              <w:t>上次领证时的情况</w:t>
            </w:r>
          </w:p>
        </w:tc>
        <w:tc>
          <w:tcPr>
            <w:tcW w:w="2693" w:type="dxa"/>
            <w:gridSpan w:val="3"/>
            <w:shd w:val="clear" w:color="auto" w:fill="FFFFFF"/>
            <w:vAlign w:val="center"/>
          </w:tcPr>
          <w:p>
            <w:pPr>
              <w:spacing w:line="360" w:lineRule="auto"/>
              <w:jc w:val="center"/>
              <w:rPr>
                <w:rFonts w:ascii="宋体" w:hAnsi="宋体" w:eastAsia="宋体"/>
                <w:b/>
                <w:color w:val="auto"/>
                <w:sz w:val="21"/>
                <w:szCs w:val="21"/>
              </w:rPr>
            </w:pPr>
            <w:r>
              <w:rPr>
                <w:rFonts w:ascii="宋体" w:hAnsi="宋体" w:eastAsia="宋体"/>
                <w:b/>
                <w:color w:val="auto"/>
                <w:sz w:val="21"/>
                <w:szCs w:val="21"/>
              </w:rPr>
              <w:t>目前的情况</w:t>
            </w:r>
          </w:p>
        </w:tc>
        <w:tc>
          <w:tcPr>
            <w:tcW w:w="1134" w:type="dxa"/>
            <w:shd w:val="clear" w:color="auto" w:fill="FFFFFF"/>
            <w:vAlign w:val="center"/>
          </w:tcPr>
          <w:p>
            <w:pPr>
              <w:spacing w:line="360" w:lineRule="auto"/>
              <w:jc w:val="center"/>
              <w:rPr>
                <w:rFonts w:ascii="宋体" w:hAnsi="宋体" w:eastAsia="宋体"/>
                <w:b/>
                <w:color w:val="auto"/>
                <w:sz w:val="21"/>
                <w:szCs w:val="21"/>
              </w:rPr>
            </w:pPr>
            <w:r>
              <w:rPr>
                <w:rFonts w:ascii="宋体" w:hAnsi="宋体" w:eastAsia="宋体"/>
                <w:b/>
                <w:color w:val="auto"/>
                <w:sz w:val="21"/>
                <w:szCs w:val="21"/>
              </w:rPr>
              <w:t>备注或</w:t>
            </w:r>
          </w:p>
          <w:p>
            <w:pPr>
              <w:spacing w:line="360" w:lineRule="auto"/>
              <w:jc w:val="center"/>
              <w:rPr>
                <w:rFonts w:ascii="宋体" w:hAnsi="宋体" w:eastAsia="宋体"/>
                <w:b/>
                <w:color w:val="auto"/>
                <w:sz w:val="21"/>
                <w:szCs w:val="21"/>
              </w:rPr>
            </w:pPr>
            <w:r>
              <w:rPr>
                <w:rFonts w:ascii="宋体" w:hAnsi="宋体" w:eastAsia="宋体"/>
                <w:b/>
                <w:color w:val="auto"/>
                <w:sz w:val="21"/>
                <w:szCs w:val="21"/>
              </w:rPr>
              <w:t>说明</w:t>
            </w:r>
          </w:p>
        </w:tc>
        <w:tc>
          <w:tcPr>
            <w:tcW w:w="1108" w:type="dxa"/>
            <w:shd w:val="clear" w:color="auto" w:fill="FFFFFF"/>
            <w:vAlign w:val="center"/>
          </w:tcPr>
          <w:p>
            <w:pPr>
              <w:spacing w:line="360" w:lineRule="auto"/>
              <w:jc w:val="center"/>
              <w:rPr>
                <w:rFonts w:ascii="宋体" w:hAnsi="宋体" w:eastAsia="宋体"/>
                <w:b/>
                <w:color w:val="auto"/>
                <w:sz w:val="21"/>
                <w:szCs w:val="21"/>
              </w:rPr>
            </w:pPr>
            <w:r>
              <w:rPr>
                <w:rFonts w:ascii="宋体" w:hAnsi="宋体" w:eastAsia="宋体"/>
                <w:b/>
                <w:color w:val="auto"/>
                <w:sz w:val="21"/>
                <w:szCs w:val="21"/>
              </w:rPr>
              <w:t>是否改变</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150" w:hRule="atLeast"/>
        </w:trPr>
        <w:tc>
          <w:tcPr>
            <w:tcW w:w="594" w:type="dxa"/>
            <w:tcBorders>
              <w:bottom w:val="single" w:color="auto" w:sz="4" w:space="0"/>
            </w:tcBorders>
            <w:shd w:val="clear" w:color="auto" w:fill="FFFFFF"/>
            <w:vAlign w:val="center"/>
          </w:tcPr>
          <w:p>
            <w:pPr>
              <w:spacing w:line="360" w:lineRule="auto"/>
              <w:jc w:val="center"/>
              <w:rPr>
                <w:rFonts w:ascii="宋体" w:hAnsi="宋体" w:eastAsia="宋体"/>
                <w:color w:val="auto"/>
                <w:sz w:val="21"/>
                <w:szCs w:val="21"/>
              </w:rPr>
            </w:pPr>
          </w:p>
        </w:tc>
        <w:tc>
          <w:tcPr>
            <w:tcW w:w="1117" w:type="dxa"/>
            <w:tcBorders>
              <w:bottom w:val="single" w:color="auto" w:sz="4" w:space="0"/>
            </w:tcBorders>
            <w:shd w:val="clear" w:color="auto" w:fill="FFFFFF"/>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企业名称</w:t>
            </w:r>
          </w:p>
        </w:tc>
        <w:tc>
          <w:tcPr>
            <w:tcW w:w="2552" w:type="dxa"/>
            <w:gridSpan w:val="3"/>
            <w:tcBorders>
              <w:bottom w:val="single" w:color="auto" w:sz="4" w:space="0"/>
            </w:tcBorders>
            <w:shd w:val="clear" w:color="auto" w:fill="FFFFFF"/>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东莞市华龙实业有限公司</w:t>
            </w:r>
          </w:p>
        </w:tc>
        <w:tc>
          <w:tcPr>
            <w:tcW w:w="2693" w:type="dxa"/>
            <w:gridSpan w:val="3"/>
            <w:tcBorders>
              <w:bottom w:val="single" w:color="auto" w:sz="4" w:space="0"/>
            </w:tcBorders>
            <w:shd w:val="clear" w:color="auto" w:fill="FFFFFF"/>
            <w:vAlign w:val="center"/>
          </w:tcPr>
          <w:p>
            <w:pPr>
              <w:spacing w:line="360" w:lineRule="auto"/>
              <w:jc w:val="center"/>
              <w:rPr>
                <w:rFonts w:ascii="宋体" w:hAnsi="宋体" w:eastAsia="宋体"/>
                <w:color w:val="auto"/>
                <w:sz w:val="21"/>
                <w:szCs w:val="21"/>
              </w:rPr>
            </w:pPr>
            <w:r>
              <w:rPr>
                <w:rFonts w:hint="eastAsia" w:ascii="宋体" w:hAnsi="宋体" w:eastAsia="宋体"/>
                <w:color w:val="auto"/>
                <w:sz w:val="21"/>
                <w:szCs w:val="21"/>
                <w:lang w:eastAsia="zh-CN"/>
              </w:rPr>
              <w:t>东莞市华龙实业有限公司</w:t>
            </w:r>
          </w:p>
        </w:tc>
        <w:tc>
          <w:tcPr>
            <w:tcW w:w="1134" w:type="dxa"/>
            <w:tcBorders>
              <w:bottom w:val="single" w:color="auto" w:sz="4" w:space="0"/>
            </w:tcBorders>
            <w:shd w:val="clear" w:color="auto" w:fill="FFFFFF"/>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w:t>
            </w:r>
          </w:p>
        </w:tc>
        <w:tc>
          <w:tcPr>
            <w:tcW w:w="1108" w:type="dxa"/>
            <w:tcBorders>
              <w:bottom w:val="single" w:color="auto" w:sz="4" w:space="0"/>
            </w:tcBorders>
            <w:shd w:val="clear" w:color="auto" w:fill="FFFFFF"/>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无变化</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242" w:hRule="atLeast"/>
        </w:trPr>
        <w:tc>
          <w:tcPr>
            <w:tcW w:w="594" w:type="dxa"/>
            <w:tcBorders>
              <w:top w:val="single" w:color="auto" w:sz="4" w:space="0"/>
              <w:bottom w:val="single" w:color="auto" w:sz="4" w:space="0"/>
            </w:tcBorders>
            <w:shd w:val="clear" w:color="auto" w:fill="FFFFFF"/>
            <w:vAlign w:val="center"/>
          </w:tcPr>
          <w:p>
            <w:pPr>
              <w:spacing w:line="360" w:lineRule="auto"/>
              <w:jc w:val="center"/>
              <w:rPr>
                <w:rFonts w:ascii="宋体" w:hAnsi="宋体" w:eastAsia="宋体"/>
                <w:color w:val="auto"/>
                <w:sz w:val="21"/>
                <w:szCs w:val="21"/>
              </w:rPr>
            </w:pPr>
          </w:p>
        </w:tc>
        <w:tc>
          <w:tcPr>
            <w:tcW w:w="1117" w:type="dxa"/>
            <w:tcBorders>
              <w:top w:val="single" w:color="auto" w:sz="4" w:space="0"/>
              <w:bottom w:val="single" w:color="auto" w:sz="4" w:space="0"/>
            </w:tcBorders>
            <w:shd w:val="clear" w:color="auto" w:fill="FFFFFF"/>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法人代表</w:t>
            </w:r>
          </w:p>
        </w:tc>
        <w:tc>
          <w:tcPr>
            <w:tcW w:w="2552" w:type="dxa"/>
            <w:gridSpan w:val="3"/>
            <w:tcBorders>
              <w:top w:val="single" w:color="auto" w:sz="4" w:space="0"/>
              <w:bottom w:val="single" w:color="auto" w:sz="4" w:space="0"/>
            </w:tcBorders>
            <w:shd w:val="clear" w:color="auto" w:fill="FFFFFF"/>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黄锦斌</w:t>
            </w:r>
          </w:p>
        </w:tc>
        <w:tc>
          <w:tcPr>
            <w:tcW w:w="2693" w:type="dxa"/>
            <w:gridSpan w:val="3"/>
            <w:tcBorders>
              <w:top w:val="single" w:color="auto" w:sz="4" w:space="0"/>
              <w:bottom w:val="single" w:color="auto" w:sz="4" w:space="0"/>
            </w:tcBorders>
            <w:shd w:val="clear" w:color="auto" w:fill="FFFFFF"/>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黄锦斌</w:t>
            </w:r>
          </w:p>
        </w:tc>
        <w:tc>
          <w:tcPr>
            <w:tcW w:w="1134" w:type="dxa"/>
            <w:tcBorders>
              <w:top w:val="single" w:color="auto" w:sz="4" w:space="0"/>
              <w:bottom w:val="single" w:color="auto" w:sz="4" w:space="0"/>
            </w:tcBorders>
            <w:shd w:val="clear" w:color="auto" w:fill="FFFFFF"/>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w:t>
            </w:r>
          </w:p>
        </w:tc>
        <w:tc>
          <w:tcPr>
            <w:tcW w:w="1108" w:type="dxa"/>
            <w:tcBorders>
              <w:top w:val="single" w:color="auto" w:sz="4" w:space="0"/>
              <w:bottom w:val="single" w:color="auto" w:sz="4" w:space="0"/>
            </w:tcBorders>
            <w:shd w:val="clear" w:color="auto" w:fill="FFFFFF"/>
            <w:vAlign w:val="center"/>
          </w:tcPr>
          <w:p>
            <w:pPr>
              <w:spacing w:line="360" w:lineRule="auto"/>
              <w:jc w:val="center"/>
              <w:rPr>
                <w:rFonts w:ascii="宋体" w:hAnsi="宋体" w:eastAsia="宋体"/>
                <w:color w:val="auto"/>
                <w:sz w:val="21"/>
                <w:szCs w:val="21"/>
              </w:rPr>
            </w:pPr>
            <w:r>
              <w:rPr>
                <w:rFonts w:hint="eastAsia" w:ascii="宋体" w:hAnsi="宋体" w:eastAsia="宋体"/>
                <w:color w:val="auto"/>
                <w:sz w:val="21"/>
                <w:szCs w:val="21"/>
                <w:lang w:eastAsia="zh-CN"/>
              </w:rPr>
              <w:t>无变化</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208" w:hRule="atLeast"/>
        </w:trPr>
        <w:tc>
          <w:tcPr>
            <w:tcW w:w="594" w:type="dxa"/>
            <w:tcBorders>
              <w:top w:val="single" w:color="auto" w:sz="4" w:space="0"/>
              <w:bottom w:val="single" w:color="auto" w:sz="4" w:space="0"/>
            </w:tcBorders>
            <w:shd w:val="clear" w:color="auto" w:fill="FFFFFF"/>
            <w:vAlign w:val="center"/>
          </w:tcPr>
          <w:p>
            <w:pPr>
              <w:spacing w:line="360" w:lineRule="auto"/>
              <w:jc w:val="center"/>
              <w:rPr>
                <w:rFonts w:ascii="宋体" w:hAnsi="宋体" w:eastAsia="宋体"/>
                <w:color w:val="auto"/>
                <w:sz w:val="21"/>
                <w:szCs w:val="21"/>
              </w:rPr>
            </w:pPr>
          </w:p>
        </w:tc>
        <w:tc>
          <w:tcPr>
            <w:tcW w:w="1117" w:type="dxa"/>
            <w:tcBorders>
              <w:top w:val="single" w:color="auto" w:sz="4" w:space="0"/>
              <w:bottom w:val="single" w:color="auto" w:sz="4" w:space="0"/>
            </w:tcBorders>
            <w:shd w:val="clear" w:color="auto" w:fill="FFFFFF"/>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主要负责人</w:t>
            </w:r>
          </w:p>
        </w:tc>
        <w:tc>
          <w:tcPr>
            <w:tcW w:w="2552" w:type="dxa"/>
            <w:gridSpan w:val="3"/>
            <w:tcBorders>
              <w:top w:val="single" w:color="auto" w:sz="4" w:space="0"/>
              <w:bottom w:val="single" w:color="auto" w:sz="4" w:space="0"/>
            </w:tcBorders>
            <w:shd w:val="clear" w:color="auto" w:fill="FFFFFF"/>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覃国振</w:t>
            </w:r>
          </w:p>
        </w:tc>
        <w:tc>
          <w:tcPr>
            <w:tcW w:w="2693" w:type="dxa"/>
            <w:gridSpan w:val="3"/>
            <w:tcBorders>
              <w:top w:val="single" w:color="auto" w:sz="4" w:space="0"/>
              <w:bottom w:val="single" w:color="auto" w:sz="4" w:space="0"/>
            </w:tcBorders>
            <w:shd w:val="clear" w:color="auto" w:fill="FFFFFF"/>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覃国振</w:t>
            </w:r>
          </w:p>
        </w:tc>
        <w:tc>
          <w:tcPr>
            <w:tcW w:w="1134" w:type="dxa"/>
            <w:tcBorders>
              <w:top w:val="single" w:color="auto" w:sz="4" w:space="0"/>
              <w:bottom w:val="single" w:color="auto" w:sz="4" w:space="0"/>
            </w:tcBorders>
            <w:shd w:val="clear" w:color="auto" w:fill="FFFFFF"/>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w:t>
            </w:r>
          </w:p>
        </w:tc>
        <w:tc>
          <w:tcPr>
            <w:tcW w:w="1108" w:type="dxa"/>
            <w:tcBorders>
              <w:top w:val="single" w:color="auto" w:sz="4" w:space="0"/>
              <w:bottom w:val="single" w:color="auto" w:sz="4" w:space="0"/>
            </w:tcBorders>
            <w:shd w:val="clear" w:color="auto" w:fill="FFFFFF"/>
            <w:vAlign w:val="center"/>
          </w:tcPr>
          <w:p>
            <w:pPr>
              <w:spacing w:line="360" w:lineRule="auto"/>
              <w:jc w:val="center"/>
              <w:rPr>
                <w:rFonts w:ascii="宋体" w:hAnsi="宋体" w:eastAsia="宋体"/>
                <w:color w:val="auto"/>
                <w:sz w:val="21"/>
                <w:szCs w:val="21"/>
              </w:rPr>
            </w:pPr>
            <w:r>
              <w:rPr>
                <w:rFonts w:hint="eastAsia" w:ascii="宋体" w:hAnsi="宋体" w:eastAsia="宋体"/>
                <w:color w:val="auto"/>
                <w:sz w:val="21"/>
                <w:szCs w:val="21"/>
                <w:lang w:eastAsia="zh-CN"/>
              </w:rPr>
              <w:t>无变化</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251" w:hRule="atLeast"/>
        </w:trPr>
        <w:tc>
          <w:tcPr>
            <w:tcW w:w="594" w:type="dxa"/>
            <w:tcBorders>
              <w:top w:val="single" w:color="auto" w:sz="4" w:space="0"/>
              <w:bottom w:val="single" w:color="auto" w:sz="4" w:space="0"/>
            </w:tcBorders>
            <w:shd w:val="clear" w:color="auto" w:fill="FFFFFF"/>
            <w:vAlign w:val="center"/>
          </w:tcPr>
          <w:p>
            <w:pPr>
              <w:spacing w:line="360" w:lineRule="auto"/>
              <w:jc w:val="center"/>
              <w:rPr>
                <w:rFonts w:ascii="宋体" w:hAnsi="宋体" w:eastAsia="宋体"/>
                <w:color w:val="auto"/>
                <w:sz w:val="21"/>
                <w:szCs w:val="21"/>
              </w:rPr>
            </w:pPr>
          </w:p>
        </w:tc>
        <w:tc>
          <w:tcPr>
            <w:tcW w:w="1117" w:type="dxa"/>
            <w:tcBorders>
              <w:top w:val="single" w:color="auto" w:sz="4" w:space="0"/>
              <w:bottom w:val="single" w:color="auto" w:sz="4" w:space="0"/>
            </w:tcBorders>
            <w:shd w:val="clear" w:color="auto" w:fill="FFFFFF"/>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许可范围</w:t>
            </w:r>
          </w:p>
        </w:tc>
        <w:tc>
          <w:tcPr>
            <w:tcW w:w="2552" w:type="dxa"/>
            <w:gridSpan w:val="3"/>
            <w:tcBorders>
              <w:top w:val="single" w:color="auto" w:sz="4" w:space="0"/>
              <w:bottom w:val="single" w:color="auto" w:sz="4" w:space="0"/>
            </w:tcBorders>
            <w:shd w:val="clear" w:color="auto" w:fill="FFFFFF"/>
            <w:vAlign w:val="center"/>
          </w:tcPr>
          <w:p>
            <w:pPr>
              <w:spacing w:line="360" w:lineRule="auto"/>
              <w:jc w:val="both"/>
              <w:rPr>
                <w:rFonts w:ascii="宋体" w:hAnsi="宋体" w:eastAsia="宋体"/>
                <w:color w:val="auto"/>
                <w:sz w:val="21"/>
                <w:szCs w:val="21"/>
                <w:lang w:eastAsia="zh-CN"/>
              </w:rPr>
            </w:pPr>
            <w:r>
              <w:rPr>
                <w:rFonts w:hint="eastAsia" w:ascii="宋体" w:hAnsi="宋体" w:eastAsia="宋体"/>
                <w:color w:val="auto"/>
                <w:sz w:val="21"/>
                <w:szCs w:val="21"/>
                <w:lang w:eastAsia="zh-CN"/>
              </w:rPr>
              <w:t>含易燃溶剂的合成树脂、油漆、辅助材料、涂料等制品[闭杯闪点≤60℃]（2828），硝基漆稀释剂300吨/年、硝基清漆300吨/年、聚酯树脂清漆600吨/年、聚氨酯漆稀释剂300吨/年***</w:t>
            </w:r>
          </w:p>
        </w:tc>
        <w:tc>
          <w:tcPr>
            <w:tcW w:w="2693" w:type="dxa"/>
            <w:gridSpan w:val="3"/>
            <w:tcBorders>
              <w:top w:val="single" w:color="auto" w:sz="4" w:space="0"/>
              <w:bottom w:val="single" w:color="auto" w:sz="4" w:space="0"/>
            </w:tcBorders>
            <w:shd w:val="clear" w:color="auto" w:fill="FFFFFF"/>
            <w:vAlign w:val="center"/>
          </w:tcPr>
          <w:p>
            <w:pPr>
              <w:spacing w:line="360" w:lineRule="auto"/>
              <w:jc w:val="both"/>
              <w:rPr>
                <w:rFonts w:ascii="宋体" w:hAnsi="宋体" w:eastAsia="宋体"/>
                <w:color w:val="auto"/>
                <w:sz w:val="21"/>
                <w:szCs w:val="21"/>
                <w:lang w:eastAsia="zh-CN"/>
              </w:rPr>
            </w:pPr>
            <w:r>
              <w:rPr>
                <w:rFonts w:hint="eastAsia" w:ascii="宋体" w:hAnsi="宋体" w:eastAsia="宋体"/>
                <w:color w:val="auto"/>
                <w:sz w:val="21"/>
                <w:szCs w:val="21"/>
                <w:lang w:eastAsia="zh-CN"/>
              </w:rPr>
              <w:t>含易燃溶剂的合成树脂、油漆、辅助材料、涂料等制品[闭杯闪点≤60℃]（2828），硝基漆稀释剂300吨/年、硝基清漆300吨/年、聚酯树脂清漆600吨/年、聚氨酯漆稀释剂300吨/年***</w:t>
            </w:r>
          </w:p>
        </w:tc>
        <w:tc>
          <w:tcPr>
            <w:tcW w:w="1134" w:type="dxa"/>
            <w:tcBorders>
              <w:top w:val="single" w:color="auto" w:sz="4" w:space="0"/>
              <w:bottom w:val="single" w:color="auto" w:sz="4" w:space="0"/>
            </w:tcBorders>
            <w:shd w:val="clear" w:color="auto" w:fill="FFFFFF"/>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w:t>
            </w:r>
          </w:p>
        </w:tc>
        <w:tc>
          <w:tcPr>
            <w:tcW w:w="1108" w:type="dxa"/>
            <w:tcBorders>
              <w:top w:val="single" w:color="auto" w:sz="4" w:space="0"/>
              <w:bottom w:val="single" w:color="auto" w:sz="4" w:space="0"/>
            </w:tcBorders>
            <w:shd w:val="clear" w:color="auto" w:fill="FFFFFF"/>
            <w:vAlign w:val="center"/>
          </w:tcPr>
          <w:p>
            <w:pPr>
              <w:spacing w:line="360" w:lineRule="auto"/>
              <w:jc w:val="center"/>
              <w:rPr>
                <w:rFonts w:ascii="宋体" w:hAnsi="宋体" w:eastAsia="宋体"/>
                <w:color w:val="auto"/>
                <w:sz w:val="21"/>
                <w:szCs w:val="21"/>
              </w:rPr>
            </w:pPr>
            <w:r>
              <w:rPr>
                <w:rFonts w:hint="eastAsia" w:ascii="宋体" w:hAnsi="宋体" w:eastAsia="宋体"/>
                <w:color w:val="auto"/>
                <w:sz w:val="21"/>
                <w:szCs w:val="21"/>
                <w:lang w:eastAsia="zh-CN"/>
              </w:rPr>
              <w:t>无变化</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151" w:hRule="atLeast"/>
        </w:trPr>
        <w:tc>
          <w:tcPr>
            <w:tcW w:w="594" w:type="dxa"/>
            <w:tcBorders>
              <w:top w:val="single" w:color="auto" w:sz="4" w:space="0"/>
              <w:bottom w:val="single" w:color="auto" w:sz="4" w:space="0"/>
            </w:tcBorders>
            <w:shd w:val="clear" w:color="auto" w:fill="FFFFFF"/>
            <w:vAlign w:val="center"/>
          </w:tcPr>
          <w:p>
            <w:pPr>
              <w:spacing w:line="360" w:lineRule="auto"/>
              <w:jc w:val="center"/>
              <w:rPr>
                <w:rFonts w:ascii="宋体" w:hAnsi="宋体" w:eastAsia="宋体"/>
                <w:color w:val="auto"/>
                <w:sz w:val="21"/>
                <w:szCs w:val="21"/>
              </w:rPr>
            </w:pPr>
          </w:p>
        </w:tc>
        <w:tc>
          <w:tcPr>
            <w:tcW w:w="1117" w:type="dxa"/>
            <w:tcBorders>
              <w:top w:val="single" w:color="auto" w:sz="4" w:space="0"/>
              <w:bottom w:val="single" w:color="auto" w:sz="4" w:space="0"/>
            </w:tcBorders>
            <w:shd w:val="clear" w:color="auto" w:fill="FFFFFF"/>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生产场所</w:t>
            </w:r>
          </w:p>
        </w:tc>
        <w:tc>
          <w:tcPr>
            <w:tcW w:w="2552" w:type="dxa"/>
            <w:gridSpan w:val="3"/>
            <w:tcBorders>
              <w:top w:val="single" w:color="auto" w:sz="4" w:space="0"/>
              <w:bottom w:val="single" w:color="auto" w:sz="4" w:space="0"/>
            </w:tcBorders>
            <w:shd w:val="clear" w:color="auto" w:fill="FFFFFF"/>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东莞市道滘镇南丫村委会北丫村小组</w:t>
            </w:r>
          </w:p>
        </w:tc>
        <w:tc>
          <w:tcPr>
            <w:tcW w:w="2693" w:type="dxa"/>
            <w:gridSpan w:val="3"/>
            <w:tcBorders>
              <w:top w:val="single" w:color="auto" w:sz="4" w:space="0"/>
              <w:bottom w:val="single" w:color="auto" w:sz="4" w:space="0"/>
            </w:tcBorders>
            <w:shd w:val="clear" w:color="auto" w:fill="FFFFFF"/>
            <w:vAlign w:val="center"/>
          </w:tcPr>
          <w:p>
            <w:pPr>
              <w:spacing w:line="360" w:lineRule="auto"/>
              <w:jc w:val="center"/>
              <w:rPr>
                <w:rFonts w:ascii="宋体" w:hAnsi="宋体" w:eastAsia="宋体"/>
                <w:color w:val="auto"/>
                <w:sz w:val="21"/>
                <w:szCs w:val="21"/>
              </w:rPr>
            </w:pPr>
            <w:r>
              <w:rPr>
                <w:rFonts w:hint="eastAsia" w:ascii="宋体" w:hAnsi="宋体" w:eastAsia="宋体"/>
                <w:color w:val="auto"/>
                <w:sz w:val="21"/>
                <w:szCs w:val="21"/>
                <w:lang w:eastAsia="zh-CN"/>
              </w:rPr>
              <w:t>东莞市道滘镇南丫村委会北丫村小组</w:t>
            </w:r>
          </w:p>
        </w:tc>
        <w:tc>
          <w:tcPr>
            <w:tcW w:w="1134" w:type="dxa"/>
            <w:tcBorders>
              <w:top w:val="single" w:color="auto" w:sz="4" w:space="0"/>
              <w:bottom w:val="single" w:color="auto" w:sz="4" w:space="0"/>
            </w:tcBorders>
            <w:shd w:val="clear" w:color="auto" w:fill="FFFFFF"/>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w:t>
            </w:r>
          </w:p>
        </w:tc>
        <w:tc>
          <w:tcPr>
            <w:tcW w:w="1108" w:type="dxa"/>
            <w:tcBorders>
              <w:top w:val="single" w:color="auto" w:sz="4" w:space="0"/>
              <w:bottom w:val="single" w:color="auto" w:sz="4" w:space="0"/>
            </w:tcBorders>
            <w:shd w:val="clear" w:color="auto" w:fill="FFFFFF"/>
            <w:vAlign w:val="center"/>
          </w:tcPr>
          <w:p>
            <w:pPr>
              <w:spacing w:line="360" w:lineRule="auto"/>
              <w:jc w:val="center"/>
              <w:rPr>
                <w:rFonts w:ascii="宋体" w:hAnsi="宋体" w:eastAsia="宋体"/>
                <w:color w:val="auto"/>
                <w:sz w:val="21"/>
                <w:szCs w:val="21"/>
              </w:rPr>
            </w:pPr>
            <w:r>
              <w:rPr>
                <w:rFonts w:hint="eastAsia" w:ascii="宋体" w:hAnsi="宋体" w:eastAsia="宋体"/>
                <w:color w:val="auto"/>
                <w:sz w:val="21"/>
                <w:szCs w:val="21"/>
                <w:lang w:eastAsia="zh-CN"/>
              </w:rPr>
              <w:t>无变化</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359" w:hRule="atLeast"/>
        </w:trPr>
        <w:tc>
          <w:tcPr>
            <w:tcW w:w="594" w:type="dxa"/>
            <w:vMerge w:val="restart"/>
            <w:tcBorders>
              <w:top w:val="single" w:color="auto" w:sz="4" w:space="0"/>
            </w:tcBorders>
            <w:shd w:val="clear" w:color="auto" w:fill="FFFFFF"/>
            <w:vAlign w:val="center"/>
          </w:tcPr>
          <w:p>
            <w:pPr>
              <w:spacing w:line="360" w:lineRule="auto"/>
              <w:jc w:val="center"/>
              <w:rPr>
                <w:rFonts w:ascii="宋体" w:hAnsi="宋体" w:eastAsia="宋体"/>
                <w:color w:val="auto"/>
                <w:sz w:val="21"/>
                <w:szCs w:val="21"/>
              </w:rPr>
            </w:pPr>
            <w:r>
              <w:rPr>
                <w:rFonts w:ascii="宋体" w:hAnsi="宋体" w:eastAsia="宋体"/>
                <w:color w:val="auto"/>
                <w:sz w:val="21"/>
                <w:szCs w:val="21"/>
              </w:rPr>
              <w:t>1</w:t>
            </w:r>
          </w:p>
        </w:tc>
        <w:tc>
          <w:tcPr>
            <w:tcW w:w="1117" w:type="dxa"/>
            <w:vMerge w:val="restart"/>
            <w:tcBorders>
              <w:top w:val="single" w:color="auto" w:sz="4" w:space="0"/>
            </w:tcBorders>
            <w:shd w:val="clear" w:color="auto" w:fill="FFFFFF"/>
            <w:vAlign w:val="center"/>
          </w:tcPr>
          <w:p>
            <w:pPr>
              <w:spacing w:line="360" w:lineRule="auto"/>
              <w:jc w:val="center"/>
              <w:rPr>
                <w:rFonts w:ascii="宋体" w:hAnsi="宋体" w:eastAsia="宋体"/>
                <w:color w:val="auto"/>
                <w:sz w:val="21"/>
                <w:szCs w:val="21"/>
              </w:rPr>
            </w:pPr>
            <w:r>
              <w:rPr>
                <w:rFonts w:ascii="宋体" w:hAnsi="宋体" w:eastAsia="宋体"/>
                <w:color w:val="auto"/>
                <w:sz w:val="21"/>
                <w:szCs w:val="21"/>
              </w:rPr>
              <w:t>周边环境是否发生变化</w:t>
            </w:r>
          </w:p>
        </w:tc>
        <w:tc>
          <w:tcPr>
            <w:tcW w:w="524" w:type="dxa"/>
            <w:tcBorders>
              <w:top w:val="single" w:color="auto" w:sz="4" w:space="0"/>
            </w:tcBorders>
            <w:shd w:val="clear" w:color="auto" w:fill="FFFFFF"/>
            <w:vAlign w:val="center"/>
          </w:tcPr>
          <w:p>
            <w:pPr>
              <w:spacing w:line="360" w:lineRule="auto"/>
              <w:jc w:val="center"/>
              <w:rPr>
                <w:rFonts w:ascii="宋体" w:hAnsi="宋体" w:eastAsia="宋体"/>
                <w:color w:val="auto"/>
                <w:sz w:val="21"/>
                <w:szCs w:val="21"/>
              </w:rPr>
            </w:pPr>
            <w:r>
              <w:rPr>
                <w:rFonts w:ascii="宋体" w:hAnsi="宋体" w:eastAsia="宋体"/>
                <w:color w:val="auto"/>
                <w:sz w:val="21"/>
                <w:szCs w:val="21"/>
              </w:rPr>
              <w:t>东</w:t>
            </w:r>
          </w:p>
        </w:tc>
        <w:tc>
          <w:tcPr>
            <w:tcW w:w="2028" w:type="dxa"/>
            <w:gridSpan w:val="2"/>
            <w:tcBorders>
              <w:top w:val="single" w:color="auto" w:sz="4" w:space="0"/>
            </w:tcBorders>
            <w:shd w:val="clear" w:color="auto" w:fill="FFFFFF"/>
            <w:vAlign w:val="center"/>
          </w:tcPr>
          <w:p>
            <w:pPr>
              <w:spacing w:line="360" w:lineRule="auto"/>
              <w:jc w:val="center"/>
              <w:rPr>
                <w:rFonts w:ascii="宋体" w:hAnsi="宋体" w:eastAsia="宋体"/>
                <w:color w:val="auto"/>
                <w:sz w:val="21"/>
                <w:szCs w:val="21"/>
                <w:lang w:eastAsia="zh-CN"/>
              </w:rPr>
            </w:pPr>
            <w:r>
              <w:rPr>
                <w:rFonts w:ascii="宋体" w:hAnsi="宋体" w:eastAsia="宋体"/>
                <w:color w:val="auto"/>
                <w:sz w:val="21"/>
                <w:szCs w:val="21"/>
              </w:rPr>
              <w:t>围墙外为</w:t>
            </w:r>
            <w:r>
              <w:rPr>
                <w:rFonts w:hint="eastAsia" w:ascii="宋体" w:hAnsi="宋体" w:eastAsia="宋体"/>
                <w:color w:val="auto"/>
                <w:sz w:val="21"/>
                <w:szCs w:val="21"/>
                <w:lang w:eastAsia="zh-CN"/>
              </w:rPr>
              <w:t>兴隆纸厂</w:t>
            </w:r>
          </w:p>
        </w:tc>
        <w:tc>
          <w:tcPr>
            <w:tcW w:w="566" w:type="dxa"/>
            <w:tcBorders>
              <w:top w:val="single" w:color="auto" w:sz="4" w:space="0"/>
            </w:tcBorders>
            <w:shd w:val="clear" w:color="auto" w:fill="FFFFFF"/>
            <w:vAlign w:val="center"/>
          </w:tcPr>
          <w:p>
            <w:pPr>
              <w:spacing w:line="360" w:lineRule="auto"/>
              <w:jc w:val="center"/>
              <w:rPr>
                <w:rFonts w:ascii="宋体" w:hAnsi="宋体" w:eastAsia="宋体"/>
                <w:color w:val="auto"/>
                <w:sz w:val="21"/>
                <w:szCs w:val="21"/>
              </w:rPr>
            </w:pPr>
            <w:r>
              <w:rPr>
                <w:rFonts w:ascii="宋体" w:hAnsi="宋体" w:eastAsia="宋体"/>
                <w:color w:val="auto"/>
                <w:sz w:val="21"/>
                <w:szCs w:val="21"/>
              </w:rPr>
              <w:t>东</w:t>
            </w:r>
          </w:p>
        </w:tc>
        <w:tc>
          <w:tcPr>
            <w:tcW w:w="2127" w:type="dxa"/>
            <w:gridSpan w:val="2"/>
            <w:tcBorders>
              <w:top w:val="single" w:color="auto" w:sz="4" w:space="0"/>
            </w:tcBorders>
            <w:shd w:val="clear" w:color="auto" w:fill="FFFFFF"/>
            <w:vAlign w:val="center"/>
          </w:tcPr>
          <w:p>
            <w:pPr>
              <w:spacing w:line="360" w:lineRule="auto"/>
              <w:jc w:val="center"/>
              <w:rPr>
                <w:rFonts w:ascii="宋体" w:hAnsi="宋体" w:eastAsia="宋体"/>
                <w:color w:val="auto"/>
                <w:sz w:val="21"/>
                <w:szCs w:val="21"/>
              </w:rPr>
            </w:pPr>
            <w:r>
              <w:rPr>
                <w:rFonts w:ascii="宋体" w:hAnsi="宋体" w:eastAsia="宋体"/>
                <w:color w:val="auto"/>
                <w:sz w:val="21"/>
                <w:szCs w:val="21"/>
              </w:rPr>
              <w:t>围墙外为</w:t>
            </w:r>
            <w:r>
              <w:rPr>
                <w:rFonts w:hint="eastAsia" w:ascii="宋体" w:hAnsi="宋体" w:eastAsia="宋体"/>
                <w:color w:val="auto"/>
                <w:sz w:val="21"/>
                <w:szCs w:val="21"/>
                <w:lang w:eastAsia="zh-CN"/>
              </w:rPr>
              <w:t>兴隆纸厂</w:t>
            </w:r>
          </w:p>
        </w:tc>
        <w:tc>
          <w:tcPr>
            <w:tcW w:w="1134" w:type="dxa"/>
            <w:vMerge w:val="restart"/>
            <w:tcBorders>
              <w:top w:val="single" w:color="auto" w:sz="4" w:space="0"/>
            </w:tcBorders>
            <w:shd w:val="clear" w:color="auto" w:fill="FFFFFF"/>
            <w:vAlign w:val="center"/>
          </w:tcPr>
          <w:p>
            <w:pPr>
              <w:spacing w:line="360" w:lineRule="auto"/>
              <w:jc w:val="center"/>
              <w:rPr>
                <w:rFonts w:ascii="宋体" w:hAnsi="宋体" w:eastAsia="宋体"/>
                <w:color w:val="auto"/>
                <w:sz w:val="21"/>
                <w:szCs w:val="21"/>
              </w:rPr>
            </w:pPr>
            <w:r>
              <w:rPr>
                <w:rFonts w:ascii="宋体" w:hAnsi="宋体" w:eastAsia="宋体"/>
                <w:color w:val="auto"/>
                <w:sz w:val="21"/>
                <w:szCs w:val="21"/>
              </w:rPr>
              <w:t>与厂区内生产车间、仓库的间距符合要求。具体见“2.1.3周边环境”一节</w:t>
            </w:r>
          </w:p>
        </w:tc>
        <w:tc>
          <w:tcPr>
            <w:tcW w:w="1108" w:type="dxa"/>
            <w:tcBorders>
              <w:top w:val="single" w:color="auto" w:sz="4" w:space="0"/>
            </w:tcBorders>
            <w:shd w:val="clear" w:color="auto" w:fill="FFFFFF"/>
            <w:vAlign w:val="center"/>
          </w:tcPr>
          <w:p>
            <w:pPr>
              <w:spacing w:line="360" w:lineRule="auto"/>
              <w:jc w:val="center"/>
              <w:rPr>
                <w:rFonts w:ascii="宋体" w:hAnsi="宋体" w:eastAsia="宋体"/>
                <w:color w:val="auto"/>
                <w:sz w:val="21"/>
                <w:szCs w:val="21"/>
              </w:rPr>
            </w:pPr>
            <w:r>
              <w:rPr>
                <w:rFonts w:hint="eastAsia" w:ascii="宋体" w:hAnsi="宋体" w:eastAsia="宋体"/>
                <w:color w:val="auto"/>
                <w:sz w:val="21"/>
                <w:szCs w:val="21"/>
                <w:lang w:eastAsia="zh-CN"/>
              </w:rPr>
              <w:t>无变化</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trPr>
        <w:tc>
          <w:tcPr>
            <w:tcW w:w="594" w:type="dxa"/>
            <w:vMerge w:val="continue"/>
            <w:shd w:val="clear" w:color="auto" w:fill="FFFFFF"/>
            <w:vAlign w:val="center"/>
          </w:tcPr>
          <w:p>
            <w:pPr>
              <w:spacing w:line="360" w:lineRule="auto"/>
              <w:jc w:val="center"/>
              <w:rPr>
                <w:rFonts w:ascii="宋体" w:hAnsi="宋体" w:eastAsia="宋体"/>
                <w:color w:val="auto"/>
                <w:sz w:val="21"/>
                <w:szCs w:val="21"/>
              </w:rPr>
            </w:pPr>
          </w:p>
        </w:tc>
        <w:tc>
          <w:tcPr>
            <w:tcW w:w="1117" w:type="dxa"/>
            <w:vMerge w:val="continue"/>
            <w:shd w:val="clear" w:color="auto" w:fill="FFFFFF"/>
            <w:vAlign w:val="center"/>
          </w:tcPr>
          <w:p>
            <w:pPr>
              <w:spacing w:line="360" w:lineRule="auto"/>
              <w:jc w:val="center"/>
              <w:rPr>
                <w:rFonts w:ascii="宋体" w:hAnsi="宋体" w:eastAsia="宋体"/>
                <w:color w:val="auto"/>
                <w:sz w:val="21"/>
                <w:szCs w:val="21"/>
              </w:rPr>
            </w:pPr>
          </w:p>
        </w:tc>
        <w:tc>
          <w:tcPr>
            <w:tcW w:w="524" w:type="dxa"/>
            <w:shd w:val="clear" w:color="auto" w:fill="FFFFFF"/>
            <w:vAlign w:val="center"/>
          </w:tcPr>
          <w:p>
            <w:pPr>
              <w:spacing w:line="360" w:lineRule="auto"/>
              <w:jc w:val="center"/>
              <w:rPr>
                <w:rFonts w:ascii="宋体" w:hAnsi="宋体" w:eastAsia="宋体"/>
                <w:color w:val="auto"/>
                <w:sz w:val="21"/>
                <w:szCs w:val="21"/>
              </w:rPr>
            </w:pPr>
            <w:r>
              <w:rPr>
                <w:rFonts w:ascii="宋体" w:hAnsi="宋体" w:eastAsia="宋体"/>
                <w:color w:val="auto"/>
                <w:sz w:val="21"/>
                <w:szCs w:val="21"/>
              </w:rPr>
              <w:t>南</w:t>
            </w:r>
          </w:p>
        </w:tc>
        <w:tc>
          <w:tcPr>
            <w:tcW w:w="2028" w:type="dxa"/>
            <w:gridSpan w:val="2"/>
            <w:shd w:val="clear" w:color="auto" w:fill="FFFFFF"/>
            <w:vAlign w:val="center"/>
          </w:tcPr>
          <w:p>
            <w:pPr>
              <w:spacing w:line="360" w:lineRule="auto"/>
              <w:jc w:val="center"/>
              <w:rPr>
                <w:rFonts w:ascii="宋体" w:hAnsi="宋体" w:eastAsia="宋体"/>
                <w:color w:val="auto"/>
                <w:sz w:val="21"/>
                <w:szCs w:val="21"/>
                <w:lang w:eastAsia="zh-CN"/>
              </w:rPr>
            </w:pPr>
            <w:r>
              <w:rPr>
                <w:rFonts w:ascii="宋体" w:hAnsi="宋体" w:eastAsia="宋体"/>
                <w:color w:val="auto"/>
                <w:sz w:val="21"/>
                <w:szCs w:val="21"/>
              </w:rPr>
              <w:t>围墙外为</w:t>
            </w:r>
            <w:r>
              <w:rPr>
                <w:rFonts w:hint="eastAsia" w:ascii="宋体" w:hAnsi="宋体" w:eastAsia="宋体"/>
                <w:color w:val="auto"/>
                <w:sz w:val="21"/>
                <w:szCs w:val="21"/>
                <w:lang w:eastAsia="zh-CN"/>
              </w:rPr>
              <w:t>东莞美登人造革有限公司</w:t>
            </w:r>
          </w:p>
        </w:tc>
        <w:tc>
          <w:tcPr>
            <w:tcW w:w="566" w:type="dxa"/>
            <w:shd w:val="clear" w:color="auto" w:fill="FFFFFF"/>
            <w:vAlign w:val="center"/>
          </w:tcPr>
          <w:p>
            <w:pPr>
              <w:spacing w:line="360" w:lineRule="auto"/>
              <w:jc w:val="center"/>
              <w:rPr>
                <w:rFonts w:ascii="宋体" w:hAnsi="宋体" w:eastAsia="宋体"/>
                <w:color w:val="auto"/>
                <w:sz w:val="21"/>
                <w:szCs w:val="21"/>
              </w:rPr>
            </w:pPr>
            <w:r>
              <w:rPr>
                <w:rFonts w:ascii="宋体" w:hAnsi="宋体" w:eastAsia="宋体"/>
                <w:color w:val="auto"/>
                <w:sz w:val="21"/>
                <w:szCs w:val="21"/>
              </w:rPr>
              <w:t>南</w:t>
            </w:r>
          </w:p>
        </w:tc>
        <w:tc>
          <w:tcPr>
            <w:tcW w:w="2127" w:type="dxa"/>
            <w:gridSpan w:val="2"/>
            <w:shd w:val="clear" w:color="auto" w:fill="FFFFFF"/>
            <w:vAlign w:val="center"/>
          </w:tcPr>
          <w:p>
            <w:pPr>
              <w:spacing w:line="360" w:lineRule="auto"/>
              <w:jc w:val="center"/>
              <w:rPr>
                <w:rFonts w:ascii="宋体" w:hAnsi="宋体" w:eastAsia="宋体"/>
                <w:color w:val="auto"/>
                <w:sz w:val="21"/>
                <w:szCs w:val="21"/>
              </w:rPr>
            </w:pPr>
            <w:r>
              <w:rPr>
                <w:rFonts w:ascii="宋体" w:hAnsi="宋体" w:eastAsia="宋体"/>
                <w:color w:val="auto"/>
                <w:sz w:val="21"/>
                <w:szCs w:val="21"/>
              </w:rPr>
              <w:t>围墙外为</w:t>
            </w:r>
            <w:r>
              <w:rPr>
                <w:rFonts w:hint="eastAsia" w:ascii="宋体" w:hAnsi="宋体" w:eastAsia="宋体"/>
                <w:color w:val="auto"/>
                <w:sz w:val="21"/>
                <w:szCs w:val="21"/>
                <w:lang w:eastAsia="zh-CN"/>
              </w:rPr>
              <w:t>东莞美登人造革有限公司</w:t>
            </w:r>
          </w:p>
        </w:tc>
        <w:tc>
          <w:tcPr>
            <w:tcW w:w="1134" w:type="dxa"/>
            <w:vMerge w:val="continue"/>
            <w:shd w:val="clear" w:color="auto" w:fill="FFFFFF"/>
            <w:vAlign w:val="center"/>
          </w:tcPr>
          <w:p>
            <w:pPr>
              <w:spacing w:line="360" w:lineRule="auto"/>
              <w:jc w:val="center"/>
              <w:rPr>
                <w:rFonts w:ascii="宋体" w:hAnsi="宋体" w:eastAsia="宋体"/>
                <w:color w:val="auto"/>
                <w:sz w:val="21"/>
                <w:szCs w:val="21"/>
              </w:rPr>
            </w:pPr>
          </w:p>
        </w:tc>
        <w:tc>
          <w:tcPr>
            <w:tcW w:w="1108" w:type="dxa"/>
            <w:shd w:val="clear" w:color="auto" w:fill="FFFFFF"/>
            <w:vAlign w:val="center"/>
          </w:tcPr>
          <w:p>
            <w:pPr>
              <w:spacing w:line="360" w:lineRule="auto"/>
              <w:jc w:val="center"/>
              <w:rPr>
                <w:rFonts w:ascii="宋体" w:hAnsi="宋体" w:eastAsia="宋体"/>
                <w:color w:val="auto"/>
                <w:sz w:val="21"/>
                <w:szCs w:val="21"/>
              </w:rPr>
            </w:pPr>
            <w:r>
              <w:rPr>
                <w:rFonts w:hint="eastAsia" w:ascii="宋体" w:hAnsi="宋体" w:eastAsia="宋体"/>
                <w:color w:val="auto"/>
                <w:sz w:val="21"/>
                <w:szCs w:val="21"/>
                <w:lang w:eastAsia="zh-CN"/>
              </w:rPr>
              <w:t>无变化</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trPr>
        <w:tc>
          <w:tcPr>
            <w:tcW w:w="594" w:type="dxa"/>
            <w:vMerge w:val="continue"/>
            <w:shd w:val="clear" w:color="auto" w:fill="FFFFFF"/>
            <w:vAlign w:val="center"/>
          </w:tcPr>
          <w:p>
            <w:pPr>
              <w:spacing w:line="360" w:lineRule="auto"/>
              <w:jc w:val="center"/>
              <w:rPr>
                <w:rFonts w:ascii="宋体" w:hAnsi="宋体" w:eastAsia="宋体"/>
                <w:color w:val="auto"/>
                <w:sz w:val="21"/>
                <w:szCs w:val="21"/>
              </w:rPr>
            </w:pPr>
          </w:p>
        </w:tc>
        <w:tc>
          <w:tcPr>
            <w:tcW w:w="1117" w:type="dxa"/>
            <w:vMerge w:val="continue"/>
            <w:shd w:val="clear" w:color="auto" w:fill="FFFFFF"/>
            <w:vAlign w:val="center"/>
          </w:tcPr>
          <w:p>
            <w:pPr>
              <w:spacing w:line="360" w:lineRule="auto"/>
              <w:jc w:val="center"/>
              <w:rPr>
                <w:rFonts w:ascii="宋体" w:hAnsi="宋体" w:eastAsia="宋体"/>
                <w:color w:val="auto"/>
                <w:sz w:val="21"/>
                <w:szCs w:val="21"/>
              </w:rPr>
            </w:pPr>
          </w:p>
        </w:tc>
        <w:tc>
          <w:tcPr>
            <w:tcW w:w="524" w:type="dxa"/>
            <w:shd w:val="clear" w:color="auto" w:fill="FFFFFF"/>
            <w:vAlign w:val="center"/>
          </w:tcPr>
          <w:p>
            <w:pPr>
              <w:spacing w:line="360" w:lineRule="auto"/>
              <w:jc w:val="center"/>
              <w:rPr>
                <w:rFonts w:ascii="宋体" w:hAnsi="宋体" w:eastAsia="宋体"/>
                <w:color w:val="auto"/>
                <w:sz w:val="21"/>
                <w:szCs w:val="21"/>
              </w:rPr>
            </w:pPr>
            <w:r>
              <w:rPr>
                <w:rFonts w:ascii="宋体" w:hAnsi="宋体" w:eastAsia="宋体"/>
                <w:color w:val="auto"/>
                <w:sz w:val="21"/>
                <w:szCs w:val="21"/>
              </w:rPr>
              <w:t>西</w:t>
            </w:r>
          </w:p>
        </w:tc>
        <w:tc>
          <w:tcPr>
            <w:tcW w:w="2028" w:type="dxa"/>
            <w:gridSpan w:val="2"/>
            <w:shd w:val="clear" w:color="auto" w:fill="FFFFFF"/>
            <w:vAlign w:val="center"/>
          </w:tcPr>
          <w:p>
            <w:pPr>
              <w:spacing w:line="360" w:lineRule="auto"/>
              <w:jc w:val="center"/>
              <w:rPr>
                <w:rFonts w:ascii="宋体" w:hAnsi="宋体" w:eastAsia="宋体"/>
                <w:color w:val="auto"/>
                <w:sz w:val="21"/>
                <w:szCs w:val="21"/>
                <w:lang w:eastAsia="zh-CN"/>
              </w:rPr>
            </w:pPr>
            <w:r>
              <w:rPr>
                <w:rFonts w:ascii="宋体" w:hAnsi="宋体" w:eastAsia="宋体"/>
                <w:color w:val="auto"/>
                <w:sz w:val="21"/>
                <w:szCs w:val="21"/>
              </w:rPr>
              <w:t>围墙外</w:t>
            </w:r>
            <w:r>
              <w:rPr>
                <w:rFonts w:hint="eastAsia" w:ascii="宋体" w:hAnsi="宋体" w:eastAsia="宋体"/>
                <w:color w:val="auto"/>
                <w:sz w:val="21"/>
                <w:szCs w:val="21"/>
                <w:lang w:eastAsia="zh-CN"/>
              </w:rPr>
              <w:t>为工业区道路（现为宽5m的水泥小路，不作道路进行评价）</w:t>
            </w:r>
          </w:p>
        </w:tc>
        <w:tc>
          <w:tcPr>
            <w:tcW w:w="566" w:type="dxa"/>
            <w:shd w:val="clear" w:color="auto" w:fill="FFFFFF"/>
            <w:vAlign w:val="center"/>
          </w:tcPr>
          <w:p>
            <w:pPr>
              <w:spacing w:line="360" w:lineRule="auto"/>
              <w:jc w:val="center"/>
              <w:rPr>
                <w:rFonts w:ascii="宋体" w:hAnsi="宋体" w:eastAsia="宋体"/>
                <w:color w:val="auto"/>
                <w:sz w:val="21"/>
                <w:szCs w:val="21"/>
              </w:rPr>
            </w:pPr>
            <w:r>
              <w:rPr>
                <w:rFonts w:ascii="宋体" w:hAnsi="宋体" w:eastAsia="宋体"/>
                <w:color w:val="auto"/>
                <w:sz w:val="21"/>
                <w:szCs w:val="21"/>
              </w:rPr>
              <w:t>西</w:t>
            </w:r>
          </w:p>
        </w:tc>
        <w:tc>
          <w:tcPr>
            <w:tcW w:w="2127" w:type="dxa"/>
            <w:gridSpan w:val="2"/>
            <w:shd w:val="clear" w:color="auto" w:fill="FFFFFF"/>
            <w:vAlign w:val="center"/>
          </w:tcPr>
          <w:p>
            <w:pPr>
              <w:spacing w:line="360" w:lineRule="auto"/>
              <w:jc w:val="center"/>
              <w:rPr>
                <w:rFonts w:ascii="宋体" w:hAnsi="宋体" w:eastAsia="宋体"/>
                <w:color w:val="auto"/>
                <w:sz w:val="21"/>
                <w:szCs w:val="21"/>
                <w:lang w:eastAsia="zh-CN"/>
              </w:rPr>
            </w:pPr>
            <w:r>
              <w:rPr>
                <w:rFonts w:ascii="宋体" w:hAnsi="宋体" w:eastAsia="宋体"/>
                <w:color w:val="auto"/>
                <w:sz w:val="21"/>
                <w:szCs w:val="21"/>
              </w:rPr>
              <w:t>围墙外为</w:t>
            </w:r>
            <w:r>
              <w:rPr>
                <w:rFonts w:hint="eastAsia" w:ascii="宋体" w:hAnsi="宋体" w:eastAsia="宋体"/>
                <w:color w:val="auto"/>
                <w:sz w:val="21"/>
                <w:szCs w:val="21"/>
                <w:lang w:eastAsia="zh-CN"/>
              </w:rPr>
              <w:t>工业区道路，道路另一边为</w:t>
            </w:r>
            <w:r>
              <w:rPr>
                <w:rFonts w:hint="eastAsia" w:ascii="宋体" w:hAnsi="宋体" w:eastAsia="宋体"/>
                <w:color w:val="auto"/>
                <w:sz w:val="21"/>
                <w:szCs w:val="21"/>
              </w:rPr>
              <w:t>中森木业有限公司厂房</w:t>
            </w:r>
          </w:p>
        </w:tc>
        <w:tc>
          <w:tcPr>
            <w:tcW w:w="1134" w:type="dxa"/>
            <w:vMerge w:val="continue"/>
            <w:shd w:val="clear" w:color="auto" w:fill="FFFFFF"/>
            <w:vAlign w:val="center"/>
          </w:tcPr>
          <w:p>
            <w:pPr>
              <w:spacing w:line="360" w:lineRule="auto"/>
              <w:jc w:val="center"/>
              <w:rPr>
                <w:rFonts w:ascii="宋体" w:hAnsi="宋体" w:eastAsia="宋体"/>
                <w:color w:val="auto"/>
                <w:sz w:val="21"/>
                <w:szCs w:val="21"/>
              </w:rPr>
            </w:pPr>
          </w:p>
        </w:tc>
        <w:tc>
          <w:tcPr>
            <w:tcW w:w="1108" w:type="dxa"/>
            <w:shd w:val="clear" w:color="auto" w:fill="FFFFFF"/>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有变化，但安全距离符合要求。</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trPr>
        <w:tc>
          <w:tcPr>
            <w:tcW w:w="594" w:type="dxa"/>
            <w:vMerge w:val="continue"/>
            <w:shd w:val="clear" w:color="auto" w:fill="FFFFFF"/>
            <w:vAlign w:val="center"/>
          </w:tcPr>
          <w:p>
            <w:pPr>
              <w:spacing w:line="360" w:lineRule="auto"/>
              <w:jc w:val="center"/>
              <w:rPr>
                <w:rFonts w:ascii="宋体" w:hAnsi="宋体" w:eastAsia="宋体"/>
                <w:color w:val="auto"/>
                <w:sz w:val="21"/>
                <w:szCs w:val="21"/>
              </w:rPr>
            </w:pPr>
          </w:p>
        </w:tc>
        <w:tc>
          <w:tcPr>
            <w:tcW w:w="1117" w:type="dxa"/>
            <w:vMerge w:val="continue"/>
            <w:shd w:val="clear" w:color="auto" w:fill="FFFFFF"/>
            <w:vAlign w:val="center"/>
          </w:tcPr>
          <w:p>
            <w:pPr>
              <w:spacing w:line="360" w:lineRule="auto"/>
              <w:jc w:val="center"/>
              <w:rPr>
                <w:rFonts w:ascii="宋体" w:hAnsi="宋体" w:eastAsia="宋体"/>
                <w:color w:val="auto"/>
                <w:sz w:val="21"/>
                <w:szCs w:val="21"/>
              </w:rPr>
            </w:pPr>
          </w:p>
        </w:tc>
        <w:tc>
          <w:tcPr>
            <w:tcW w:w="524" w:type="dxa"/>
            <w:shd w:val="clear" w:color="auto" w:fill="FFFFFF"/>
            <w:vAlign w:val="center"/>
          </w:tcPr>
          <w:p>
            <w:pPr>
              <w:spacing w:line="360" w:lineRule="auto"/>
              <w:jc w:val="center"/>
              <w:rPr>
                <w:rFonts w:ascii="宋体" w:hAnsi="宋体" w:eastAsia="宋体"/>
                <w:color w:val="auto"/>
                <w:sz w:val="21"/>
                <w:szCs w:val="21"/>
              </w:rPr>
            </w:pPr>
            <w:r>
              <w:rPr>
                <w:rFonts w:ascii="宋体" w:hAnsi="宋体" w:eastAsia="宋体"/>
                <w:color w:val="auto"/>
                <w:sz w:val="21"/>
                <w:szCs w:val="21"/>
              </w:rPr>
              <w:t>北</w:t>
            </w:r>
          </w:p>
        </w:tc>
        <w:tc>
          <w:tcPr>
            <w:tcW w:w="2028" w:type="dxa"/>
            <w:gridSpan w:val="2"/>
            <w:shd w:val="clear" w:color="auto" w:fill="FFFFFF"/>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围墙外为造纸厂污水处理站</w:t>
            </w:r>
          </w:p>
        </w:tc>
        <w:tc>
          <w:tcPr>
            <w:tcW w:w="566" w:type="dxa"/>
            <w:shd w:val="clear" w:color="auto" w:fill="FFFFFF"/>
            <w:vAlign w:val="center"/>
          </w:tcPr>
          <w:p>
            <w:pPr>
              <w:spacing w:line="360" w:lineRule="auto"/>
              <w:jc w:val="center"/>
              <w:rPr>
                <w:rFonts w:ascii="宋体" w:hAnsi="宋体" w:eastAsia="宋体"/>
                <w:color w:val="auto"/>
                <w:sz w:val="21"/>
                <w:szCs w:val="21"/>
              </w:rPr>
            </w:pPr>
            <w:r>
              <w:rPr>
                <w:rFonts w:ascii="宋体" w:hAnsi="宋体" w:eastAsia="宋体"/>
                <w:color w:val="auto"/>
                <w:sz w:val="21"/>
                <w:szCs w:val="21"/>
              </w:rPr>
              <w:t>北</w:t>
            </w:r>
          </w:p>
        </w:tc>
        <w:tc>
          <w:tcPr>
            <w:tcW w:w="2127" w:type="dxa"/>
            <w:gridSpan w:val="2"/>
            <w:shd w:val="clear" w:color="auto" w:fill="FFFFFF"/>
            <w:vAlign w:val="center"/>
          </w:tcPr>
          <w:p>
            <w:pPr>
              <w:spacing w:line="360" w:lineRule="auto"/>
              <w:jc w:val="center"/>
              <w:rPr>
                <w:rFonts w:ascii="宋体" w:hAnsi="宋体" w:eastAsia="宋体"/>
                <w:color w:val="auto"/>
                <w:sz w:val="21"/>
                <w:szCs w:val="21"/>
              </w:rPr>
            </w:pPr>
            <w:r>
              <w:rPr>
                <w:rFonts w:hint="eastAsia" w:ascii="宋体" w:hAnsi="宋体" w:eastAsia="宋体"/>
                <w:color w:val="auto"/>
                <w:sz w:val="21"/>
                <w:szCs w:val="21"/>
                <w:lang w:eastAsia="zh-CN"/>
              </w:rPr>
              <w:t>围墙外为明川胶袋厂</w:t>
            </w:r>
          </w:p>
        </w:tc>
        <w:tc>
          <w:tcPr>
            <w:tcW w:w="1134" w:type="dxa"/>
            <w:vMerge w:val="continue"/>
            <w:shd w:val="clear" w:color="auto" w:fill="FFFFFF"/>
            <w:vAlign w:val="center"/>
          </w:tcPr>
          <w:p>
            <w:pPr>
              <w:spacing w:line="360" w:lineRule="auto"/>
              <w:jc w:val="center"/>
              <w:rPr>
                <w:rFonts w:ascii="宋体" w:hAnsi="宋体" w:eastAsia="宋体"/>
                <w:color w:val="auto"/>
                <w:sz w:val="21"/>
                <w:szCs w:val="21"/>
              </w:rPr>
            </w:pPr>
          </w:p>
        </w:tc>
        <w:tc>
          <w:tcPr>
            <w:tcW w:w="1108" w:type="dxa"/>
            <w:shd w:val="clear" w:color="auto" w:fill="FFFFFF"/>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有变化</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trPr>
        <w:tc>
          <w:tcPr>
            <w:tcW w:w="594" w:type="dxa"/>
            <w:shd w:val="clear" w:color="auto" w:fill="FFFFFF"/>
            <w:vAlign w:val="center"/>
          </w:tcPr>
          <w:p>
            <w:pPr>
              <w:spacing w:line="360" w:lineRule="auto"/>
              <w:jc w:val="center"/>
              <w:rPr>
                <w:rFonts w:ascii="宋体" w:hAnsi="宋体" w:eastAsia="宋体"/>
                <w:color w:val="auto"/>
                <w:sz w:val="21"/>
                <w:szCs w:val="21"/>
              </w:rPr>
            </w:pPr>
            <w:r>
              <w:rPr>
                <w:rFonts w:ascii="宋体" w:hAnsi="宋体" w:eastAsia="宋体"/>
                <w:color w:val="auto"/>
                <w:sz w:val="21"/>
                <w:szCs w:val="21"/>
              </w:rPr>
              <w:t>2</w:t>
            </w:r>
          </w:p>
        </w:tc>
        <w:tc>
          <w:tcPr>
            <w:tcW w:w="1117" w:type="dxa"/>
            <w:shd w:val="clear" w:color="auto" w:fill="FFFFFF"/>
            <w:vAlign w:val="center"/>
          </w:tcPr>
          <w:p>
            <w:pPr>
              <w:spacing w:line="360" w:lineRule="auto"/>
              <w:jc w:val="center"/>
              <w:rPr>
                <w:rFonts w:ascii="宋体" w:hAnsi="宋体" w:eastAsia="宋体"/>
                <w:color w:val="auto"/>
                <w:sz w:val="21"/>
                <w:szCs w:val="21"/>
              </w:rPr>
            </w:pPr>
            <w:r>
              <w:rPr>
                <w:rFonts w:ascii="宋体" w:hAnsi="宋体" w:eastAsia="宋体"/>
                <w:color w:val="auto"/>
                <w:sz w:val="21"/>
                <w:szCs w:val="21"/>
              </w:rPr>
              <w:t>厂内建</w:t>
            </w:r>
          </w:p>
          <w:p>
            <w:pPr>
              <w:spacing w:line="360" w:lineRule="auto"/>
              <w:jc w:val="center"/>
              <w:rPr>
                <w:rFonts w:ascii="宋体" w:hAnsi="宋体" w:eastAsia="宋体"/>
                <w:color w:val="auto"/>
                <w:sz w:val="21"/>
                <w:szCs w:val="21"/>
              </w:rPr>
            </w:pPr>
            <w:r>
              <w:rPr>
                <w:rFonts w:ascii="宋体" w:hAnsi="宋体" w:eastAsia="宋体"/>
                <w:color w:val="auto"/>
                <w:sz w:val="21"/>
                <w:szCs w:val="21"/>
              </w:rPr>
              <w:t>筑物</w:t>
            </w:r>
          </w:p>
        </w:tc>
        <w:tc>
          <w:tcPr>
            <w:tcW w:w="2552" w:type="dxa"/>
            <w:gridSpan w:val="3"/>
            <w:shd w:val="clear" w:color="auto" w:fill="FFFFFF"/>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甲类仓库</w:t>
            </w:r>
            <w:r>
              <w:rPr>
                <w:rFonts w:ascii="宋体" w:hAnsi="宋体" w:eastAsia="宋体"/>
                <w:color w:val="auto"/>
                <w:sz w:val="21"/>
                <w:szCs w:val="21"/>
              </w:rPr>
              <w:t>、</w:t>
            </w:r>
            <w:r>
              <w:rPr>
                <w:rFonts w:hint="eastAsia" w:ascii="宋体" w:hAnsi="宋体" w:eastAsia="宋体"/>
                <w:color w:val="auto"/>
                <w:sz w:val="21"/>
                <w:szCs w:val="21"/>
                <w:lang w:eastAsia="zh-CN"/>
              </w:rPr>
              <w:t>甲类车间、</w:t>
            </w:r>
            <w:r>
              <w:rPr>
                <w:rFonts w:ascii="宋体" w:hAnsi="宋体" w:eastAsia="宋体"/>
                <w:color w:val="auto"/>
                <w:sz w:val="21"/>
                <w:szCs w:val="21"/>
              </w:rPr>
              <w:t>消防泵房、消防水池、事故</w:t>
            </w:r>
            <w:r>
              <w:rPr>
                <w:rFonts w:hint="eastAsia" w:ascii="宋体" w:hAnsi="宋体" w:eastAsia="宋体"/>
                <w:color w:val="auto"/>
                <w:sz w:val="21"/>
                <w:szCs w:val="21"/>
                <w:lang w:eastAsia="zh-CN"/>
              </w:rPr>
              <w:t>应急</w:t>
            </w:r>
            <w:r>
              <w:rPr>
                <w:rFonts w:ascii="宋体" w:hAnsi="宋体" w:eastAsia="宋体"/>
                <w:color w:val="auto"/>
                <w:sz w:val="21"/>
                <w:szCs w:val="21"/>
              </w:rPr>
              <w:t>池</w:t>
            </w:r>
            <w:r>
              <w:rPr>
                <w:rFonts w:hint="eastAsia" w:ascii="宋体" w:hAnsi="宋体" w:eastAsia="宋体"/>
                <w:color w:val="auto"/>
                <w:sz w:val="21"/>
                <w:szCs w:val="21"/>
                <w:lang w:eastAsia="zh-CN"/>
              </w:rPr>
              <w:t>、</w:t>
            </w:r>
            <w:r>
              <w:rPr>
                <w:rFonts w:ascii="宋体" w:hAnsi="宋体" w:eastAsia="宋体"/>
                <w:color w:val="auto"/>
                <w:sz w:val="21"/>
                <w:szCs w:val="21"/>
              </w:rPr>
              <w:t>办公楼</w:t>
            </w:r>
            <w:r>
              <w:rPr>
                <w:rFonts w:hint="eastAsia" w:ascii="宋体" w:hAnsi="宋体" w:eastAsia="宋体"/>
                <w:color w:val="auto"/>
                <w:sz w:val="21"/>
                <w:szCs w:val="21"/>
                <w:lang w:eastAsia="zh-CN"/>
              </w:rPr>
              <w:t>、宿舍楼、配电房。</w:t>
            </w:r>
          </w:p>
        </w:tc>
        <w:tc>
          <w:tcPr>
            <w:tcW w:w="2693" w:type="dxa"/>
            <w:gridSpan w:val="3"/>
            <w:shd w:val="clear" w:color="auto" w:fill="FFFFFF"/>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甲类仓库</w:t>
            </w:r>
            <w:r>
              <w:rPr>
                <w:rFonts w:ascii="宋体" w:hAnsi="宋体" w:eastAsia="宋体"/>
                <w:color w:val="auto"/>
                <w:sz w:val="21"/>
                <w:szCs w:val="21"/>
              </w:rPr>
              <w:t>、</w:t>
            </w:r>
            <w:r>
              <w:rPr>
                <w:rFonts w:hint="eastAsia" w:ascii="宋体" w:hAnsi="宋体" w:eastAsia="宋体"/>
                <w:color w:val="auto"/>
                <w:sz w:val="21"/>
                <w:szCs w:val="21"/>
                <w:lang w:eastAsia="zh-CN"/>
              </w:rPr>
              <w:t>甲类车间、</w:t>
            </w:r>
            <w:r>
              <w:rPr>
                <w:rFonts w:ascii="宋体" w:hAnsi="宋体" w:eastAsia="宋体"/>
                <w:color w:val="auto"/>
                <w:sz w:val="21"/>
                <w:szCs w:val="21"/>
              </w:rPr>
              <w:t>消防泵房、消防水池、事故</w:t>
            </w:r>
            <w:r>
              <w:rPr>
                <w:rFonts w:hint="eastAsia" w:ascii="宋体" w:hAnsi="宋体" w:eastAsia="宋体"/>
                <w:color w:val="auto"/>
                <w:sz w:val="21"/>
                <w:szCs w:val="21"/>
                <w:lang w:eastAsia="zh-CN"/>
              </w:rPr>
              <w:t>应急</w:t>
            </w:r>
            <w:r>
              <w:rPr>
                <w:rFonts w:ascii="宋体" w:hAnsi="宋体" w:eastAsia="宋体"/>
                <w:color w:val="auto"/>
                <w:sz w:val="21"/>
                <w:szCs w:val="21"/>
              </w:rPr>
              <w:t>池</w:t>
            </w:r>
            <w:r>
              <w:rPr>
                <w:rFonts w:hint="eastAsia" w:ascii="宋体" w:hAnsi="宋体" w:eastAsia="宋体"/>
                <w:color w:val="auto"/>
                <w:sz w:val="21"/>
                <w:szCs w:val="21"/>
                <w:lang w:eastAsia="zh-CN"/>
              </w:rPr>
              <w:t>、</w:t>
            </w:r>
            <w:r>
              <w:rPr>
                <w:rFonts w:ascii="宋体" w:hAnsi="宋体" w:eastAsia="宋体"/>
                <w:color w:val="auto"/>
                <w:sz w:val="21"/>
                <w:szCs w:val="21"/>
              </w:rPr>
              <w:t>办公楼</w:t>
            </w:r>
            <w:r>
              <w:rPr>
                <w:rFonts w:hint="eastAsia" w:ascii="宋体" w:hAnsi="宋体" w:eastAsia="宋体"/>
                <w:color w:val="auto"/>
                <w:sz w:val="21"/>
                <w:szCs w:val="21"/>
                <w:lang w:eastAsia="zh-CN"/>
              </w:rPr>
              <w:t>、宿舍楼、配电房。</w:t>
            </w:r>
          </w:p>
        </w:tc>
        <w:tc>
          <w:tcPr>
            <w:tcW w:w="1134" w:type="dxa"/>
            <w:shd w:val="clear" w:color="auto" w:fill="FFFFFF"/>
            <w:vAlign w:val="center"/>
          </w:tcPr>
          <w:p>
            <w:pPr>
              <w:spacing w:line="360" w:lineRule="auto"/>
              <w:jc w:val="center"/>
              <w:rPr>
                <w:rFonts w:ascii="宋体" w:hAnsi="宋体" w:eastAsia="宋体"/>
                <w:color w:val="auto"/>
                <w:sz w:val="21"/>
                <w:szCs w:val="21"/>
              </w:rPr>
            </w:pPr>
            <w:r>
              <w:rPr>
                <w:rFonts w:ascii="宋体" w:hAnsi="宋体" w:eastAsia="宋体"/>
                <w:color w:val="auto"/>
                <w:sz w:val="21"/>
                <w:szCs w:val="21"/>
              </w:rPr>
              <w:t>具体见“2.1.4</w:t>
            </w:r>
            <w:r>
              <w:rPr>
                <w:rFonts w:hint="eastAsia" w:ascii="宋体" w:hAnsi="宋体" w:eastAsia="宋体"/>
                <w:color w:val="auto"/>
                <w:sz w:val="21"/>
                <w:szCs w:val="21"/>
              </w:rPr>
              <w:t>总平面布置</w:t>
            </w:r>
            <w:r>
              <w:rPr>
                <w:rFonts w:ascii="宋体" w:hAnsi="宋体" w:eastAsia="宋体"/>
                <w:color w:val="auto"/>
                <w:sz w:val="21"/>
                <w:szCs w:val="21"/>
              </w:rPr>
              <w:t>”一节</w:t>
            </w:r>
          </w:p>
        </w:tc>
        <w:tc>
          <w:tcPr>
            <w:tcW w:w="1108" w:type="dxa"/>
            <w:shd w:val="clear" w:color="auto" w:fill="FFFFFF"/>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无变化</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trPr>
        <w:tc>
          <w:tcPr>
            <w:tcW w:w="594" w:type="dxa"/>
            <w:shd w:val="clear" w:color="auto" w:fill="FFFFFF"/>
            <w:vAlign w:val="center"/>
          </w:tcPr>
          <w:p>
            <w:pPr>
              <w:spacing w:line="360" w:lineRule="auto"/>
              <w:jc w:val="center"/>
              <w:rPr>
                <w:rFonts w:ascii="宋体" w:hAnsi="宋体" w:eastAsia="宋体"/>
                <w:color w:val="auto"/>
                <w:sz w:val="21"/>
                <w:szCs w:val="21"/>
              </w:rPr>
            </w:pPr>
            <w:r>
              <w:rPr>
                <w:rFonts w:ascii="宋体" w:hAnsi="宋体" w:eastAsia="宋体"/>
                <w:color w:val="auto"/>
                <w:sz w:val="21"/>
                <w:szCs w:val="21"/>
              </w:rPr>
              <w:t>3</w:t>
            </w:r>
          </w:p>
        </w:tc>
        <w:tc>
          <w:tcPr>
            <w:tcW w:w="1117" w:type="dxa"/>
            <w:shd w:val="clear" w:color="auto" w:fill="FFFFFF"/>
            <w:vAlign w:val="center"/>
          </w:tcPr>
          <w:p>
            <w:pPr>
              <w:spacing w:line="360" w:lineRule="auto"/>
              <w:jc w:val="center"/>
              <w:rPr>
                <w:rFonts w:ascii="宋体" w:hAnsi="宋体" w:eastAsia="宋体"/>
                <w:color w:val="auto"/>
                <w:sz w:val="21"/>
                <w:szCs w:val="21"/>
              </w:rPr>
            </w:pPr>
            <w:r>
              <w:rPr>
                <w:rFonts w:ascii="宋体" w:hAnsi="宋体" w:eastAsia="宋体"/>
                <w:color w:val="auto"/>
                <w:sz w:val="21"/>
                <w:szCs w:val="21"/>
              </w:rPr>
              <w:t>设备设施</w:t>
            </w:r>
          </w:p>
        </w:tc>
        <w:tc>
          <w:tcPr>
            <w:tcW w:w="6379" w:type="dxa"/>
            <w:gridSpan w:val="7"/>
            <w:shd w:val="clear" w:color="auto" w:fill="FFFFFF"/>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未增加或减少生产设备</w:t>
            </w:r>
          </w:p>
        </w:tc>
        <w:tc>
          <w:tcPr>
            <w:tcW w:w="1108" w:type="dxa"/>
            <w:shd w:val="clear" w:color="auto" w:fill="FFFFFF"/>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无变化</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trPr>
        <w:tc>
          <w:tcPr>
            <w:tcW w:w="594" w:type="dxa"/>
            <w:shd w:val="clear" w:color="auto" w:fill="FFFFFF"/>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4</w:t>
            </w:r>
          </w:p>
        </w:tc>
        <w:tc>
          <w:tcPr>
            <w:tcW w:w="1117" w:type="dxa"/>
            <w:shd w:val="clear" w:color="auto" w:fill="FFFFFF"/>
            <w:vAlign w:val="center"/>
          </w:tcPr>
          <w:p>
            <w:pPr>
              <w:spacing w:line="360" w:lineRule="auto"/>
              <w:jc w:val="center"/>
              <w:rPr>
                <w:rFonts w:ascii="宋体" w:hAnsi="宋体" w:eastAsia="宋体"/>
                <w:color w:val="auto"/>
                <w:sz w:val="21"/>
                <w:szCs w:val="21"/>
              </w:rPr>
            </w:pPr>
            <w:r>
              <w:rPr>
                <w:rFonts w:hint="eastAsia" w:ascii="宋体" w:hAnsi="宋体" w:eastAsia="宋体"/>
                <w:color w:val="auto"/>
                <w:sz w:val="21"/>
                <w:szCs w:val="21"/>
                <w:lang w:eastAsia="zh-CN"/>
              </w:rPr>
              <w:t>工艺</w:t>
            </w:r>
          </w:p>
        </w:tc>
        <w:tc>
          <w:tcPr>
            <w:tcW w:w="2549" w:type="dxa"/>
            <w:gridSpan w:val="2"/>
            <w:shd w:val="clear" w:color="auto" w:fill="FFFFFF"/>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1）油漆类工艺</w:t>
            </w:r>
          </w:p>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2）稀释剂类工艺</w:t>
            </w:r>
          </w:p>
        </w:tc>
        <w:tc>
          <w:tcPr>
            <w:tcW w:w="2505" w:type="dxa"/>
            <w:gridSpan w:val="3"/>
            <w:shd w:val="clear" w:color="auto" w:fill="FFFFFF"/>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1）油漆类工艺</w:t>
            </w:r>
          </w:p>
          <w:p>
            <w:pPr>
              <w:spacing w:line="360" w:lineRule="auto"/>
              <w:jc w:val="center"/>
              <w:rPr>
                <w:rFonts w:ascii="宋体" w:hAnsi="宋体" w:eastAsia="宋体"/>
                <w:color w:val="auto"/>
                <w:sz w:val="21"/>
                <w:szCs w:val="21"/>
              </w:rPr>
            </w:pPr>
            <w:r>
              <w:rPr>
                <w:rFonts w:hint="eastAsia" w:ascii="宋体" w:hAnsi="宋体" w:eastAsia="宋体"/>
                <w:color w:val="auto"/>
                <w:sz w:val="21"/>
                <w:szCs w:val="21"/>
                <w:lang w:eastAsia="zh-CN"/>
              </w:rPr>
              <w:t>2）稀释剂类工艺</w:t>
            </w:r>
          </w:p>
        </w:tc>
        <w:tc>
          <w:tcPr>
            <w:tcW w:w="1325" w:type="dxa"/>
            <w:gridSpan w:val="2"/>
            <w:shd w:val="clear" w:color="auto" w:fill="FFFFFF"/>
            <w:vAlign w:val="center"/>
          </w:tcPr>
          <w:p>
            <w:pPr>
              <w:spacing w:line="360" w:lineRule="auto"/>
              <w:jc w:val="center"/>
              <w:rPr>
                <w:rFonts w:ascii="宋体" w:hAnsi="宋体" w:eastAsia="宋体"/>
                <w:color w:val="auto"/>
                <w:sz w:val="21"/>
                <w:szCs w:val="21"/>
              </w:rPr>
            </w:pPr>
            <w:r>
              <w:rPr>
                <w:rFonts w:ascii="宋体" w:hAnsi="宋体" w:eastAsia="宋体"/>
                <w:color w:val="auto"/>
                <w:sz w:val="21"/>
                <w:szCs w:val="21"/>
              </w:rPr>
              <w:t>具体见“2</w:t>
            </w:r>
            <w:r>
              <w:rPr>
                <w:rFonts w:hint="eastAsia" w:ascii="宋体" w:hAnsi="宋体" w:eastAsia="宋体"/>
                <w:color w:val="auto"/>
                <w:sz w:val="21"/>
                <w:szCs w:val="21"/>
                <w:lang w:eastAsia="zh-CN"/>
              </w:rPr>
              <w:t>.2.2生产工艺过程</w:t>
            </w:r>
            <w:r>
              <w:rPr>
                <w:rFonts w:ascii="宋体" w:hAnsi="宋体" w:eastAsia="宋体"/>
                <w:color w:val="auto"/>
                <w:sz w:val="21"/>
                <w:szCs w:val="21"/>
              </w:rPr>
              <w:t>”一节</w:t>
            </w:r>
          </w:p>
        </w:tc>
        <w:tc>
          <w:tcPr>
            <w:tcW w:w="1108" w:type="dxa"/>
            <w:shd w:val="clear" w:color="auto" w:fill="FFFFFF"/>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无变化</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trPr>
        <w:tc>
          <w:tcPr>
            <w:tcW w:w="594" w:type="dxa"/>
            <w:shd w:val="clear" w:color="auto" w:fill="FFFFFF"/>
            <w:vAlign w:val="center"/>
          </w:tcPr>
          <w:p>
            <w:pPr>
              <w:spacing w:line="360" w:lineRule="auto"/>
              <w:jc w:val="center"/>
              <w:rPr>
                <w:rFonts w:ascii="宋体" w:hAnsi="宋体" w:eastAsia="宋体"/>
                <w:color w:val="auto"/>
                <w:sz w:val="21"/>
                <w:szCs w:val="21"/>
              </w:rPr>
            </w:pPr>
            <w:r>
              <w:rPr>
                <w:rFonts w:ascii="宋体" w:hAnsi="宋体" w:eastAsia="宋体"/>
                <w:color w:val="auto"/>
                <w:sz w:val="21"/>
                <w:szCs w:val="21"/>
              </w:rPr>
              <w:t>5</w:t>
            </w:r>
          </w:p>
        </w:tc>
        <w:tc>
          <w:tcPr>
            <w:tcW w:w="1117" w:type="dxa"/>
            <w:shd w:val="clear" w:color="auto" w:fill="FFFFFF"/>
            <w:vAlign w:val="center"/>
          </w:tcPr>
          <w:p>
            <w:pPr>
              <w:spacing w:line="360" w:lineRule="auto"/>
              <w:jc w:val="center"/>
              <w:rPr>
                <w:rFonts w:ascii="宋体" w:hAnsi="宋体" w:eastAsia="宋体"/>
                <w:color w:val="auto"/>
                <w:sz w:val="21"/>
                <w:szCs w:val="21"/>
              </w:rPr>
            </w:pPr>
            <w:r>
              <w:rPr>
                <w:rFonts w:ascii="宋体" w:hAnsi="宋体" w:eastAsia="宋体"/>
                <w:color w:val="auto"/>
                <w:sz w:val="21"/>
                <w:szCs w:val="21"/>
              </w:rPr>
              <w:t>生产原</w:t>
            </w:r>
          </w:p>
          <w:p>
            <w:pPr>
              <w:spacing w:line="360" w:lineRule="auto"/>
              <w:jc w:val="center"/>
              <w:rPr>
                <w:rFonts w:ascii="宋体" w:hAnsi="宋体" w:eastAsia="宋体"/>
                <w:color w:val="auto"/>
                <w:sz w:val="21"/>
                <w:szCs w:val="21"/>
              </w:rPr>
            </w:pPr>
            <w:r>
              <w:rPr>
                <w:rFonts w:ascii="宋体" w:hAnsi="宋体" w:eastAsia="宋体"/>
                <w:color w:val="auto"/>
                <w:sz w:val="21"/>
                <w:szCs w:val="21"/>
              </w:rPr>
              <w:t>料</w:t>
            </w:r>
          </w:p>
        </w:tc>
        <w:tc>
          <w:tcPr>
            <w:tcW w:w="2549" w:type="dxa"/>
            <w:gridSpan w:val="2"/>
            <w:shd w:val="clear" w:color="auto" w:fill="FFFFFF"/>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rPr>
              <w:t>硝化纤维素溶液</w:t>
            </w:r>
            <w:r>
              <w:rPr>
                <w:rFonts w:ascii="宋体" w:hAnsi="宋体" w:eastAsia="宋体"/>
                <w:color w:val="auto"/>
                <w:sz w:val="21"/>
                <w:szCs w:val="21"/>
              </w:rPr>
              <w:t>[</w:t>
            </w:r>
            <w:r>
              <w:rPr>
                <w:rFonts w:hint="eastAsia" w:ascii="宋体" w:hAnsi="宋体" w:eastAsia="宋体"/>
                <w:color w:val="auto"/>
                <w:sz w:val="21"/>
                <w:szCs w:val="21"/>
              </w:rPr>
              <w:t>含氮量≤</w:t>
            </w:r>
            <w:r>
              <w:rPr>
                <w:rFonts w:ascii="宋体" w:hAnsi="宋体" w:eastAsia="宋体"/>
                <w:color w:val="auto"/>
                <w:sz w:val="21"/>
                <w:szCs w:val="21"/>
              </w:rPr>
              <w:t>12.6%</w:t>
            </w:r>
            <w:r>
              <w:rPr>
                <w:rFonts w:hint="eastAsia" w:ascii="宋体" w:hAnsi="宋体" w:eastAsia="宋体"/>
                <w:color w:val="auto"/>
                <w:sz w:val="21"/>
                <w:szCs w:val="21"/>
              </w:rPr>
              <w:t>，含硝化纤维素≤</w:t>
            </w:r>
            <w:r>
              <w:rPr>
                <w:rFonts w:ascii="宋体" w:hAnsi="宋体" w:eastAsia="宋体"/>
                <w:color w:val="auto"/>
                <w:sz w:val="21"/>
                <w:szCs w:val="21"/>
              </w:rPr>
              <w:t>55%]</w:t>
            </w:r>
            <w:r>
              <w:rPr>
                <w:rFonts w:hint="eastAsia" w:ascii="宋体" w:hAnsi="宋体" w:eastAsia="宋体"/>
                <w:color w:val="auto"/>
                <w:sz w:val="21"/>
                <w:szCs w:val="21"/>
                <w:lang w:eastAsia="zh-CN"/>
              </w:rPr>
              <w:t>、乙酸正丁酯、乙酸乙酯、二甲苯异构体混合物、苯乙烯、环己酮、醇酸树脂</w:t>
            </w:r>
          </w:p>
        </w:tc>
        <w:tc>
          <w:tcPr>
            <w:tcW w:w="2505" w:type="dxa"/>
            <w:gridSpan w:val="3"/>
            <w:shd w:val="clear" w:color="auto" w:fill="FFFFFF"/>
            <w:vAlign w:val="center"/>
          </w:tcPr>
          <w:p>
            <w:pPr>
              <w:spacing w:line="360" w:lineRule="auto"/>
              <w:jc w:val="center"/>
              <w:rPr>
                <w:rFonts w:ascii="宋体" w:hAnsi="宋体" w:eastAsia="宋体"/>
                <w:color w:val="auto"/>
                <w:sz w:val="21"/>
                <w:szCs w:val="21"/>
              </w:rPr>
            </w:pPr>
            <w:r>
              <w:rPr>
                <w:rFonts w:hint="eastAsia" w:ascii="宋体" w:hAnsi="宋体" w:eastAsia="宋体"/>
                <w:color w:val="auto"/>
                <w:sz w:val="21"/>
                <w:szCs w:val="21"/>
              </w:rPr>
              <w:t>硝化纤维素溶液</w:t>
            </w:r>
            <w:r>
              <w:rPr>
                <w:rFonts w:ascii="宋体" w:hAnsi="宋体" w:eastAsia="宋体"/>
                <w:color w:val="auto"/>
                <w:sz w:val="21"/>
                <w:szCs w:val="21"/>
              </w:rPr>
              <w:t>[</w:t>
            </w:r>
            <w:r>
              <w:rPr>
                <w:rFonts w:hint="eastAsia" w:ascii="宋体" w:hAnsi="宋体" w:eastAsia="宋体"/>
                <w:color w:val="auto"/>
                <w:sz w:val="21"/>
                <w:szCs w:val="21"/>
              </w:rPr>
              <w:t>含氮量≤</w:t>
            </w:r>
            <w:r>
              <w:rPr>
                <w:rFonts w:ascii="宋体" w:hAnsi="宋体" w:eastAsia="宋体"/>
                <w:color w:val="auto"/>
                <w:sz w:val="21"/>
                <w:szCs w:val="21"/>
              </w:rPr>
              <w:t>12.6%</w:t>
            </w:r>
            <w:r>
              <w:rPr>
                <w:rFonts w:hint="eastAsia" w:ascii="宋体" w:hAnsi="宋体" w:eastAsia="宋体"/>
                <w:color w:val="auto"/>
                <w:sz w:val="21"/>
                <w:szCs w:val="21"/>
              </w:rPr>
              <w:t>，含硝化纤维素≤</w:t>
            </w:r>
            <w:r>
              <w:rPr>
                <w:rFonts w:ascii="宋体" w:hAnsi="宋体" w:eastAsia="宋体"/>
                <w:color w:val="auto"/>
                <w:sz w:val="21"/>
                <w:szCs w:val="21"/>
              </w:rPr>
              <w:t>55%]</w:t>
            </w:r>
            <w:r>
              <w:rPr>
                <w:rFonts w:hint="eastAsia" w:ascii="宋体" w:hAnsi="宋体" w:eastAsia="宋体"/>
                <w:color w:val="auto"/>
                <w:sz w:val="21"/>
                <w:szCs w:val="21"/>
                <w:lang w:eastAsia="zh-CN"/>
              </w:rPr>
              <w:t>、乙酸正丁酯、乙酸乙酯、二甲苯异构体混合物、苯乙烯、环己酮、醇酸树脂、不饱和聚酯树脂、正丁酯、混丙醇、乙酸甲酯、乙酸仲丁酯、N,N-二甲基甲酰胺、丙二醇甲醚乙酸酯</w:t>
            </w:r>
          </w:p>
        </w:tc>
        <w:tc>
          <w:tcPr>
            <w:tcW w:w="1325" w:type="dxa"/>
            <w:gridSpan w:val="2"/>
            <w:shd w:val="clear" w:color="auto" w:fill="FFFFFF"/>
            <w:vAlign w:val="center"/>
          </w:tcPr>
          <w:p>
            <w:pPr>
              <w:spacing w:line="360" w:lineRule="auto"/>
              <w:jc w:val="center"/>
              <w:rPr>
                <w:rFonts w:ascii="宋体" w:hAnsi="宋体" w:eastAsia="宋体"/>
                <w:color w:val="auto"/>
                <w:sz w:val="21"/>
                <w:szCs w:val="21"/>
              </w:rPr>
            </w:pPr>
            <w:r>
              <w:rPr>
                <w:rFonts w:ascii="宋体" w:hAnsi="宋体" w:eastAsia="宋体"/>
                <w:color w:val="auto"/>
                <w:sz w:val="21"/>
                <w:szCs w:val="21"/>
              </w:rPr>
              <w:t>/</w:t>
            </w:r>
          </w:p>
        </w:tc>
        <w:tc>
          <w:tcPr>
            <w:tcW w:w="1108" w:type="dxa"/>
            <w:shd w:val="clear" w:color="auto" w:fill="FFFFFF"/>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有变化</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trPr>
        <w:tc>
          <w:tcPr>
            <w:tcW w:w="594" w:type="dxa"/>
            <w:shd w:val="clear" w:color="auto" w:fill="FFFFFF"/>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7</w:t>
            </w:r>
          </w:p>
        </w:tc>
        <w:tc>
          <w:tcPr>
            <w:tcW w:w="1117" w:type="dxa"/>
            <w:shd w:val="clear" w:color="auto" w:fill="FFFFFF"/>
            <w:vAlign w:val="center"/>
          </w:tcPr>
          <w:p>
            <w:pPr>
              <w:spacing w:line="360" w:lineRule="auto"/>
              <w:jc w:val="center"/>
              <w:rPr>
                <w:rFonts w:ascii="宋体" w:hAnsi="宋体" w:eastAsia="宋体"/>
                <w:color w:val="auto"/>
                <w:sz w:val="21"/>
                <w:szCs w:val="21"/>
              </w:rPr>
            </w:pPr>
            <w:r>
              <w:rPr>
                <w:rFonts w:ascii="宋体" w:hAnsi="宋体" w:eastAsia="宋体"/>
                <w:color w:val="auto"/>
                <w:sz w:val="21"/>
                <w:szCs w:val="21"/>
              </w:rPr>
              <w:t>曰常安全管理水平</w:t>
            </w:r>
          </w:p>
        </w:tc>
        <w:tc>
          <w:tcPr>
            <w:tcW w:w="2549" w:type="dxa"/>
            <w:gridSpan w:val="2"/>
            <w:shd w:val="clear" w:color="auto" w:fill="FFFFFF"/>
            <w:vAlign w:val="center"/>
          </w:tcPr>
          <w:p>
            <w:pPr>
              <w:spacing w:line="360" w:lineRule="auto"/>
              <w:jc w:val="center"/>
              <w:rPr>
                <w:rFonts w:ascii="宋体" w:hAnsi="宋体" w:eastAsia="宋体"/>
                <w:color w:val="auto"/>
                <w:sz w:val="21"/>
                <w:szCs w:val="21"/>
              </w:rPr>
            </w:pPr>
            <w:r>
              <w:rPr>
                <w:rFonts w:ascii="宋体" w:hAnsi="宋体" w:eastAsia="宋体"/>
                <w:color w:val="auto"/>
                <w:sz w:val="21"/>
                <w:szCs w:val="21"/>
              </w:rPr>
              <w:t>管理良好，无生产安全事故</w:t>
            </w:r>
          </w:p>
        </w:tc>
        <w:tc>
          <w:tcPr>
            <w:tcW w:w="2505" w:type="dxa"/>
            <w:gridSpan w:val="3"/>
            <w:shd w:val="clear" w:color="auto" w:fill="FFFFFF"/>
            <w:vAlign w:val="center"/>
          </w:tcPr>
          <w:p>
            <w:pPr>
              <w:spacing w:line="360" w:lineRule="auto"/>
              <w:jc w:val="center"/>
              <w:rPr>
                <w:rFonts w:ascii="宋体" w:hAnsi="宋体" w:eastAsia="宋体"/>
                <w:color w:val="auto"/>
                <w:sz w:val="21"/>
                <w:szCs w:val="21"/>
              </w:rPr>
            </w:pPr>
            <w:r>
              <w:rPr>
                <w:rFonts w:ascii="宋体" w:hAnsi="宋体" w:eastAsia="宋体"/>
                <w:color w:val="auto"/>
                <w:sz w:val="21"/>
                <w:szCs w:val="21"/>
              </w:rPr>
              <w:t>管理良好，无生产安全事故</w:t>
            </w:r>
          </w:p>
        </w:tc>
        <w:tc>
          <w:tcPr>
            <w:tcW w:w="1325" w:type="dxa"/>
            <w:gridSpan w:val="2"/>
            <w:shd w:val="clear" w:color="auto" w:fill="FFFFFF"/>
            <w:vAlign w:val="center"/>
          </w:tcPr>
          <w:p>
            <w:pPr>
              <w:spacing w:line="360" w:lineRule="auto"/>
              <w:jc w:val="center"/>
              <w:rPr>
                <w:rFonts w:ascii="宋体" w:hAnsi="宋体" w:eastAsia="宋体"/>
                <w:color w:val="auto"/>
                <w:sz w:val="21"/>
                <w:szCs w:val="21"/>
              </w:rPr>
            </w:pPr>
            <w:r>
              <w:rPr>
                <w:rFonts w:ascii="宋体" w:hAnsi="宋体" w:eastAsia="宋体"/>
                <w:color w:val="auto"/>
                <w:sz w:val="21"/>
                <w:szCs w:val="21"/>
              </w:rPr>
              <w:t>不断持续改进与提</w:t>
            </w:r>
            <w:r>
              <w:rPr>
                <w:rFonts w:hint="eastAsia" w:ascii="宋体" w:hAnsi="宋体" w:eastAsia="宋体"/>
                <w:color w:val="auto"/>
                <w:sz w:val="21"/>
                <w:szCs w:val="21"/>
                <w:lang w:eastAsia="zh-CN"/>
              </w:rPr>
              <w:t>高</w:t>
            </w:r>
          </w:p>
        </w:tc>
        <w:tc>
          <w:tcPr>
            <w:tcW w:w="1108" w:type="dxa"/>
            <w:shd w:val="clear" w:color="auto" w:fill="FFFFFF"/>
            <w:vAlign w:val="center"/>
          </w:tcPr>
          <w:p>
            <w:pPr>
              <w:spacing w:line="360" w:lineRule="auto"/>
              <w:jc w:val="center"/>
              <w:rPr>
                <w:rFonts w:ascii="宋体" w:hAnsi="宋体" w:eastAsia="宋体"/>
                <w:color w:val="auto"/>
                <w:sz w:val="21"/>
                <w:szCs w:val="21"/>
              </w:rPr>
            </w:pPr>
            <w:r>
              <w:rPr>
                <w:rFonts w:ascii="宋体" w:hAnsi="宋体" w:eastAsia="宋体"/>
                <w:color w:val="auto"/>
                <w:sz w:val="21"/>
                <w:szCs w:val="21"/>
              </w:rPr>
              <w:t>持续改进</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trPr>
        <w:tc>
          <w:tcPr>
            <w:tcW w:w="594" w:type="dxa"/>
            <w:shd w:val="clear" w:color="auto" w:fill="FFFFFF"/>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8</w:t>
            </w:r>
          </w:p>
        </w:tc>
        <w:tc>
          <w:tcPr>
            <w:tcW w:w="1117" w:type="dxa"/>
            <w:shd w:val="clear" w:color="auto" w:fill="FFFFFF"/>
            <w:vAlign w:val="center"/>
          </w:tcPr>
          <w:p>
            <w:pPr>
              <w:spacing w:line="360" w:lineRule="auto"/>
              <w:jc w:val="center"/>
              <w:rPr>
                <w:rFonts w:ascii="宋体" w:hAnsi="宋体" w:eastAsia="宋体"/>
                <w:color w:val="auto"/>
                <w:sz w:val="21"/>
                <w:szCs w:val="21"/>
              </w:rPr>
            </w:pPr>
            <w:r>
              <w:rPr>
                <w:rFonts w:ascii="宋体" w:hAnsi="宋体" w:eastAsia="宋体"/>
                <w:color w:val="auto"/>
                <w:sz w:val="21"/>
                <w:szCs w:val="21"/>
              </w:rPr>
              <w:t>人员培</w:t>
            </w:r>
            <w:r>
              <w:rPr>
                <w:rFonts w:hint="eastAsia" w:ascii="宋体" w:hAnsi="宋体" w:eastAsia="宋体"/>
                <w:color w:val="auto"/>
                <w:sz w:val="21"/>
                <w:szCs w:val="21"/>
              </w:rPr>
              <w:t>训情况</w:t>
            </w:r>
          </w:p>
        </w:tc>
        <w:tc>
          <w:tcPr>
            <w:tcW w:w="2549" w:type="dxa"/>
            <w:gridSpan w:val="2"/>
            <w:shd w:val="clear" w:color="auto" w:fill="FFFFFF"/>
            <w:vAlign w:val="center"/>
          </w:tcPr>
          <w:p>
            <w:pPr>
              <w:spacing w:line="360" w:lineRule="auto"/>
              <w:jc w:val="center"/>
              <w:rPr>
                <w:rFonts w:ascii="宋体" w:hAnsi="宋体" w:eastAsia="宋体"/>
                <w:color w:val="auto"/>
                <w:sz w:val="21"/>
                <w:szCs w:val="21"/>
              </w:rPr>
            </w:pPr>
            <w:r>
              <w:rPr>
                <w:rFonts w:hint="eastAsia" w:ascii="宋体" w:hAnsi="宋体" w:eastAsia="宋体"/>
                <w:color w:val="auto"/>
                <w:sz w:val="21"/>
                <w:szCs w:val="21"/>
              </w:rPr>
              <w:t>人员定期培训，持证上岗</w:t>
            </w:r>
          </w:p>
        </w:tc>
        <w:tc>
          <w:tcPr>
            <w:tcW w:w="2505" w:type="dxa"/>
            <w:gridSpan w:val="3"/>
            <w:shd w:val="clear" w:color="auto" w:fill="FFFFFF"/>
            <w:vAlign w:val="center"/>
          </w:tcPr>
          <w:p>
            <w:pPr>
              <w:spacing w:line="360" w:lineRule="auto"/>
              <w:jc w:val="center"/>
              <w:rPr>
                <w:rFonts w:ascii="宋体" w:hAnsi="宋体" w:eastAsia="宋体"/>
                <w:color w:val="auto"/>
                <w:sz w:val="21"/>
                <w:szCs w:val="21"/>
              </w:rPr>
            </w:pPr>
            <w:r>
              <w:rPr>
                <w:rFonts w:hint="eastAsia" w:ascii="宋体" w:hAnsi="宋体" w:eastAsia="宋体"/>
                <w:color w:val="auto"/>
                <w:sz w:val="21"/>
                <w:szCs w:val="21"/>
              </w:rPr>
              <w:t>人员定期培训，持证上岗</w:t>
            </w:r>
          </w:p>
        </w:tc>
        <w:tc>
          <w:tcPr>
            <w:tcW w:w="1325" w:type="dxa"/>
            <w:gridSpan w:val="2"/>
            <w:shd w:val="clear" w:color="auto" w:fill="FFFFFF"/>
            <w:vAlign w:val="center"/>
          </w:tcPr>
          <w:p>
            <w:pPr>
              <w:spacing w:line="360" w:lineRule="auto"/>
              <w:jc w:val="center"/>
              <w:rPr>
                <w:rFonts w:ascii="宋体" w:hAnsi="宋体" w:eastAsia="宋体"/>
                <w:color w:val="auto"/>
                <w:sz w:val="21"/>
                <w:szCs w:val="21"/>
              </w:rPr>
            </w:pPr>
            <w:r>
              <w:rPr>
                <w:rFonts w:ascii="宋体" w:hAnsi="宋体" w:eastAsia="宋体"/>
                <w:color w:val="auto"/>
                <w:sz w:val="21"/>
                <w:szCs w:val="21"/>
              </w:rPr>
              <w:t>按国家有关规定定期对作业训</w:t>
            </w:r>
          </w:p>
        </w:tc>
        <w:tc>
          <w:tcPr>
            <w:tcW w:w="1108" w:type="dxa"/>
            <w:shd w:val="clear" w:color="auto" w:fill="FFFFFF"/>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trPr>
        <w:tc>
          <w:tcPr>
            <w:tcW w:w="594" w:type="dxa"/>
            <w:shd w:val="clear" w:color="auto" w:fill="FFFFFF"/>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9</w:t>
            </w:r>
          </w:p>
        </w:tc>
        <w:tc>
          <w:tcPr>
            <w:tcW w:w="1117" w:type="dxa"/>
            <w:shd w:val="clear" w:color="auto" w:fill="FFFFFF"/>
            <w:vAlign w:val="center"/>
          </w:tcPr>
          <w:p>
            <w:pPr>
              <w:spacing w:line="360" w:lineRule="auto"/>
              <w:jc w:val="center"/>
              <w:rPr>
                <w:rFonts w:ascii="宋体" w:hAnsi="宋体" w:eastAsia="宋体"/>
                <w:color w:val="auto"/>
                <w:sz w:val="21"/>
                <w:szCs w:val="21"/>
              </w:rPr>
            </w:pPr>
            <w:r>
              <w:rPr>
                <w:rFonts w:ascii="宋体" w:hAnsi="宋体" w:eastAsia="宋体"/>
                <w:color w:val="auto"/>
                <w:sz w:val="21"/>
                <w:szCs w:val="21"/>
              </w:rPr>
              <w:t>预案更新与完</w:t>
            </w:r>
            <w:r>
              <w:rPr>
                <w:rFonts w:hint="eastAsia" w:ascii="宋体" w:hAnsi="宋体" w:eastAsia="宋体"/>
                <w:color w:val="auto"/>
                <w:sz w:val="21"/>
                <w:szCs w:val="21"/>
              </w:rPr>
              <w:t>善</w:t>
            </w:r>
          </w:p>
        </w:tc>
        <w:tc>
          <w:tcPr>
            <w:tcW w:w="2549" w:type="dxa"/>
            <w:gridSpan w:val="2"/>
            <w:shd w:val="clear" w:color="auto" w:fill="FFFFFF"/>
            <w:vAlign w:val="center"/>
          </w:tcPr>
          <w:p>
            <w:pPr>
              <w:spacing w:line="360" w:lineRule="auto"/>
              <w:jc w:val="center"/>
              <w:rPr>
                <w:rFonts w:ascii="宋体" w:hAnsi="宋体" w:eastAsia="宋体"/>
                <w:color w:val="auto"/>
                <w:sz w:val="21"/>
                <w:szCs w:val="21"/>
              </w:rPr>
            </w:pPr>
            <w:r>
              <w:rPr>
                <w:rFonts w:ascii="宋体" w:hAnsi="宋体" w:eastAsia="宋体"/>
                <w:color w:val="auto"/>
                <w:sz w:val="21"/>
                <w:szCs w:val="21"/>
              </w:rPr>
              <w:t>按GB/T29639-2013的要求编制生产安全事故应</w:t>
            </w:r>
            <w:r>
              <w:rPr>
                <w:rFonts w:hint="eastAsia" w:ascii="宋体" w:hAnsi="宋体" w:eastAsia="宋体"/>
                <w:color w:val="auto"/>
                <w:sz w:val="21"/>
                <w:szCs w:val="21"/>
              </w:rPr>
              <w:t>急预案。</w:t>
            </w:r>
          </w:p>
        </w:tc>
        <w:tc>
          <w:tcPr>
            <w:tcW w:w="2505" w:type="dxa"/>
            <w:gridSpan w:val="3"/>
            <w:shd w:val="clear" w:color="auto" w:fill="FFFFFF"/>
            <w:vAlign w:val="center"/>
          </w:tcPr>
          <w:p>
            <w:pPr>
              <w:spacing w:line="360" w:lineRule="auto"/>
              <w:jc w:val="center"/>
              <w:rPr>
                <w:rFonts w:ascii="宋体" w:hAnsi="宋体" w:eastAsia="宋体"/>
                <w:color w:val="auto"/>
                <w:sz w:val="21"/>
                <w:szCs w:val="21"/>
              </w:rPr>
            </w:pPr>
            <w:r>
              <w:rPr>
                <w:rFonts w:ascii="宋体" w:hAnsi="宋体" w:eastAsia="宋体"/>
                <w:color w:val="auto"/>
                <w:sz w:val="21"/>
                <w:szCs w:val="21"/>
              </w:rPr>
              <w:t>按GB/T29639-2013的要求编制生产安全事故应急预</w:t>
            </w:r>
            <w:r>
              <w:rPr>
                <w:rStyle w:val="126"/>
                <w:color w:val="auto"/>
                <w:sz w:val="21"/>
                <w:szCs w:val="21"/>
              </w:rPr>
              <w:t>案。</w:t>
            </w:r>
          </w:p>
        </w:tc>
        <w:tc>
          <w:tcPr>
            <w:tcW w:w="1325" w:type="dxa"/>
            <w:gridSpan w:val="2"/>
            <w:shd w:val="clear" w:color="auto" w:fill="FFFFFF"/>
            <w:vAlign w:val="center"/>
          </w:tcPr>
          <w:p>
            <w:pPr>
              <w:spacing w:line="360" w:lineRule="auto"/>
              <w:jc w:val="center"/>
              <w:rPr>
                <w:rFonts w:ascii="宋体" w:hAnsi="宋体" w:eastAsia="宋体"/>
                <w:color w:val="auto"/>
                <w:sz w:val="21"/>
                <w:szCs w:val="21"/>
              </w:rPr>
            </w:pPr>
            <w:r>
              <w:rPr>
                <w:rFonts w:ascii="宋体" w:hAnsi="宋体" w:eastAsia="宋体"/>
                <w:color w:val="auto"/>
                <w:sz w:val="21"/>
                <w:szCs w:val="21"/>
              </w:rPr>
              <w:t>预案己经评审与备</w:t>
            </w:r>
            <w:r>
              <w:rPr>
                <w:rFonts w:hint="eastAsia" w:ascii="宋体" w:hAnsi="宋体" w:eastAsia="宋体"/>
                <w:color w:val="auto"/>
                <w:sz w:val="21"/>
                <w:szCs w:val="21"/>
                <w:lang w:eastAsia="zh-CN"/>
              </w:rPr>
              <w:t>案</w:t>
            </w:r>
          </w:p>
        </w:tc>
        <w:tc>
          <w:tcPr>
            <w:tcW w:w="1108" w:type="dxa"/>
            <w:shd w:val="clear" w:color="auto" w:fill="FFFFFF"/>
            <w:vAlign w:val="center"/>
          </w:tcPr>
          <w:p>
            <w:pPr>
              <w:spacing w:line="360" w:lineRule="auto"/>
              <w:jc w:val="center"/>
              <w:rPr>
                <w:rFonts w:ascii="宋体" w:hAnsi="宋体" w:eastAsia="宋体"/>
                <w:color w:val="auto"/>
                <w:sz w:val="21"/>
                <w:szCs w:val="21"/>
              </w:rPr>
            </w:pPr>
            <w:r>
              <w:rPr>
                <w:rFonts w:ascii="宋体" w:hAnsi="宋体" w:eastAsia="宋体"/>
                <w:color w:val="auto"/>
                <w:sz w:val="21"/>
                <w:szCs w:val="21"/>
              </w:rPr>
              <w:t>不断完善</w:t>
            </w:r>
          </w:p>
        </w:tc>
      </w:tr>
    </w:tbl>
    <w:p>
      <w:pPr>
        <w:rPr>
          <w:rFonts w:ascii="黑体" w:hAnsi="Times New Roman" w:eastAsia="黑体" w:cs="Times New Roman"/>
          <w:color w:val="auto"/>
          <w:sz w:val="32"/>
          <w:szCs w:val="32"/>
          <w:lang w:val="en-US" w:eastAsia="zh-CN" w:bidi="ar-SA"/>
        </w:rPr>
      </w:pPr>
      <w:bookmarkStart w:id="42" w:name="bookmark43"/>
      <w:bookmarkStart w:id="43" w:name="bookmark44"/>
      <w:bookmarkStart w:id="44" w:name="_Toc40045893"/>
      <w:r>
        <w:rPr>
          <w:color w:val="auto"/>
        </w:rPr>
        <w:br w:type="page"/>
      </w:r>
    </w:p>
    <w:p>
      <w:pPr>
        <w:pStyle w:val="3"/>
        <w:spacing w:after="120"/>
        <w:rPr>
          <w:snapToGrid/>
          <w:color w:val="auto"/>
        </w:rPr>
      </w:pPr>
      <w:r>
        <w:rPr>
          <w:snapToGrid/>
          <w:color w:val="auto"/>
        </w:rPr>
        <w:t>3评价范围与内容</w:t>
      </w:r>
      <w:bookmarkEnd w:id="42"/>
      <w:bookmarkEnd w:id="43"/>
      <w:bookmarkEnd w:id="44"/>
    </w:p>
    <w:p>
      <w:pPr>
        <w:spacing w:line="560" w:lineRule="exact"/>
        <w:jc w:val="both"/>
        <w:outlineLvl w:val="1"/>
        <w:rPr>
          <w:rFonts w:ascii="楷体_GB2312" w:hAnsi="Times New Roman" w:eastAsia="楷体_GB2312" w:cs="Times New Roman"/>
          <w:bCs/>
          <w:color w:val="auto"/>
          <w:kern w:val="2"/>
          <w:sz w:val="32"/>
          <w:lang w:val="en-US" w:eastAsia="zh-CN" w:bidi="ar-SA"/>
        </w:rPr>
      </w:pPr>
      <w:bookmarkStart w:id="45" w:name="bookmark45"/>
      <w:bookmarkStart w:id="46" w:name="bookmark46"/>
      <w:bookmarkStart w:id="47" w:name="_Toc40045894"/>
      <w:r>
        <w:rPr>
          <w:rFonts w:ascii="楷体_GB2312" w:hAnsi="Times New Roman" w:eastAsia="楷体_GB2312" w:cs="Times New Roman"/>
          <w:bCs/>
          <w:color w:val="auto"/>
          <w:kern w:val="2"/>
          <w:sz w:val="32"/>
          <w:lang w:val="en-US" w:eastAsia="zh-CN" w:bidi="ar-SA"/>
        </w:rPr>
        <w:t>3.1安全评价的对象</w:t>
      </w:r>
      <w:bookmarkEnd w:id="45"/>
      <w:bookmarkEnd w:id="46"/>
      <w:bookmarkEnd w:id="47"/>
    </w:p>
    <w:p>
      <w:pPr>
        <w:spacing w:line="560" w:lineRule="exact"/>
        <w:ind w:firstLine="425" w:firstLineChars="152"/>
        <w:rPr>
          <w:rFonts w:ascii="宋体" w:hAnsi="宋体" w:eastAsia="宋体"/>
          <w:color w:val="auto"/>
          <w:sz w:val="28"/>
          <w:szCs w:val="28"/>
          <w:lang w:eastAsia="zh-CN"/>
        </w:rPr>
      </w:pPr>
      <w:r>
        <w:rPr>
          <w:rFonts w:ascii="宋体" w:hAnsi="宋体" w:eastAsia="宋体"/>
          <w:color w:val="auto"/>
          <w:sz w:val="28"/>
          <w:szCs w:val="28"/>
          <w:lang w:eastAsia="zh-CN"/>
        </w:rPr>
        <w:t>该公司是一家生产</w:t>
      </w:r>
      <w:r>
        <w:rPr>
          <w:rFonts w:hint="eastAsia" w:ascii="宋体" w:hAnsi="宋体" w:eastAsia="宋体"/>
          <w:color w:val="auto"/>
          <w:sz w:val="28"/>
          <w:szCs w:val="28"/>
          <w:lang w:eastAsia="zh-CN"/>
        </w:rPr>
        <w:t>油漆、</w:t>
      </w:r>
      <w:r>
        <w:rPr>
          <w:rFonts w:ascii="宋体" w:hAnsi="宋体" w:eastAsia="宋体"/>
          <w:color w:val="auto"/>
          <w:sz w:val="28"/>
          <w:szCs w:val="28"/>
          <w:lang w:eastAsia="zh-CN"/>
        </w:rPr>
        <w:t>稀释剂</w:t>
      </w:r>
      <w:r>
        <w:rPr>
          <w:rFonts w:hint="eastAsia" w:ascii="宋体" w:hAnsi="宋体" w:eastAsia="宋体"/>
          <w:color w:val="auto"/>
          <w:sz w:val="28"/>
          <w:szCs w:val="28"/>
          <w:lang w:eastAsia="zh-CN"/>
        </w:rPr>
        <w:t>等</w:t>
      </w:r>
      <w:r>
        <w:rPr>
          <w:rFonts w:ascii="宋体" w:hAnsi="宋体" w:eastAsia="宋体"/>
          <w:color w:val="auto"/>
          <w:sz w:val="28"/>
          <w:szCs w:val="28"/>
          <w:lang w:eastAsia="zh-CN"/>
        </w:rPr>
        <w:t>的危险化学品生产企业，本安全评价主要是针对该公司危险化学品生产和储存的安全情况进行的现状评价。</w:t>
      </w:r>
    </w:p>
    <w:p>
      <w:pPr>
        <w:spacing w:line="560" w:lineRule="exact"/>
        <w:jc w:val="both"/>
        <w:outlineLvl w:val="1"/>
        <w:rPr>
          <w:rFonts w:ascii="楷体_GB2312" w:hAnsi="Times New Roman" w:eastAsia="楷体_GB2312" w:cs="Times New Roman"/>
          <w:bCs/>
          <w:color w:val="auto"/>
          <w:kern w:val="2"/>
          <w:sz w:val="32"/>
          <w:lang w:val="en-US" w:eastAsia="zh-CN" w:bidi="ar-SA"/>
        </w:rPr>
      </w:pPr>
      <w:bookmarkStart w:id="48" w:name="bookmark47"/>
      <w:bookmarkStart w:id="49" w:name="_Toc40045895"/>
      <w:r>
        <w:rPr>
          <w:rFonts w:ascii="楷体_GB2312" w:hAnsi="Times New Roman" w:eastAsia="楷体_GB2312" w:cs="Times New Roman"/>
          <w:bCs/>
          <w:color w:val="auto"/>
          <w:kern w:val="2"/>
          <w:sz w:val="32"/>
          <w:lang w:val="en-US" w:eastAsia="zh-CN" w:bidi="ar-SA"/>
        </w:rPr>
        <w:t>3.2安全评价的范围</w:t>
      </w:r>
      <w:bookmarkEnd w:id="48"/>
      <w:bookmarkEnd w:id="49"/>
    </w:p>
    <w:p>
      <w:pPr>
        <w:spacing w:line="560" w:lineRule="exact"/>
        <w:ind w:firstLine="425" w:firstLineChars="152"/>
        <w:rPr>
          <w:rFonts w:ascii="宋体" w:hAnsi="宋体" w:eastAsia="宋体"/>
          <w:color w:val="auto"/>
          <w:sz w:val="28"/>
          <w:szCs w:val="28"/>
          <w:lang w:eastAsia="zh-CN"/>
        </w:rPr>
      </w:pPr>
      <w:r>
        <w:rPr>
          <w:rFonts w:ascii="宋体" w:hAnsi="宋体" w:eastAsia="宋体"/>
          <w:color w:val="auto"/>
          <w:sz w:val="28"/>
          <w:szCs w:val="28"/>
          <w:lang w:eastAsia="zh-CN"/>
        </w:rPr>
        <w:t>本报告的评价范围主要包括：</w:t>
      </w:r>
    </w:p>
    <w:p>
      <w:pPr>
        <w:spacing w:line="560" w:lineRule="exact"/>
        <w:ind w:firstLine="425" w:firstLineChars="152"/>
        <w:rPr>
          <w:rFonts w:ascii="宋体" w:hAnsi="宋体" w:eastAsia="宋体"/>
          <w:color w:val="auto"/>
          <w:sz w:val="28"/>
          <w:szCs w:val="28"/>
          <w:lang w:eastAsia="zh-CN"/>
        </w:rPr>
      </w:pPr>
      <w:r>
        <w:rPr>
          <w:rFonts w:ascii="宋体" w:hAnsi="宋体" w:eastAsia="宋体"/>
          <w:color w:val="auto"/>
          <w:sz w:val="28"/>
          <w:szCs w:val="28"/>
        </w:rPr>
        <w:t>1</w:t>
      </w:r>
      <w:r>
        <w:rPr>
          <w:rFonts w:hint="eastAsia" w:ascii="宋体" w:hAnsi="宋体" w:eastAsia="宋体"/>
          <w:color w:val="auto"/>
          <w:sz w:val="28"/>
          <w:szCs w:val="28"/>
          <w:lang w:eastAsia="zh-CN"/>
        </w:rPr>
        <w:t>)</w:t>
      </w:r>
      <w:r>
        <w:rPr>
          <w:rFonts w:ascii="宋体" w:hAnsi="宋体" w:eastAsia="宋体"/>
          <w:color w:val="auto"/>
          <w:sz w:val="28"/>
          <w:szCs w:val="28"/>
          <w:lang w:eastAsia="zh-CN"/>
        </w:rPr>
        <w:t>企业危险化学品的生产工艺过程以及生产设施、储存设施、附属设施在运行过程中安全状态；外部周边环境以及厂区平面布置、厂内建筑物的安全状态；企业安全生产条件的符合性方面。</w:t>
      </w:r>
    </w:p>
    <w:p>
      <w:pPr>
        <w:spacing w:line="560" w:lineRule="exact"/>
        <w:ind w:firstLine="425" w:firstLineChars="152"/>
        <w:rPr>
          <w:rFonts w:ascii="宋体" w:hAnsi="宋体" w:eastAsia="宋体"/>
          <w:color w:val="auto"/>
          <w:sz w:val="28"/>
          <w:szCs w:val="28"/>
          <w:lang w:eastAsia="zh-CN"/>
        </w:rPr>
      </w:pPr>
      <w:r>
        <w:rPr>
          <w:rFonts w:hint="eastAsia" w:ascii="宋体" w:hAnsi="宋体" w:eastAsia="宋体"/>
          <w:color w:val="auto"/>
          <w:sz w:val="28"/>
          <w:szCs w:val="28"/>
          <w:lang w:eastAsia="zh-CN"/>
        </w:rPr>
        <w:t>2)</w:t>
      </w:r>
      <w:r>
        <w:rPr>
          <w:rFonts w:ascii="宋体" w:hAnsi="宋体" w:eastAsia="宋体"/>
          <w:color w:val="auto"/>
          <w:sz w:val="28"/>
          <w:szCs w:val="28"/>
          <w:lang w:eastAsia="zh-CN"/>
        </w:rPr>
        <w:t>对企业生产过程中可能发生的事故进行风险评价，提出相应的安全对策措施及建议。</w:t>
      </w:r>
    </w:p>
    <w:p>
      <w:pPr>
        <w:spacing w:line="560" w:lineRule="exact"/>
        <w:ind w:firstLine="425" w:firstLineChars="152"/>
        <w:rPr>
          <w:rFonts w:ascii="宋体" w:hAnsi="宋体" w:eastAsia="宋体"/>
          <w:color w:val="auto"/>
          <w:sz w:val="28"/>
          <w:szCs w:val="28"/>
          <w:lang w:eastAsia="zh-CN"/>
        </w:rPr>
      </w:pPr>
      <w:r>
        <w:rPr>
          <w:rFonts w:hint="eastAsia" w:ascii="宋体" w:hAnsi="宋体" w:eastAsia="宋体"/>
          <w:color w:val="auto"/>
          <w:sz w:val="28"/>
          <w:szCs w:val="28"/>
          <w:lang w:eastAsia="zh-CN"/>
        </w:rPr>
        <w:t>3)</w:t>
      </w:r>
      <w:r>
        <w:rPr>
          <w:rFonts w:ascii="宋体" w:hAnsi="宋体" w:eastAsia="宋体"/>
          <w:color w:val="auto"/>
          <w:sz w:val="28"/>
          <w:szCs w:val="28"/>
          <w:lang w:eastAsia="zh-CN"/>
        </w:rPr>
        <w:t>重点分析评价企业的危险化学品安全生产条件。</w:t>
      </w:r>
    </w:p>
    <w:p>
      <w:pPr>
        <w:spacing w:line="560" w:lineRule="exact"/>
        <w:ind w:firstLine="425" w:firstLineChars="152"/>
        <w:rPr>
          <w:rFonts w:ascii="宋体" w:hAnsi="宋体" w:eastAsia="宋体"/>
          <w:color w:val="auto"/>
          <w:sz w:val="28"/>
          <w:szCs w:val="28"/>
          <w:lang w:eastAsia="zh-CN"/>
        </w:rPr>
      </w:pPr>
      <w:r>
        <w:rPr>
          <w:rFonts w:hint="eastAsia" w:ascii="宋体" w:hAnsi="宋体" w:eastAsia="宋体"/>
          <w:color w:val="auto"/>
          <w:sz w:val="28"/>
          <w:szCs w:val="28"/>
          <w:lang w:eastAsia="zh-CN"/>
        </w:rPr>
        <w:t>4)</w:t>
      </w:r>
      <w:r>
        <w:rPr>
          <w:rFonts w:ascii="宋体" w:hAnsi="宋体" w:eastAsia="宋体"/>
          <w:color w:val="auto"/>
          <w:sz w:val="28"/>
          <w:szCs w:val="28"/>
          <w:lang w:eastAsia="zh-CN"/>
        </w:rPr>
        <w:t>粤安监[2012]56号文件的要求对企业从业人员从业条件及配备进行专项评价。</w:t>
      </w:r>
    </w:p>
    <w:p>
      <w:pPr>
        <w:spacing w:line="560" w:lineRule="exact"/>
        <w:ind w:firstLine="425" w:firstLineChars="152"/>
        <w:rPr>
          <w:rFonts w:ascii="宋体" w:hAnsi="宋体" w:eastAsia="宋体"/>
          <w:color w:val="auto"/>
          <w:sz w:val="28"/>
          <w:szCs w:val="28"/>
          <w:lang w:eastAsia="zh-CN"/>
        </w:rPr>
      </w:pPr>
      <w:r>
        <w:rPr>
          <w:rFonts w:hint="eastAsia" w:ascii="宋体" w:hAnsi="宋体" w:eastAsia="宋体"/>
          <w:color w:val="auto"/>
          <w:sz w:val="28"/>
          <w:szCs w:val="28"/>
          <w:lang w:eastAsia="zh-CN"/>
        </w:rPr>
        <w:t>5)</w:t>
      </w:r>
      <w:r>
        <w:rPr>
          <w:rFonts w:ascii="宋体" w:hAnsi="宋体" w:eastAsia="宋体"/>
          <w:color w:val="auto"/>
          <w:sz w:val="28"/>
          <w:szCs w:val="28"/>
          <w:lang w:eastAsia="zh-CN"/>
        </w:rPr>
        <w:t>对危险化学品生产、储存场所安全设施设备进行专项评价。</w:t>
      </w:r>
    </w:p>
    <w:p>
      <w:pPr>
        <w:spacing w:line="560" w:lineRule="exact"/>
        <w:ind w:firstLine="425" w:firstLineChars="152"/>
        <w:rPr>
          <w:rFonts w:ascii="宋体" w:hAnsi="宋体" w:eastAsia="宋体"/>
          <w:color w:val="auto"/>
          <w:sz w:val="28"/>
          <w:szCs w:val="28"/>
          <w:lang w:eastAsia="zh-CN"/>
        </w:rPr>
      </w:pPr>
      <w:r>
        <w:rPr>
          <w:rFonts w:hint="eastAsia" w:ascii="宋体" w:hAnsi="宋体" w:eastAsia="宋体"/>
          <w:color w:val="auto"/>
          <w:sz w:val="28"/>
          <w:szCs w:val="28"/>
          <w:lang w:eastAsia="zh-CN"/>
        </w:rPr>
        <w:t>6)</w:t>
      </w:r>
      <w:r>
        <w:rPr>
          <w:rFonts w:ascii="宋体" w:hAnsi="宋体" w:eastAsia="宋体"/>
          <w:color w:val="auto"/>
          <w:sz w:val="28"/>
          <w:szCs w:val="28"/>
          <w:lang w:eastAsia="zh-CN"/>
        </w:rPr>
        <w:t>非危险化学品生产</w:t>
      </w:r>
      <w:r>
        <w:rPr>
          <w:rFonts w:hint="eastAsia" w:ascii="宋体" w:hAnsi="宋体" w:eastAsia="宋体"/>
          <w:color w:val="auto"/>
          <w:sz w:val="28"/>
          <w:szCs w:val="28"/>
          <w:lang w:eastAsia="zh-CN"/>
        </w:rPr>
        <w:t>、厂外运输、环保和职业卫生要求</w:t>
      </w:r>
      <w:r>
        <w:rPr>
          <w:rFonts w:ascii="宋体" w:hAnsi="宋体" w:eastAsia="宋体"/>
          <w:color w:val="auto"/>
          <w:sz w:val="28"/>
          <w:szCs w:val="28"/>
          <w:lang w:eastAsia="zh-CN"/>
        </w:rPr>
        <w:t>不在</w:t>
      </w:r>
      <w:r>
        <w:rPr>
          <w:rFonts w:hint="eastAsia" w:ascii="宋体" w:hAnsi="宋体" w:eastAsia="宋体"/>
          <w:color w:val="auto"/>
          <w:sz w:val="28"/>
          <w:szCs w:val="28"/>
          <w:lang w:eastAsia="zh-CN"/>
        </w:rPr>
        <w:t>本次</w:t>
      </w:r>
      <w:r>
        <w:rPr>
          <w:rFonts w:ascii="宋体" w:hAnsi="宋体" w:eastAsia="宋体"/>
          <w:color w:val="auto"/>
          <w:sz w:val="28"/>
          <w:szCs w:val="28"/>
          <w:lang w:eastAsia="zh-CN"/>
        </w:rPr>
        <w:t>评价范围内。</w:t>
      </w:r>
      <w:bookmarkStart w:id="50" w:name="bookmark48"/>
      <w:bookmarkStart w:id="51" w:name="bookmark49"/>
    </w:p>
    <w:p>
      <w:pPr>
        <w:pStyle w:val="3"/>
        <w:spacing w:after="120"/>
        <w:rPr>
          <w:snapToGrid/>
          <w:color w:val="auto"/>
        </w:rPr>
      </w:pPr>
      <w:r>
        <w:rPr>
          <w:snapToGrid/>
          <w:color w:val="auto"/>
        </w:rPr>
        <w:br w:type="page"/>
      </w:r>
    </w:p>
    <w:p>
      <w:pPr>
        <w:pStyle w:val="3"/>
        <w:spacing w:after="120"/>
        <w:rPr>
          <w:snapToGrid/>
          <w:color w:val="auto"/>
        </w:rPr>
      </w:pPr>
      <w:bookmarkStart w:id="52" w:name="_Toc40045896"/>
      <w:r>
        <w:rPr>
          <w:snapToGrid/>
          <w:color w:val="auto"/>
        </w:rPr>
        <w:t>4安全评价程序</w:t>
      </w:r>
      <w:bookmarkEnd w:id="50"/>
      <w:bookmarkEnd w:id="51"/>
      <w:bookmarkEnd w:id="52"/>
    </w:p>
    <w:p>
      <w:pPr>
        <w:spacing w:line="560" w:lineRule="exact"/>
        <w:ind w:firstLine="425" w:firstLineChars="152"/>
        <w:rPr>
          <w:rFonts w:ascii="宋体" w:hAnsi="宋体" w:eastAsia="宋体"/>
          <w:color w:val="auto"/>
          <w:sz w:val="28"/>
          <w:szCs w:val="28"/>
        </w:rPr>
      </w:pPr>
      <w:r>
        <w:rPr>
          <w:rFonts w:ascii="宋体" w:hAnsi="宋体" w:eastAsia="宋体"/>
          <w:color w:val="auto"/>
          <w:sz w:val="28"/>
          <w:szCs w:val="28"/>
        </w:rPr>
        <w:t>本次现状评价的程序如下：</w:t>
      </w:r>
    </w:p>
    <w:p>
      <w:pPr>
        <w:spacing w:line="560" w:lineRule="exact"/>
        <w:ind w:firstLine="425" w:firstLineChars="152"/>
        <w:rPr>
          <w:rFonts w:ascii="宋体" w:hAnsi="宋体" w:eastAsia="宋体"/>
          <w:color w:val="auto"/>
          <w:sz w:val="28"/>
          <w:szCs w:val="28"/>
        </w:rPr>
      </w:pPr>
      <w:r>
        <w:rPr>
          <w:rFonts w:ascii="宋体" w:hAnsi="宋体" w:eastAsia="宋体"/>
          <w:color w:val="auto"/>
          <w:sz w:val="28"/>
          <w:szCs w:val="28"/>
        </w:rPr>
        <w:t>1</w:t>
      </w:r>
      <w:r>
        <w:rPr>
          <w:rFonts w:hint="eastAsia" w:ascii="宋体" w:hAnsi="宋体" w:eastAsia="宋体"/>
          <w:color w:val="auto"/>
          <w:sz w:val="28"/>
          <w:szCs w:val="28"/>
        </w:rPr>
        <w:t>)</w:t>
      </w:r>
      <w:r>
        <w:rPr>
          <w:rFonts w:ascii="宋体" w:hAnsi="宋体" w:eastAsia="宋体"/>
          <w:color w:val="auto"/>
          <w:sz w:val="28"/>
          <w:szCs w:val="28"/>
        </w:rPr>
        <w:t>前期准备；</w:t>
      </w:r>
    </w:p>
    <w:p>
      <w:pPr>
        <w:spacing w:line="560" w:lineRule="exact"/>
        <w:ind w:firstLine="425" w:firstLineChars="152"/>
        <w:rPr>
          <w:rFonts w:ascii="宋体" w:hAnsi="宋体" w:eastAsia="宋体"/>
          <w:color w:val="auto"/>
          <w:sz w:val="28"/>
          <w:szCs w:val="28"/>
        </w:rPr>
      </w:pPr>
      <w:r>
        <w:rPr>
          <w:rFonts w:hint="eastAsia" w:ascii="宋体" w:hAnsi="宋体" w:eastAsia="宋体"/>
          <w:color w:val="auto"/>
          <w:sz w:val="28"/>
          <w:szCs w:val="28"/>
        </w:rPr>
        <w:t>(</w:t>
      </w:r>
      <w:r>
        <w:rPr>
          <w:rFonts w:ascii="宋体" w:hAnsi="宋体" w:eastAsia="宋体"/>
          <w:color w:val="auto"/>
          <w:sz w:val="28"/>
          <w:szCs w:val="28"/>
        </w:rPr>
        <w:t>1</w:t>
      </w:r>
      <w:r>
        <w:rPr>
          <w:rFonts w:hint="eastAsia" w:ascii="宋体" w:hAnsi="宋体" w:eastAsia="宋体"/>
          <w:color w:val="auto"/>
          <w:sz w:val="28"/>
          <w:szCs w:val="28"/>
        </w:rPr>
        <w:t>)</w:t>
      </w:r>
      <w:r>
        <w:rPr>
          <w:rFonts w:ascii="宋体" w:hAnsi="宋体" w:eastAsia="宋体"/>
          <w:color w:val="auto"/>
          <w:sz w:val="28"/>
          <w:szCs w:val="28"/>
        </w:rPr>
        <w:t>明确评价对象及其评价范围；</w:t>
      </w:r>
    </w:p>
    <w:p>
      <w:pPr>
        <w:spacing w:line="560" w:lineRule="exact"/>
        <w:ind w:firstLine="425" w:firstLineChars="152"/>
        <w:rPr>
          <w:rFonts w:ascii="宋体" w:hAnsi="宋体" w:eastAsia="宋体"/>
          <w:color w:val="auto"/>
          <w:sz w:val="28"/>
          <w:szCs w:val="28"/>
        </w:rPr>
      </w:pPr>
      <w:r>
        <w:rPr>
          <w:rFonts w:hint="eastAsia" w:ascii="宋体" w:hAnsi="宋体" w:eastAsia="宋体"/>
          <w:color w:val="auto"/>
          <w:sz w:val="28"/>
          <w:szCs w:val="28"/>
        </w:rPr>
        <w:t>(</w:t>
      </w:r>
      <w:r>
        <w:rPr>
          <w:rFonts w:ascii="宋体" w:hAnsi="宋体" w:eastAsia="宋体"/>
          <w:color w:val="auto"/>
          <w:sz w:val="28"/>
          <w:szCs w:val="28"/>
        </w:rPr>
        <w:t>2</w:t>
      </w:r>
      <w:r>
        <w:rPr>
          <w:rFonts w:hint="eastAsia" w:ascii="宋体" w:hAnsi="宋体" w:eastAsia="宋体"/>
          <w:color w:val="auto"/>
          <w:sz w:val="28"/>
          <w:szCs w:val="28"/>
        </w:rPr>
        <w:t>)</w:t>
      </w:r>
      <w:r>
        <w:rPr>
          <w:rFonts w:ascii="宋体" w:hAnsi="宋体" w:eastAsia="宋体"/>
          <w:color w:val="auto"/>
          <w:sz w:val="28"/>
          <w:szCs w:val="28"/>
        </w:rPr>
        <w:t>组建评价组；</w:t>
      </w:r>
    </w:p>
    <w:p>
      <w:pPr>
        <w:spacing w:line="560" w:lineRule="exact"/>
        <w:ind w:firstLine="425" w:firstLineChars="152"/>
        <w:rPr>
          <w:rFonts w:ascii="宋体" w:hAnsi="宋体" w:eastAsia="宋体"/>
          <w:color w:val="auto"/>
          <w:sz w:val="28"/>
          <w:szCs w:val="28"/>
        </w:rPr>
      </w:pPr>
      <w:r>
        <w:rPr>
          <w:rFonts w:hint="eastAsia" w:ascii="宋体" w:hAnsi="宋体" w:eastAsia="宋体"/>
          <w:color w:val="auto"/>
          <w:sz w:val="28"/>
          <w:szCs w:val="28"/>
        </w:rPr>
        <w:t>(</w:t>
      </w:r>
      <w:r>
        <w:rPr>
          <w:rFonts w:ascii="宋体" w:hAnsi="宋体" w:eastAsia="宋体"/>
          <w:color w:val="auto"/>
          <w:sz w:val="28"/>
          <w:szCs w:val="28"/>
        </w:rPr>
        <w:t>3</w:t>
      </w:r>
      <w:r>
        <w:rPr>
          <w:rFonts w:hint="eastAsia" w:ascii="宋体" w:hAnsi="宋体" w:eastAsia="宋体"/>
          <w:color w:val="auto"/>
          <w:sz w:val="28"/>
          <w:szCs w:val="28"/>
        </w:rPr>
        <w:t>)</w:t>
      </w:r>
      <w:r>
        <w:rPr>
          <w:rFonts w:ascii="宋体" w:hAnsi="宋体" w:eastAsia="宋体"/>
          <w:color w:val="auto"/>
          <w:sz w:val="28"/>
          <w:szCs w:val="28"/>
        </w:rPr>
        <w:t>收集国内外相关法律法规、标准、规章、规范；</w:t>
      </w:r>
    </w:p>
    <w:p>
      <w:pPr>
        <w:spacing w:line="560" w:lineRule="exact"/>
        <w:ind w:firstLine="425" w:firstLineChars="152"/>
        <w:rPr>
          <w:rFonts w:ascii="宋体" w:hAnsi="宋体" w:eastAsia="宋体"/>
          <w:color w:val="auto"/>
          <w:sz w:val="28"/>
          <w:szCs w:val="28"/>
        </w:rPr>
      </w:pPr>
      <w:r>
        <w:rPr>
          <w:rFonts w:hint="eastAsia" w:ascii="宋体" w:hAnsi="宋体" w:eastAsia="宋体"/>
          <w:color w:val="auto"/>
          <w:sz w:val="28"/>
          <w:szCs w:val="28"/>
        </w:rPr>
        <w:t>(</w:t>
      </w:r>
      <w:r>
        <w:rPr>
          <w:rFonts w:ascii="宋体" w:hAnsi="宋体" w:eastAsia="宋体"/>
          <w:color w:val="auto"/>
          <w:sz w:val="28"/>
          <w:szCs w:val="28"/>
        </w:rPr>
        <w:t>4</w:t>
      </w:r>
      <w:r>
        <w:rPr>
          <w:rFonts w:hint="eastAsia" w:ascii="宋体" w:hAnsi="宋体" w:eastAsia="宋体"/>
          <w:color w:val="auto"/>
          <w:sz w:val="28"/>
          <w:szCs w:val="28"/>
        </w:rPr>
        <w:t>)</w:t>
      </w:r>
      <w:r>
        <w:rPr>
          <w:rFonts w:ascii="宋体" w:hAnsi="宋体" w:eastAsia="宋体"/>
          <w:color w:val="auto"/>
          <w:sz w:val="28"/>
          <w:szCs w:val="28"/>
        </w:rPr>
        <w:t>实地调查收集生产企业的基础资料。</w:t>
      </w:r>
    </w:p>
    <w:p>
      <w:pPr>
        <w:spacing w:line="560" w:lineRule="exact"/>
        <w:ind w:firstLine="425" w:firstLineChars="152"/>
        <w:rPr>
          <w:rFonts w:ascii="宋体" w:hAnsi="宋体" w:eastAsia="宋体"/>
          <w:color w:val="auto"/>
          <w:sz w:val="28"/>
          <w:szCs w:val="28"/>
        </w:rPr>
      </w:pPr>
      <w:r>
        <w:rPr>
          <w:rFonts w:hint="eastAsia" w:ascii="宋体" w:hAnsi="宋体" w:eastAsia="宋体"/>
          <w:color w:val="auto"/>
          <w:sz w:val="28"/>
          <w:szCs w:val="28"/>
        </w:rPr>
        <w:t>2)</w:t>
      </w:r>
      <w:r>
        <w:rPr>
          <w:rFonts w:ascii="宋体" w:hAnsi="宋体" w:eastAsia="宋体"/>
          <w:color w:val="auto"/>
          <w:sz w:val="28"/>
          <w:szCs w:val="28"/>
        </w:rPr>
        <w:t>危险、有害因素辨识；</w:t>
      </w:r>
    </w:p>
    <w:p>
      <w:pPr>
        <w:spacing w:line="560" w:lineRule="exact"/>
        <w:ind w:firstLine="425" w:firstLineChars="152"/>
        <w:rPr>
          <w:rFonts w:ascii="宋体" w:hAnsi="宋体" w:eastAsia="宋体"/>
          <w:color w:val="auto"/>
          <w:sz w:val="28"/>
          <w:szCs w:val="28"/>
        </w:rPr>
      </w:pPr>
      <w:r>
        <w:rPr>
          <w:rFonts w:hint="eastAsia" w:ascii="宋体" w:hAnsi="宋体" w:eastAsia="宋体"/>
          <w:color w:val="auto"/>
          <w:sz w:val="28"/>
          <w:szCs w:val="28"/>
        </w:rPr>
        <w:t>3)</w:t>
      </w:r>
      <w:r>
        <w:rPr>
          <w:rFonts w:ascii="宋体" w:hAnsi="宋体" w:eastAsia="宋体"/>
          <w:color w:val="auto"/>
          <w:sz w:val="28"/>
          <w:szCs w:val="28"/>
        </w:rPr>
        <w:t>划分评价单元；</w:t>
      </w:r>
    </w:p>
    <w:p>
      <w:pPr>
        <w:spacing w:line="560" w:lineRule="exact"/>
        <w:ind w:firstLine="425" w:firstLineChars="152"/>
        <w:rPr>
          <w:rFonts w:ascii="宋体" w:hAnsi="宋体" w:eastAsia="宋体"/>
          <w:color w:val="auto"/>
          <w:sz w:val="28"/>
          <w:szCs w:val="28"/>
        </w:rPr>
      </w:pPr>
      <w:r>
        <w:rPr>
          <w:rFonts w:hint="eastAsia" w:ascii="宋体" w:hAnsi="宋体" w:eastAsia="宋体"/>
          <w:color w:val="auto"/>
          <w:sz w:val="28"/>
          <w:szCs w:val="28"/>
        </w:rPr>
        <w:t>4)</w:t>
      </w:r>
      <w:r>
        <w:rPr>
          <w:rFonts w:ascii="宋体" w:hAnsi="宋体" w:eastAsia="宋体"/>
          <w:color w:val="auto"/>
          <w:sz w:val="28"/>
          <w:szCs w:val="28"/>
        </w:rPr>
        <w:t>选择评价方法；</w:t>
      </w:r>
    </w:p>
    <w:p>
      <w:pPr>
        <w:spacing w:line="560" w:lineRule="exact"/>
        <w:ind w:firstLine="425" w:firstLineChars="152"/>
        <w:rPr>
          <w:rFonts w:ascii="宋体" w:hAnsi="宋体" w:eastAsia="宋体"/>
          <w:color w:val="auto"/>
          <w:sz w:val="28"/>
          <w:szCs w:val="28"/>
        </w:rPr>
      </w:pPr>
      <w:r>
        <w:rPr>
          <w:rFonts w:hint="eastAsia" w:ascii="宋体" w:hAnsi="宋体" w:eastAsia="宋体"/>
          <w:color w:val="auto"/>
          <w:sz w:val="28"/>
          <w:szCs w:val="28"/>
        </w:rPr>
        <w:t>5)</w:t>
      </w:r>
      <w:r>
        <w:rPr>
          <w:rFonts w:ascii="宋体" w:hAnsi="宋体" w:eastAsia="宋体"/>
          <w:color w:val="auto"/>
          <w:sz w:val="28"/>
          <w:szCs w:val="28"/>
        </w:rPr>
        <w:t>定性、定量评价；</w:t>
      </w:r>
    </w:p>
    <w:p>
      <w:pPr>
        <w:spacing w:line="560" w:lineRule="exact"/>
        <w:ind w:firstLine="425" w:firstLineChars="152"/>
        <w:rPr>
          <w:rFonts w:ascii="宋体" w:hAnsi="宋体" w:eastAsia="宋体"/>
          <w:color w:val="auto"/>
          <w:sz w:val="28"/>
          <w:szCs w:val="28"/>
        </w:rPr>
      </w:pPr>
      <w:r>
        <w:rPr>
          <w:rFonts w:hint="eastAsia" w:ascii="宋体" w:hAnsi="宋体" w:eastAsia="宋体"/>
          <w:color w:val="auto"/>
          <w:sz w:val="28"/>
          <w:szCs w:val="28"/>
        </w:rPr>
        <w:t>6)</w:t>
      </w:r>
      <w:r>
        <w:rPr>
          <w:rFonts w:ascii="宋体" w:hAnsi="宋体" w:eastAsia="宋体"/>
          <w:color w:val="auto"/>
          <w:sz w:val="28"/>
          <w:szCs w:val="28"/>
        </w:rPr>
        <w:t>提出安全管理对策措施及建议；</w:t>
      </w:r>
    </w:p>
    <w:p>
      <w:pPr>
        <w:spacing w:line="560" w:lineRule="exact"/>
        <w:ind w:firstLine="425" w:firstLineChars="152"/>
        <w:rPr>
          <w:rFonts w:ascii="宋体" w:hAnsi="宋体" w:eastAsia="宋体"/>
          <w:color w:val="auto"/>
          <w:sz w:val="28"/>
          <w:szCs w:val="28"/>
        </w:rPr>
      </w:pPr>
      <w:r>
        <w:rPr>
          <w:rFonts w:hint="eastAsia" w:ascii="宋体" w:hAnsi="宋体" w:eastAsia="宋体"/>
          <w:color w:val="auto"/>
          <w:sz w:val="28"/>
          <w:szCs w:val="28"/>
        </w:rPr>
        <w:t>7)</w:t>
      </w:r>
      <w:r>
        <w:rPr>
          <w:rFonts w:ascii="宋体" w:hAnsi="宋体" w:eastAsia="宋体"/>
          <w:color w:val="auto"/>
          <w:sz w:val="28"/>
          <w:szCs w:val="28"/>
        </w:rPr>
        <w:t>做出安全评价结论；</w:t>
      </w:r>
    </w:p>
    <w:p>
      <w:pPr>
        <w:spacing w:line="560" w:lineRule="exact"/>
        <w:ind w:firstLine="425" w:firstLineChars="152"/>
        <w:rPr>
          <w:rFonts w:ascii="宋体" w:hAnsi="宋体" w:eastAsia="宋体"/>
          <w:color w:val="auto"/>
          <w:sz w:val="28"/>
          <w:szCs w:val="28"/>
        </w:rPr>
      </w:pPr>
      <w:r>
        <w:rPr>
          <w:rFonts w:hint="eastAsia" w:ascii="宋体" w:hAnsi="宋体" w:eastAsia="宋体"/>
          <w:color w:val="auto"/>
          <w:sz w:val="28"/>
          <w:szCs w:val="28"/>
        </w:rPr>
        <w:t>8)</w:t>
      </w:r>
      <w:r>
        <w:rPr>
          <w:rFonts w:ascii="宋体" w:hAnsi="宋体" w:eastAsia="宋体"/>
          <w:color w:val="auto"/>
          <w:sz w:val="28"/>
          <w:szCs w:val="28"/>
        </w:rPr>
        <w:t>编制安全评价报告等。</w:t>
      </w:r>
    </w:p>
    <w:p>
      <w:pPr>
        <w:spacing w:line="560" w:lineRule="exact"/>
        <w:ind w:firstLine="425" w:firstLineChars="152"/>
        <w:rPr>
          <w:rFonts w:ascii="宋体" w:hAnsi="宋体" w:eastAsia="宋体"/>
          <w:color w:val="auto"/>
          <w:sz w:val="28"/>
          <w:szCs w:val="28"/>
        </w:rPr>
      </w:pPr>
      <w:r>
        <w:rPr>
          <w:rFonts w:ascii="宋体" w:hAnsi="宋体" w:eastAsia="宋体"/>
          <w:color w:val="auto"/>
          <w:sz w:val="28"/>
          <w:szCs w:val="28"/>
        </w:rPr>
        <w:t>具体评价程序见附件4和附图4-3。</w:t>
      </w:r>
    </w:p>
    <w:p>
      <w:pPr>
        <w:spacing w:line="560" w:lineRule="exact"/>
        <w:ind w:firstLine="425" w:firstLineChars="152"/>
        <w:rPr>
          <w:rFonts w:ascii="宋体" w:hAnsi="宋体" w:eastAsia="宋体"/>
          <w:color w:val="auto"/>
          <w:sz w:val="28"/>
          <w:szCs w:val="28"/>
        </w:rPr>
      </w:pPr>
    </w:p>
    <w:p>
      <w:pPr>
        <w:pStyle w:val="3"/>
        <w:spacing w:after="120"/>
        <w:rPr>
          <w:snapToGrid/>
          <w:color w:val="auto"/>
        </w:rPr>
      </w:pPr>
      <w:bookmarkStart w:id="53" w:name="bookmark50"/>
      <w:bookmarkStart w:id="54" w:name="bookmark51"/>
      <w:r>
        <w:rPr>
          <w:snapToGrid/>
          <w:color w:val="auto"/>
        </w:rPr>
        <w:br w:type="page"/>
      </w:r>
    </w:p>
    <w:p>
      <w:pPr>
        <w:pStyle w:val="3"/>
        <w:spacing w:after="120"/>
        <w:rPr>
          <w:snapToGrid/>
          <w:color w:val="auto"/>
        </w:rPr>
      </w:pPr>
      <w:bookmarkStart w:id="55" w:name="_Toc40045897"/>
      <w:r>
        <w:rPr>
          <w:snapToGrid/>
          <w:color w:val="auto"/>
        </w:rPr>
        <w:t>5评价单元的划分和评价方法的选择</w:t>
      </w:r>
      <w:bookmarkEnd w:id="53"/>
      <w:bookmarkEnd w:id="54"/>
      <w:bookmarkEnd w:id="55"/>
    </w:p>
    <w:p>
      <w:pPr>
        <w:spacing w:line="560" w:lineRule="exact"/>
        <w:jc w:val="both"/>
        <w:outlineLvl w:val="1"/>
        <w:rPr>
          <w:rFonts w:ascii="楷体_GB2312" w:hAnsi="Times New Roman" w:eastAsia="楷体_GB2312" w:cs="Times New Roman"/>
          <w:bCs/>
          <w:color w:val="auto"/>
          <w:kern w:val="2"/>
          <w:sz w:val="32"/>
          <w:lang w:val="en-US" w:eastAsia="zh-CN" w:bidi="ar-SA"/>
        </w:rPr>
      </w:pPr>
      <w:bookmarkStart w:id="56" w:name="_Toc40045898"/>
      <w:bookmarkStart w:id="57" w:name="bookmark53"/>
      <w:bookmarkStart w:id="58" w:name="bookmark52"/>
      <w:r>
        <w:rPr>
          <w:rFonts w:ascii="楷体_GB2312" w:hAnsi="Times New Roman" w:eastAsia="楷体_GB2312" w:cs="Times New Roman"/>
          <w:bCs/>
          <w:color w:val="auto"/>
          <w:kern w:val="2"/>
          <w:sz w:val="32"/>
          <w:lang w:val="en-US" w:eastAsia="zh-CN" w:bidi="ar-SA"/>
        </w:rPr>
        <w:t>5.1评价单元的划分</w:t>
      </w:r>
      <w:bookmarkEnd w:id="56"/>
    </w:p>
    <w:p>
      <w:pPr>
        <w:spacing w:line="560" w:lineRule="exact"/>
        <w:jc w:val="both"/>
        <w:outlineLvl w:val="2"/>
        <w:rPr>
          <w:rFonts w:ascii="宋体" w:hAnsi="宋体" w:eastAsia="宋体" w:cs="Times New Roman"/>
          <w:bCs/>
          <w:color w:val="auto"/>
          <w:kern w:val="2"/>
          <w:sz w:val="28"/>
          <w:szCs w:val="28"/>
          <w:lang w:val="en-US" w:eastAsia="zh-CN" w:bidi="ar-SA"/>
        </w:rPr>
      </w:pPr>
      <w:r>
        <w:rPr>
          <w:rFonts w:ascii="宋体" w:hAnsi="宋体" w:eastAsia="宋体" w:cs="Times New Roman"/>
          <w:bCs/>
          <w:color w:val="auto"/>
          <w:kern w:val="2"/>
          <w:sz w:val="28"/>
          <w:szCs w:val="28"/>
          <w:lang w:val="en-US" w:eastAsia="zh-CN" w:bidi="ar-SA"/>
        </w:rPr>
        <w:t>5.1.1评价单元的划分原则</w:t>
      </w:r>
      <w:bookmarkEnd w:id="57"/>
      <w:bookmarkEnd w:id="58"/>
    </w:p>
    <w:p>
      <w:pPr>
        <w:spacing w:line="560" w:lineRule="exact"/>
        <w:ind w:firstLine="425" w:firstLineChars="152"/>
        <w:rPr>
          <w:rFonts w:ascii="宋体" w:hAnsi="宋体" w:eastAsia="宋体"/>
          <w:color w:val="auto"/>
          <w:sz w:val="28"/>
          <w:szCs w:val="28"/>
        </w:rPr>
      </w:pPr>
      <w:r>
        <w:rPr>
          <w:rFonts w:ascii="宋体" w:hAnsi="宋体" w:eastAsia="宋体"/>
          <w:color w:val="auto"/>
          <w:sz w:val="28"/>
          <w:szCs w:val="28"/>
        </w:rPr>
        <w:t>评价单元的划分是在对危险有害因素分析的基础上，根据评价目标和评价方法的需要将系统分成若干有限的确定范围和需要评价的单元，以利于评价工作的客观性和准确性。在划分评价单元时也可以危险有害因素的类别为主划分评价单元。</w:t>
      </w:r>
    </w:p>
    <w:p>
      <w:pPr>
        <w:spacing w:line="560" w:lineRule="exact"/>
        <w:ind w:firstLine="425" w:firstLineChars="152"/>
        <w:rPr>
          <w:rFonts w:ascii="宋体" w:hAnsi="宋体" w:eastAsia="宋体"/>
          <w:color w:val="auto"/>
          <w:sz w:val="28"/>
          <w:szCs w:val="28"/>
        </w:rPr>
      </w:pPr>
      <w:r>
        <w:rPr>
          <w:rFonts w:ascii="宋体" w:hAnsi="宋体" w:eastAsia="宋体"/>
          <w:color w:val="auto"/>
          <w:sz w:val="28"/>
          <w:szCs w:val="28"/>
        </w:rPr>
        <w:t>本评价报告评价单元的划分主要以功能区域和装置的相对独立性为主，同时考虑到危险有害因素的类别。</w:t>
      </w:r>
    </w:p>
    <w:p>
      <w:pPr>
        <w:spacing w:line="560" w:lineRule="exact"/>
        <w:jc w:val="both"/>
        <w:outlineLvl w:val="2"/>
        <w:rPr>
          <w:rFonts w:ascii="宋体" w:hAnsi="宋体" w:eastAsia="宋体" w:cs="Times New Roman"/>
          <w:bCs/>
          <w:color w:val="auto"/>
          <w:kern w:val="2"/>
          <w:sz w:val="28"/>
          <w:szCs w:val="28"/>
          <w:lang w:val="en-US" w:eastAsia="zh-CN" w:bidi="ar-SA"/>
        </w:rPr>
      </w:pPr>
      <w:bookmarkStart w:id="59" w:name="bookmark54"/>
      <w:r>
        <w:rPr>
          <w:rFonts w:ascii="宋体" w:hAnsi="宋体" w:eastAsia="宋体" w:cs="Times New Roman"/>
          <w:bCs/>
          <w:color w:val="auto"/>
          <w:kern w:val="2"/>
          <w:sz w:val="28"/>
          <w:szCs w:val="28"/>
          <w:lang w:val="en-US" w:eastAsia="zh-CN" w:bidi="ar-SA"/>
        </w:rPr>
        <w:t>5.1.2评价单元的划分结果</w:t>
      </w:r>
      <w:bookmarkEnd w:id="59"/>
    </w:p>
    <w:p>
      <w:pPr>
        <w:spacing w:line="560" w:lineRule="exact"/>
        <w:ind w:firstLine="425" w:firstLineChars="152"/>
        <w:rPr>
          <w:rFonts w:ascii="宋体" w:hAnsi="宋体" w:eastAsia="宋体"/>
          <w:color w:val="auto"/>
          <w:sz w:val="28"/>
          <w:szCs w:val="28"/>
        </w:rPr>
      </w:pPr>
      <w:r>
        <w:rPr>
          <w:rFonts w:ascii="宋体" w:hAnsi="宋体" w:eastAsia="宋体"/>
          <w:color w:val="auto"/>
          <w:sz w:val="28"/>
          <w:szCs w:val="28"/>
        </w:rPr>
        <w:t>根据企业的安全现状和评价的需要，本评价报告的评价单元划分如下：</w:t>
      </w:r>
    </w:p>
    <w:p>
      <w:pPr>
        <w:spacing w:line="560" w:lineRule="exact"/>
        <w:ind w:firstLine="425" w:firstLineChars="152"/>
        <w:rPr>
          <w:rFonts w:ascii="宋体" w:hAnsi="宋体" w:eastAsia="宋体"/>
          <w:color w:val="auto"/>
          <w:sz w:val="28"/>
          <w:szCs w:val="28"/>
        </w:rPr>
      </w:pPr>
      <w:r>
        <w:rPr>
          <w:rFonts w:ascii="宋体" w:hAnsi="宋体" w:eastAsia="宋体"/>
          <w:color w:val="auto"/>
          <w:sz w:val="28"/>
          <w:szCs w:val="28"/>
        </w:rPr>
        <w:t>1</w:t>
      </w:r>
      <w:r>
        <w:rPr>
          <w:rFonts w:hint="eastAsia" w:ascii="宋体" w:hAnsi="宋体" w:eastAsia="宋体"/>
          <w:color w:val="auto"/>
          <w:sz w:val="28"/>
          <w:szCs w:val="28"/>
          <w:lang w:eastAsia="zh-CN"/>
        </w:rPr>
        <w:t>)</w:t>
      </w:r>
      <w:r>
        <w:rPr>
          <w:rFonts w:ascii="宋体" w:hAnsi="宋体" w:eastAsia="宋体"/>
          <w:color w:val="auto"/>
          <w:sz w:val="28"/>
          <w:szCs w:val="28"/>
        </w:rPr>
        <w:t>安全生产管理评价单元；</w:t>
      </w:r>
    </w:p>
    <w:p>
      <w:pPr>
        <w:spacing w:line="560" w:lineRule="exact"/>
        <w:ind w:firstLine="425" w:firstLineChars="152"/>
        <w:rPr>
          <w:rFonts w:ascii="宋体" w:hAnsi="宋体" w:eastAsia="宋体"/>
          <w:color w:val="auto"/>
          <w:sz w:val="28"/>
          <w:szCs w:val="28"/>
        </w:rPr>
      </w:pPr>
      <w:r>
        <w:rPr>
          <w:rFonts w:ascii="宋体" w:hAnsi="宋体" w:eastAsia="宋体"/>
          <w:color w:val="auto"/>
          <w:sz w:val="28"/>
          <w:szCs w:val="28"/>
        </w:rPr>
        <w:t>2</w:t>
      </w:r>
      <w:r>
        <w:rPr>
          <w:rFonts w:hint="eastAsia" w:ascii="宋体" w:hAnsi="宋体" w:eastAsia="宋体"/>
          <w:color w:val="auto"/>
          <w:sz w:val="28"/>
          <w:szCs w:val="28"/>
          <w:lang w:eastAsia="zh-CN"/>
        </w:rPr>
        <w:t>)</w:t>
      </w:r>
      <w:r>
        <w:rPr>
          <w:rFonts w:ascii="宋体" w:hAnsi="宋体" w:eastAsia="宋体"/>
          <w:color w:val="auto"/>
          <w:sz w:val="28"/>
          <w:szCs w:val="28"/>
        </w:rPr>
        <w:t>生产区评价单元；</w:t>
      </w:r>
    </w:p>
    <w:p>
      <w:pPr>
        <w:spacing w:line="560" w:lineRule="exact"/>
        <w:ind w:firstLine="425" w:firstLineChars="152"/>
        <w:rPr>
          <w:rFonts w:ascii="宋体" w:hAnsi="宋体" w:eastAsia="宋体"/>
          <w:color w:val="auto"/>
          <w:sz w:val="28"/>
          <w:szCs w:val="28"/>
        </w:rPr>
      </w:pPr>
      <w:r>
        <w:rPr>
          <w:rFonts w:ascii="宋体" w:hAnsi="宋体" w:eastAsia="宋体"/>
          <w:color w:val="auto"/>
          <w:sz w:val="28"/>
          <w:szCs w:val="28"/>
        </w:rPr>
        <w:t>3</w:t>
      </w:r>
      <w:r>
        <w:rPr>
          <w:rFonts w:hint="eastAsia" w:ascii="宋体" w:hAnsi="宋体" w:eastAsia="宋体"/>
          <w:color w:val="auto"/>
          <w:sz w:val="28"/>
          <w:szCs w:val="28"/>
          <w:lang w:eastAsia="zh-CN"/>
        </w:rPr>
        <w:t>)</w:t>
      </w:r>
      <w:r>
        <w:rPr>
          <w:rFonts w:ascii="宋体" w:hAnsi="宋体" w:eastAsia="宋体"/>
          <w:color w:val="auto"/>
          <w:sz w:val="28"/>
          <w:szCs w:val="28"/>
        </w:rPr>
        <w:t>储存场所评价单元；</w:t>
      </w:r>
    </w:p>
    <w:p>
      <w:pPr>
        <w:spacing w:line="560" w:lineRule="exact"/>
        <w:ind w:firstLine="425" w:firstLineChars="152"/>
        <w:rPr>
          <w:rFonts w:ascii="宋体" w:hAnsi="宋体" w:eastAsia="宋体"/>
          <w:color w:val="auto"/>
          <w:sz w:val="28"/>
          <w:szCs w:val="28"/>
        </w:rPr>
      </w:pPr>
      <w:r>
        <w:rPr>
          <w:rFonts w:ascii="宋体" w:hAnsi="宋体" w:eastAsia="宋体"/>
          <w:color w:val="auto"/>
          <w:sz w:val="28"/>
          <w:szCs w:val="28"/>
        </w:rPr>
        <w:t>4</w:t>
      </w:r>
      <w:r>
        <w:rPr>
          <w:rFonts w:hint="eastAsia" w:ascii="宋体" w:hAnsi="宋体" w:eastAsia="宋体"/>
          <w:color w:val="auto"/>
          <w:sz w:val="28"/>
          <w:szCs w:val="28"/>
          <w:lang w:eastAsia="zh-CN"/>
        </w:rPr>
        <w:t>)</w:t>
      </w:r>
      <w:r>
        <w:rPr>
          <w:rFonts w:ascii="宋体" w:hAnsi="宋体" w:eastAsia="宋体"/>
          <w:color w:val="auto"/>
          <w:sz w:val="28"/>
          <w:szCs w:val="28"/>
        </w:rPr>
        <w:t>安全防火间距评价单元；</w:t>
      </w:r>
    </w:p>
    <w:p>
      <w:pPr>
        <w:spacing w:line="560" w:lineRule="exact"/>
        <w:ind w:firstLine="425" w:firstLineChars="152"/>
        <w:rPr>
          <w:rFonts w:ascii="宋体" w:hAnsi="宋体" w:eastAsia="宋体"/>
          <w:color w:val="auto"/>
          <w:sz w:val="28"/>
          <w:szCs w:val="28"/>
        </w:rPr>
      </w:pPr>
      <w:r>
        <w:rPr>
          <w:rFonts w:ascii="宋体" w:hAnsi="宋体" w:eastAsia="宋体"/>
          <w:color w:val="auto"/>
          <w:sz w:val="28"/>
          <w:szCs w:val="28"/>
        </w:rPr>
        <w:t>5</w:t>
      </w:r>
      <w:r>
        <w:rPr>
          <w:rFonts w:hint="eastAsia" w:ascii="宋体" w:hAnsi="宋体" w:eastAsia="宋体"/>
          <w:color w:val="auto"/>
          <w:sz w:val="28"/>
          <w:szCs w:val="28"/>
          <w:lang w:eastAsia="zh-CN"/>
        </w:rPr>
        <w:t>)</w:t>
      </w:r>
      <w:r>
        <w:rPr>
          <w:rFonts w:ascii="宋体" w:hAnsi="宋体" w:eastAsia="宋体"/>
          <w:color w:val="auto"/>
          <w:sz w:val="28"/>
          <w:szCs w:val="28"/>
        </w:rPr>
        <w:t>安全生产条件评价单元。</w:t>
      </w:r>
    </w:p>
    <w:p>
      <w:pPr>
        <w:spacing w:line="560" w:lineRule="exact"/>
        <w:jc w:val="both"/>
        <w:outlineLvl w:val="1"/>
        <w:rPr>
          <w:rFonts w:ascii="楷体_GB2312" w:hAnsi="Times New Roman" w:eastAsia="楷体_GB2312" w:cs="Times New Roman"/>
          <w:bCs/>
          <w:color w:val="auto"/>
          <w:kern w:val="2"/>
          <w:sz w:val="32"/>
          <w:lang w:val="en-US" w:eastAsia="zh-CN" w:bidi="ar-SA"/>
        </w:rPr>
      </w:pPr>
      <w:bookmarkStart w:id="60" w:name="bookmark55"/>
      <w:bookmarkStart w:id="61" w:name="_Toc40045899"/>
      <w:r>
        <w:rPr>
          <w:rFonts w:ascii="楷体_GB2312" w:hAnsi="Times New Roman" w:eastAsia="楷体_GB2312" w:cs="Times New Roman"/>
          <w:bCs/>
          <w:color w:val="auto"/>
          <w:kern w:val="2"/>
          <w:sz w:val="32"/>
          <w:lang w:val="en-US" w:eastAsia="zh-CN" w:bidi="ar-SA"/>
        </w:rPr>
        <w:t>5.2评价方法的选择及确定</w:t>
      </w:r>
      <w:bookmarkEnd w:id="60"/>
      <w:bookmarkEnd w:id="61"/>
    </w:p>
    <w:p>
      <w:pPr>
        <w:spacing w:line="560" w:lineRule="exact"/>
        <w:ind w:firstLine="425" w:firstLineChars="152"/>
        <w:rPr>
          <w:rFonts w:ascii="宋体" w:hAnsi="宋体" w:eastAsia="宋体"/>
          <w:color w:val="auto"/>
          <w:sz w:val="28"/>
          <w:szCs w:val="28"/>
        </w:rPr>
      </w:pPr>
      <w:r>
        <w:rPr>
          <w:rFonts w:ascii="宋体" w:hAnsi="宋体" w:eastAsia="宋体"/>
          <w:color w:val="auto"/>
          <w:sz w:val="28"/>
          <w:szCs w:val="28"/>
        </w:rPr>
        <w:t>根据本企业的实际情况，本报告的评价方法选择如下：</w:t>
      </w:r>
    </w:p>
    <w:p>
      <w:pPr>
        <w:spacing w:line="560" w:lineRule="exact"/>
        <w:ind w:firstLine="425" w:firstLineChars="152"/>
        <w:rPr>
          <w:rFonts w:ascii="宋体" w:hAnsi="宋体" w:eastAsia="宋体"/>
          <w:color w:val="auto"/>
          <w:sz w:val="28"/>
          <w:szCs w:val="28"/>
        </w:rPr>
      </w:pPr>
      <w:r>
        <w:rPr>
          <w:rFonts w:ascii="宋体" w:hAnsi="宋体" w:eastAsia="宋体"/>
          <w:color w:val="auto"/>
          <w:sz w:val="28"/>
          <w:szCs w:val="28"/>
        </w:rPr>
        <w:t>1</w:t>
      </w:r>
      <w:r>
        <w:rPr>
          <w:rFonts w:hint="eastAsia" w:ascii="宋体" w:hAnsi="宋体" w:eastAsia="宋体"/>
          <w:color w:val="auto"/>
          <w:sz w:val="28"/>
          <w:szCs w:val="28"/>
        </w:rPr>
        <w:t>)</w:t>
      </w:r>
      <w:r>
        <w:rPr>
          <w:rFonts w:ascii="宋体" w:hAnsi="宋体" w:eastAsia="宋体"/>
          <w:color w:val="auto"/>
          <w:sz w:val="28"/>
          <w:szCs w:val="28"/>
        </w:rPr>
        <w:t>安全检查表：依据国家标准法规对每一个评价单元设置检查项目，对其安全生产条件的现状进行检查和分析评价。</w:t>
      </w:r>
    </w:p>
    <w:p>
      <w:pPr>
        <w:spacing w:line="560" w:lineRule="exact"/>
        <w:ind w:firstLine="425" w:firstLineChars="152"/>
        <w:rPr>
          <w:rFonts w:ascii="宋体" w:hAnsi="宋体" w:eastAsia="宋体"/>
          <w:color w:val="auto"/>
          <w:sz w:val="28"/>
          <w:szCs w:val="28"/>
        </w:rPr>
      </w:pPr>
      <w:r>
        <w:rPr>
          <w:rFonts w:ascii="宋体" w:hAnsi="宋体" w:eastAsia="宋体"/>
          <w:color w:val="auto"/>
          <w:sz w:val="28"/>
          <w:szCs w:val="28"/>
        </w:rPr>
        <w:t>2</w:t>
      </w:r>
      <w:r>
        <w:rPr>
          <w:rFonts w:hint="eastAsia" w:ascii="宋体" w:hAnsi="宋体" w:eastAsia="宋体"/>
          <w:color w:val="auto"/>
          <w:sz w:val="28"/>
          <w:szCs w:val="28"/>
        </w:rPr>
        <w:t>)</w:t>
      </w:r>
      <w:r>
        <w:rPr>
          <w:rFonts w:ascii="宋体" w:hAnsi="宋体" w:eastAsia="宋体"/>
          <w:color w:val="auto"/>
          <w:sz w:val="28"/>
          <w:szCs w:val="28"/>
        </w:rPr>
        <w:t>事故树分析法：该公司最主要的危险因素是火灾爆炸危险。对此，采用事故树分析法，对甲类车间的火灾爆炸危险程度进行评价。</w:t>
      </w:r>
    </w:p>
    <w:p>
      <w:pPr>
        <w:spacing w:line="560" w:lineRule="exact"/>
        <w:ind w:firstLine="425" w:firstLineChars="152"/>
        <w:rPr>
          <w:rFonts w:ascii="宋体" w:hAnsi="宋体" w:eastAsia="宋体"/>
          <w:color w:val="auto"/>
          <w:sz w:val="28"/>
          <w:szCs w:val="28"/>
        </w:rPr>
      </w:pPr>
      <w:r>
        <w:rPr>
          <w:rFonts w:ascii="宋体" w:hAnsi="宋体" w:eastAsia="宋体"/>
          <w:color w:val="auto"/>
          <w:sz w:val="28"/>
          <w:szCs w:val="28"/>
        </w:rPr>
        <w:t>3</w:t>
      </w:r>
      <w:r>
        <w:rPr>
          <w:rFonts w:hint="eastAsia" w:ascii="宋体" w:hAnsi="宋体" w:eastAsia="宋体"/>
          <w:color w:val="auto"/>
          <w:sz w:val="28"/>
          <w:szCs w:val="28"/>
        </w:rPr>
        <w:t>)</w:t>
      </w:r>
      <w:r>
        <w:rPr>
          <w:rFonts w:ascii="宋体" w:hAnsi="宋体" w:eastAsia="宋体"/>
          <w:color w:val="auto"/>
          <w:sz w:val="28"/>
          <w:szCs w:val="28"/>
        </w:rPr>
        <w:t>道化学火灾爆炸指数评价法：由危险危害因素辨识的结果可知，企业生产、储存危险化学品的过程中，其主要危险为火灾爆炸，而产生火灾爆炸的原因涉及很多方面。根据该公司的生产工艺及储存危险化学品设施的具体情况，采用道化学火灾爆炸危险指数法预测易燃易爆物料火灾爆炸事故发生的后果。</w:t>
      </w:r>
    </w:p>
    <w:p>
      <w:pPr>
        <w:spacing w:line="560" w:lineRule="exact"/>
        <w:ind w:firstLine="425" w:firstLineChars="152"/>
        <w:rPr>
          <w:rFonts w:ascii="宋体" w:hAnsi="宋体" w:eastAsia="宋体"/>
          <w:color w:val="auto"/>
          <w:sz w:val="28"/>
          <w:szCs w:val="28"/>
        </w:rPr>
      </w:pPr>
    </w:p>
    <w:p>
      <w:pPr>
        <w:pStyle w:val="3"/>
        <w:spacing w:after="120"/>
        <w:rPr>
          <w:snapToGrid/>
          <w:color w:val="auto"/>
        </w:rPr>
      </w:pPr>
      <w:bookmarkStart w:id="62" w:name="bookmark56"/>
      <w:r>
        <w:rPr>
          <w:snapToGrid/>
          <w:color w:val="auto"/>
        </w:rPr>
        <w:br w:type="page"/>
      </w:r>
    </w:p>
    <w:p>
      <w:pPr>
        <w:pStyle w:val="3"/>
        <w:spacing w:after="120"/>
        <w:rPr>
          <w:snapToGrid/>
          <w:color w:val="auto"/>
        </w:rPr>
      </w:pPr>
      <w:bookmarkStart w:id="63" w:name="_Toc40045900"/>
      <w:r>
        <w:rPr>
          <w:snapToGrid/>
          <w:color w:val="auto"/>
        </w:rPr>
        <w:t>6危险、有害因素分析结果</w:t>
      </w:r>
      <w:bookmarkEnd w:id="62"/>
      <w:bookmarkEnd w:id="63"/>
    </w:p>
    <w:p>
      <w:pPr>
        <w:spacing w:line="560" w:lineRule="exact"/>
        <w:jc w:val="both"/>
        <w:outlineLvl w:val="1"/>
        <w:rPr>
          <w:rFonts w:ascii="楷体_GB2312" w:hAnsi="Times New Roman" w:eastAsia="楷体_GB2312" w:cs="Times New Roman"/>
          <w:bCs/>
          <w:color w:val="auto"/>
          <w:kern w:val="2"/>
          <w:sz w:val="32"/>
          <w:lang w:val="en-US" w:eastAsia="zh-CN" w:bidi="ar-SA"/>
        </w:rPr>
      </w:pPr>
      <w:bookmarkStart w:id="64" w:name="bookmark58"/>
      <w:bookmarkStart w:id="65" w:name="bookmark57"/>
      <w:bookmarkStart w:id="66" w:name="_Toc40045901"/>
      <w:bookmarkStart w:id="67" w:name="bookmark59"/>
      <w:r>
        <w:rPr>
          <w:rFonts w:ascii="楷体_GB2312" w:hAnsi="Times New Roman" w:eastAsia="楷体_GB2312" w:cs="Times New Roman"/>
          <w:bCs/>
          <w:color w:val="auto"/>
          <w:kern w:val="2"/>
          <w:sz w:val="32"/>
          <w:lang w:val="en-US" w:eastAsia="zh-CN" w:bidi="ar-SA"/>
        </w:rPr>
        <w:t>6.1危险化学品危险特性分析结果</w:t>
      </w:r>
      <w:bookmarkEnd w:id="64"/>
      <w:bookmarkEnd w:id="65"/>
      <w:bookmarkEnd w:id="66"/>
      <w:bookmarkEnd w:id="67"/>
    </w:p>
    <w:p>
      <w:pPr>
        <w:spacing w:line="560" w:lineRule="exact"/>
        <w:ind w:firstLine="425" w:firstLineChars="152"/>
        <w:jc w:val="both"/>
        <w:rPr>
          <w:rFonts w:ascii="宋体" w:hAnsi="宋体" w:eastAsia="宋体"/>
          <w:color w:val="auto"/>
          <w:sz w:val="28"/>
          <w:szCs w:val="28"/>
        </w:rPr>
      </w:pPr>
      <w:r>
        <w:rPr>
          <w:rFonts w:ascii="宋体" w:hAnsi="宋体" w:eastAsia="宋体"/>
          <w:color w:val="auto"/>
          <w:sz w:val="28"/>
          <w:szCs w:val="28"/>
        </w:rPr>
        <w:t>依据《危险化学品目录(2015版)》(安全监管总局、工业和信息化部、公安部等公告2015年第5号)辨识，该公司</w:t>
      </w:r>
      <w:r>
        <w:rPr>
          <w:rFonts w:hint="eastAsia" w:ascii="宋体" w:hAnsi="宋体" w:eastAsia="宋体"/>
          <w:color w:val="auto"/>
          <w:sz w:val="28"/>
          <w:szCs w:val="28"/>
          <w:lang w:eastAsia="zh-CN"/>
        </w:rPr>
        <w:t>使用的</w:t>
      </w:r>
      <w:r>
        <w:rPr>
          <w:rFonts w:ascii="宋体" w:hAnsi="宋体" w:eastAsia="宋体"/>
          <w:color w:val="auto"/>
          <w:sz w:val="28"/>
          <w:szCs w:val="28"/>
        </w:rPr>
        <w:t>危险化学品为：</w:t>
      </w:r>
      <w:r>
        <w:rPr>
          <w:rFonts w:hint="eastAsia" w:ascii="宋体" w:hAnsi="宋体" w:eastAsia="宋体"/>
          <w:color w:val="auto"/>
          <w:sz w:val="28"/>
          <w:szCs w:val="28"/>
          <w:lang w:eastAsia="zh-CN"/>
        </w:rPr>
        <w:t>二甲苯异构体混合物、乙酸正丁酯、环己酮、苯乙烯[抑制了的]、乙酸乙酯、醇酸树脂、硝化纤维素溶液[含氮量≤12.6%，含硝化纤维素≤55%]、不饱和聚酯树脂、正丁醇、混丙醇、乙酸甲酯、乙酸仲丁酯、N,N-二甲基甲酰胺、丙二醇甲醚乙酸酯</w:t>
      </w:r>
      <w:r>
        <w:rPr>
          <w:rFonts w:ascii="宋体" w:hAnsi="宋体" w:eastAsia="宋体"/>
          <w:color w:val="auto"/>
          <w:sz w:val="28"/>
          <w:szCs w:val="28"/>
          <w:lang w:eastAsia="zh-CN"/>
        </w:rPr>
        <w:t>等，上述物质主要为易燃液体，物料的危险特性分析过程见“附件1.1危险化学品危险特性</w:t>
      </w:r>
      <w:r>
        <w:rPr>
          <w:rFonts w:ascii="宋体" w:hAnsi="宋体" w:eastAsia="宋体"/>
          <w:color w:val="auto"/>
          <w:sz w:val="28"/>
          <w:szCs w:val="28"/>
        </w:rPr>
        <w:t>分析”。</w:t>
      </w:r>
    </w:p>
    <w:p>
      <w:pPr>
        <w:spacing w:line="560" w:lineRule="exact"/>
        <w:jc w:val="both"/>
        <w:outlineLvl w:val="1"/>
        <w:rPr>
          <w:rFonts w:ascii="楷体_GB2312" w:hAnsi="Times New Roman" w:eastAsia="楷体_GB2312" w:cs="Times New Roman"/>
          <w:bCs/>
          <w:color w:val="auto"/>
          <w:kern w:val="2"/>
          <w:sz w:val="32"/>
          <w:lang w:val="en-US" w:eastAsia="zh-CN" w:bidi="ar-SA"/>
        </w:rPr>
      </w:pPr>
      <w:bookmarkStart w:id="68" w:name="bookmark60"/>
      <w:bookmarkStart w:id="69" w:name="_Toc40045902"/>
      <w:r>
        <w:rPr>
          <w:rFonts w:ascii="楷体_GB2312" w:hAnsi="Times New Roman" w:eastAsia="楷体_GB2312" w:cs="Times New Roman"/>
          <w:bCs/>
          <w:color w:val="auto"/>
          <w:kern w:val="2"/>
          <w:sz w:val="32"/>
          <w:lang w:val="en-US" w:eastAsia="zh-CN" w:bidi="ar-SA"/>
        </w:rPr>
        <w:t>6.2生产、储存过程危险的辨识结果</w:t>
      </w:r>
      <w:bookmarkEnd w:id="68"/>
      <w:bookmarkEnd w:id="69"/>
    </w:p>
    <w:p>
      <w:pPr>
        <w:spacing w:line="560" w:lineRule="exact"/>
        <w:ind w:firstLine="425" w:firstLineChars="152"/>
        <w:rPr>
          <w:rFonts w:ascii="宋体" w:hAnsi="宋体" w:eastAsia="PMingLiU"/>
          <w:color w:val="auto"/>
          <w:sz w:val="28"/>
          <w:szCs w:val="28"/>
        </w:rPr>
      </w:pPr>
      <w:r>
        <w:rPr>
          <w:rFonts w:ascii="宋体" w:hAnsi="宋体" w:eastAsia="宋体"/>
          <w:color w:val="auto"/>
          <w:sz w:val="28"/>
          <w:szCs w:val="28"/>
        </w:rPr>
        <w:t>依照《企业职工伤亡事故分类》(GB6441-</w:t>
      </w:r>
      <w:r>
        <w:rPr>
          <w:rFonts w:hint="eastAsia" w:ascii="宋体" w:hAnsi="宋体" w:eastAsia="宋体"/>
          <w:color w:val="auto"/>
          <w:sz w:val="28"/>
          <w:szCs w:val="28"/>
          <w:lang w:eastAsia="zh-CN"/>
        </w:rPr>
        <w:t>19</w:t>
      </w:r>
      <w:r>
        <w:rPr>
          <w:rFonts w:ascii="宋体" w:hAnsi="宋体" w:eastAsia="宋体"/>
          <w:color w:val="auto"/>
          <w:sz w:val="28"/>
          <w:szCs w:val="28"/>
        </w:rPr>
        <w:t>86)的规定，综合考虑事故起因物、引起事故先发的诱导性原因、致害物、伤害方式等，该公司在生产、储存和运输过程中存在的危险有害因素有：火灾爆炸、中毒</w:t>
      </w:r>
      <w:r>
        <w:rPr>
          <w:rFonts w:hint="eastAsia" w:ascii="宋体" w:hAnsi="宋体" w:eastAsia="宋体"/>
          <w:color w:val="auto"/>
          <w:sz w:val="28"/>
          <w:szCs w:val="28"/>
          <w:lang w:eastAsia="zh-CN"/>
        </w:rPr>
        <w:t>和</w:t>
      </w:r>
      <w:r>
        <w:rPr>
          <w:rFonts w:ascii="宋体" w:hAnsi="宋体" w:eastAsia="宋体"/>
          <w:color w:val="auto"/>
          <w:sz w:val="28"/>
          <w:szCs w:val="28"/>
        </w:rPr>
        <w:t>窒息、机械伤害、触电、物体打击、灼烫、</w:t>
      </w:r>
      <w:r>
        <w:rPr>
          <w:rFonts w:hint="eastAsia" w:ascii="宋体" w:hAnsi="宋体" w:eastAsia="宋体"/>
          <w:color w:val="auto"/>
          <w:sz w:val="28"/>
          <w:szCs w:val="28"/>
          <w:lang w:eastAsia="zh-CN"/>
        </w:rPr>
        <w:t>车辆伤害、</w:t>
      </w:r>
      <w:r>
        <w:rPr>
          <w:rFonts w:ascii="宋体" w:hAnsi="宋体" w:eastAsia="宋体"/>
          <w:color w:val="auto"/>
          <w:sz w:val="28"/>
          <w:szCs w:val="28"/>
        </w:rPr>
        <w:t>淹溺等。其中主要的危险、有害因素为火灾爆炸和中毒</w:t>
      </w:r>
      <w:r>
        <w:rPr>
          <w:rFonts w:hint="eastAsia" w:ascii="宋体" w:hAnsi="宋体" w:eastAsia="宋体"/>
          <w:color w:val="auto"/>
          <w:sz w:val="28"/>
          <w:szCs w:val="28"/>
          <w:lang w:eastAsia="zh-CN"/>
        </w:rPr>
        <w:t>和</w:t>
      </w:r>
      <w:r>
        <w:rPr>
          <w:rFonts w:ascii="宋体" w:hAnsi="宋体" w:eastAsia="宋体"/>
          <w:color w:val="auto"/>
          <w:sz w:val="28"/>
          <w:szCs w:val="28"/>
        </w:rPr>
        <w:t>窒息。具体辨识过程见：“附件：1.2生产、储存和运输过程危险、有害因素辨识”。主要危险场所、有害因素及其分布情况汇总如表6.2-1所示：</w:t>
      </w:r>
    </w:p>
    <w:p>
      <w:pPr>
        <w:spacing w:line="560" w:lineRule="exact"/>
        <w:jc w:val="center"/>
        <w:rPr>
          <w:rFonts w:ascii="宋体" w:hAnsi="宋体" w:eastAsia="宋体"/>
          <w:b/>
          <w:color w:val="auto"/>
          <w:lang w:eastAsia="zh-CN"/>
        </w:rPr>
      </w:pPr>
      <w:r>
        <w:rPr>
          <w:rFonts w:ascii="宋体" w:hAnsi="宋体" w:eastAsia="宋体"/>
          <w:b/>
          <w:color w:val="auto"/>
        </w:rPr>
        <w:t>表6-1主要危险有害因素及其分布情况表</w:t>
      </w:r>
    </w:p>
    <w:tbl>
      <w:tblPr>
        <w:tblStyle w:val="45"/>
        <w:tblW w:w="991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84"/>
        <w:gridCol w:w="850"/>
        <w:gridCol w:w="851"/>
        <w:gridCol w:w="850"/>
        <w:gridCol w:w="907"/>
        <w:gridCol w:w="851"/>
        <w:gridCol w:w="850"/>
        <w:gridCol w:w="804"/>
        <w:gridCol w:w="709"/>
        <w:gridCol w:w="7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blHeader/>
          <w:jc w:val="center"/>
        </w:trPr>
        <w:tc>
          <w:tcPr>
            <w:tcW w:w="2484" w:type="dxa"/>
            <w:vAlign w:val="center"/>
          </w:tcPr>
          <w:p>
            <w:pPr>
              <w:spacing w:line="340" w:lineRule="exact"/>
              <w:jc w:val="center"/>
              <w:rPr>
                <w:rFonts w:ascii="宋体" w:hAnsi="宋体" w:eastAsia="宋体"/>
                <w:b/>
                <w:color w:val="auto"/>
                <w:sz w:val="21"/>
                <w:szCs w:val="21"/>
              </w:rPr>
            </w:pPr>
            <w:r>
              <w:rPr>
                <w:rFonts w:hint="eastAsia" w:ascii="宋体" w:hAnsi="宋体" w:eastAsia="宋体"/>
                <w:b/>
                <w:color w:val="auto"/>
                <w:sz w:val="21"/>
                <w:szCs w:val="21"/>
              </w:rPr>
              <w:t>危险</w:t>
            </w:r>
          </w:p>
          <w:p>
            <w:pPr>
              <w:spacing w:line="340" w:lineRule="exact"/>
              <w:jc w:val="center"/>
              <w:rPr>
                <w:rFonts w:ascii="宋体" w:hAnsi="宋体" w:eastAsia="宋体"/>
                <w:b/>
                <w:color w:val="auto"/>
                <w:sz w:val="21"/>
                <w:szCs w:val="21"/>
              </w:rPr>
            </w:pPr>
            <w:r>
              <w:rPr>
                <w:rFonts w:hint="eastAsia" w:ascii="宋体" w:hAnsi="宋体" w:eastAsia="宋体"/>
                <w:b/>
                <w:color w:val="auto"/>
                <w:sz w:val="21"/>
                <w:szCs w:val="21"/>
              </w:rPr>
              <w:t>区域</w:t>
            </w:r>
          </w:p>
        </w:tc>
        <w:tc>
          <w:tcPr>
            <w:tcW w:w="850" w:type="dxa"/>
            <w:vAlign w:val="center"/>
          </w:tcPr>
          <w:p>
            <w:pPr>
              <w:spacing w:line="340" w:lineRule="exact"/>
              <w:jc w:val="center"/>
              <w:rPr>
                <w:rFonts w:ascii="宋体" w:hAnsi="宋体" w:eastAsia="宋体"/>
                <w:b/>
                <w:color w:val="auto"/>
                <w:sz w:val="21"/>
                <w:szCs w:val="21"/>
              </w:rPr>
            </w:pPr>
            <w:r>
              <w:rPr>
                <w:rFonts w:hint="eastAsia" w:ascii="宋体" w:hAnsi="宋体" w:eastAsia="宋体"/>
                <w:b/>
                <w:color w:val="auto"/>
                <w:sz w:val="21"/>
                <w:szCs w:val="21"/>
              </w:rPr>
              <w:t>火灾</w:t>
            </w:r>
            <w:r>
              <w:rPr>
                <w:rFonts w:hint="eastAsia" w:ascii="宋体" w:hAnsi="宋体" w:eastAsia="宋体"/>
                <w:b/>
                <w:color w:val="auto"/>
                <w:sz w:val="21"/>
                <w:szCs w:val="21"/>
                <w:lang w:eastAsia="zh-CN"/>
              </w:rPr>
              <w:t>、</w:t>
            </w:r>
            <w:r>
              <w:rPr>
                <w:rFonts w:hint="eastAsia" w:ascii="宋体" w:hAnsi="宋体" w:eastAsia="宋体"/>
                <w:b/>
                <w:color w:val="auto"/>
                <w:sz w:val="21"/>
                <w:szCs w:val="21"/>
              </w:rPr>
              <w:t>爆炸</w:t>
            </w:r>
          </w:p>
        </w:tc>
        <w:tc>
          <w:tcPr>
            <w:tcW w:w="851" w:type="dxa"/>
            <w:vAlign w:val="center"/>
          </w:tcPr>
          <w:p>
            <w:pPr>
              <w:spacing w:line="340" w:lineRule="exact"/>
              <w:jc w:val="center"/>
              <w:rPr>
                <w:rFonts w:ascii="宋体" w:hAnsi="宋体" w:eastAsia="宋体"/>
                <w:b/>
                <w:color w:val="auto"/>
                <w:sz w:val="21"/>
                <w:szCs w:val="21"/>
              </w:rPr>
            </w:pPr>
            <w:r>
              <w:rPr>
                <w:rFonts w:hint="eastAsia" w:ascii="宋体" w:hAnsi="宋体" w:eastAsia="宋体"/>
                <w:b/>
                <w:color w:val="auto"/>
                <w:sz w:val="21"/>
                <w:szCs w:val="21"/>
              </w:rPr>
              <w:t>中毒和窒息</w:t>
            </w:r>
          </w:p>
        </w:tc>
        <w:tc>
          <w:tcPr>
            <w:tcW w:w="850" w:type="dxa"/>
            <w:vAlign w:val="center"/>
          </w:tcPr>
          <w:p>
            <w:pPr>
              <w:spacing w:line="340" w:lineRule="exact"/>
              <w:jc w:val="center"/>
              <w:rPr>
                <w:rFonts w:ascii="宋体" w:hAnsi="宋体" w:eastAsia="宋体"/>
                <w:b/>
                <w:color w:val="auto"/>
                <w:sz w:val="21"/>
                <w:szCs w:val="21"/>
              </w:rPr>
            </w:pPr>
            <w:r>
              <w:rPr>
                <w:rFonts w:hint="eastAsia" w:ascii="宋体" w:hAnsi="宋体" w:eastAsia="宋体"/>
                <w:b/>
                <w:color w:val="auto"/>
                <w:sz w:val="21"/>
                <w:szCs w:val="21"/>
              </w:rPr>
              <w:t>机械伤害</w:t>
            </w:r>
          </w:p>
        </w:tc>
        <w:tc>
          <w:tcPr>
            <w:tcW w:w="907" w:type="dxa"/>
            <w:vAlign w:val="center"/>
          </w:tcPr>
          <w:p>
            <w:pPr>
              <w:spacing w:line="340" w:lineRule="exact"/>
              <w:jc w:val="center"/>
              <w:rPr>
                <w:rFonts w:ascii="宋体" w:hAnsi="宋体" w:eastAsia="宋体"/>
                <w:b/>
                <w:color w:val="auto"/>
                <w:sz w:val="21"/>
                <w:szCs w:val="21"/>
              </w:rPr>
            </w:pPr>
            <w:r>
              <w:rPr>
                <w:rFonts w:hint="eastAsia" w:ascii="宋体" w:hAnsi="宋体" w:eastAsia="宋体"/>
                <w:b/>
                <w:color w:val="auto"/>
                <w:sz w:val="21"/>
                <w:szCs w:val="21"/>
              </w:rPr>
              <w:t>触电伤害</w:t>
            </w:r>
          </w:p>
        </w:tc>
        <w:tc>
          <w:tcPr>
            <w:tcW w:w="851" w:type="dxa"/>
            <w:vAlign w:val="center"/>
          </w:tcPr>
          <w:p>
            <w:pPr>
              <w:spacing w:line="340" w:lineRule="exact"/>
              <w:jc w:val="center"/>
              <w:rPr>
                <w:rFonts w:ascii="宋体" w:hAnsi="宋体" w:eastAsia="宋体"/>
                <w:b/>
                <w:color w:val="auto"/>
                <w:sz w:val="21"/>
                <w:szCs w:val="21"/>
              </w:rPr>
            </w:pPr>
            <w:r>
              <w:rPr>
                <w:rFonts w:hint="eastAsia" w:ascii="宋体" w:hAnsi="宋体" w:eastAsia="宋体"/>
                <w:b/>
                <w:color w:val="auto"/>
                <w:sz w:val="21"/>
                <w:szCs w:val="21"/>
              </w:rPr>
              <w:t>物体打击</w:t>
            </w:r>
          </w:p>
        </w:tc>
        <w:tc>
          <w:tcPr>
            <w:tcW w:w="850" w:type="dxa"/>
            <w:vAlign w:val="center"/>
          </w:tcPr>
          <w:p>
            <w:pPr>
              <w:spacing w:line="340" w:lineRule="exact"/>
              <w:jc w:val="center"/>
              <w:rPr>
                <w:rFonts w:ascii="宋体" w:hAnsi="宋体" w:eastAsia="宋体"/>
                <w:b/>
                <w:color w:val="auto"/>
                <w:sz w:val="21"/>
                <w:szCs w:val="21"/>
                <w:lang w:eastAsia="zh-CN"/>
              </w:rPr>
            </w:pPr>
            <w:r>
              <w:rPr>
                <w:rFonts w:hint="eastAsia" w:ascii="宋体" w:hAnsi="宋体" w:eastAsia="宋体"/>
                <w:b/>
                <w:color w:val="auto"/>
                <w:sz w:val="21"/>
                <w:szCs w:val="21"/>
                <w:lang w:eastAsia="zh-CN"/>
              </w:rPr>
              <w:t>灼烫</w:t>
            </w:r>
          </w:p>
        </w:tc>
        <w:tc>
          <w:tcPr>
            <w:tcW w:w="804" w:type="dxa"/>
            <w:vAlign w:val="center"/>
          </w:tcPr>
          <w:p>
            <w:pPr>
              <w:spacing w:line="340" w:lineRule="exact"/>
              <w:jc w:val="center"/>
              <w:rPr>
                <w:rFonts w:ascii="宋体" w:hAnsi="宋体" w:eastAsia="宋体"/>
                <w:b/>
                <w:color w:val="auto"/>
                <w:sz w:val="21"/>
                <w:szCs w:val="21"/>
              </w:rPr>
            </w:pPr>
            <w:r>
              <w:rPr>
                <w:rFonts w:hint="eastAsia" w:ascii="宋体" w:hAnsi="宋体" w:eastAsia="宋体"/>
                <w:b/>
                <w:color w:val="auto"/>
                <w:sz w:val="21"/>
                <w:szCs w:val="21"/>
              </w:rPr>
              <w:t>淹溺</w:t>
            </w:r>
          </w:p>
        </w:tc>
        <w:tc>
          <w:tcPr>
            <w:tcW w:w="709" w:type="dxa"/>
            <w:vAlign w:val="center"/>
          </w:tcPr>
          <w:p>
            <w:pPr>
              <w:spacing w:line="340" w:lineRule="exact"/>
              <w:jc w:val="center"/>
              <w:rPr>
                <w:rFonts w:ascii="宋体" w:hAnsi="宋体" w:eastAsia="宋体"/>
                <w:b/>
                <w:color w:val="auto"/>
                <w:sz w:val="21"/>
                <w:szCs w:val="21"/>
              </w:rPr>
            </w:pPr>
            <w:r>
              <w:rPr>
                <w:rFonts w:hint="eastAsia" w:ascii="宋体" w:hAnsi="宋体" w:eastAsia="宋体"/>
                <w:b/>
                <w:color w:val="auto"/>
                <w:sz w:val="21"/>
                <w:szCs w:val="21"/>
              </w:rPr>
              <w:t>噪声</w:t>
            </w:r>
          </w:p>
        </w:tc>
        <w:tc>
          <w:tcPr>
            <w:tcW w:w="755" w:type="dxa"/>
            <w:vAlign w:val="center"/>
          </w:tcPr>
          <w:p>
            <w:pPr>
              <w:spacing w:line="340" w:lineRule="exact"/>
              <w:jc w:val="center"/>
              <w:rPr>
                <w:rFonts w:ascii="宋体" w:hAnsi="宋体" w:eastAsia="宋体"/>
                <w:b/>
                <w:color w:val="auto"/>
                <w:sz w:val="21"/>
                <w:szCs w:val="21"/>
                <w:lang w:eastAsia="zh-CN"/>
              </w:rPr>
            </w:pPr>
            <w:r>
              <w:rPr>
                <w:rFonts w:hint="eastAsia" w:ascii="宋体" w:hAnsi="宋体" w:eastAsia="宋体"/>
                <w:b/>
                <w:color w:val="auto"/>
                <w:sz w:val="21"/>
                <w:szCs w:val="21"/>
                <w:lang w:eastAsia="zh-CN"/>
              </w:rPr>
              <w:t>车辆伤害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2484" w:type="dxa"/>
            <w:vAlign w:val="center"/>
          </w:tcPr>
          <w:p>
            <w:pPr>
              <w:jc w:val="center"/>
              <w:rPr>
                <w:rFonts w:ascii="宋体" w:hAnsi="宋体" w:eastAsia="宋体"/>
                <w:color w:val="auto"/>
                <w:sz w:val="21"/>
                <w:szCs w:val="21"/>
              </w:rPr>
            </w:pPr>
            <w:r>
              <w:rPr>
                <w:rFonts w:hint="eastAsia" w:ascii="宋体" w:hAnsi="宋体" w:eastAsia="宋体"/>
                <w:color w:val="auto"/>
                <w:sz w:val="21"/>
                <w:szCs w:val="21"/>
              </w:rPr>
              <w:t>甲类车间</w:t>
            </w:r>
          </w:p>
        </w:tc>
        <w:tc>
          <w:tcPr>
            <w:tcW w:w="850" w:type="dxa"/>
            <w:vAlign w:val="center"/>
          </w:tcPr>
          <w:p>
            <w:pPr>
              <w:spacing w:line="500" w:lineRule="exact"/>
              <w:jc w:val="center"/>
              <w:rPr>
                <w:rFonts w:ascii="宋体" w:hAnsi="宋体" w:eastAsia="宋体"/>
                <w:color w:val="auto"/>
                <w:sz w:val="21"/>
                <w:szCs w:val="21"/>
              </w:rPr>
            </w:pPr>
            <w:r>
              <w:rPr>
                <w:rFonts w:hint="eastAsia" w:ascii="宋体" w:hAnsi="宋体" w:eastAsia="宋体"/>
                <w:color w:val="auto"/>
                <w:sz w:val="21"/>
                <w:szCs w:val="21"/>
              </w:rPr>
              <w:t>√</w:t>
            </w:r>
          </w:p>
        </w:tc>
        <w:tc>
          <w:tcPr>
            <w:tcW w:w="851" w:type="dxa"/>
            <w:vAlign w:val="center"/>
          </w:tcPr>
          <w:p>
            <w:pPr>
              <w:spacing w:line="500" w:lineRule="exact"/>
              <w:jc w:val="center"/>
              <w:rPr>
                <w:rFonts w:ascii="宋体" w:hAnsi="宋体" w:eastAsia="宋体"/>
                <w:color w:val="auto"/>
                <w:sz w:val="21"/>
                <w:szCs w:val="21"/>
              </w:rPr>
            </w:pPr>
            <w:r>
              <w:rPr>
                <w:rFonts w:hint="eastAsia" w:ascii="宋体" w:hAnsi="宋体" w:eastAsia="宋体"/>
                <w:color w:val="auto"/>
                <w:sz w:val="21"/>
                <w:szCs w:val="21"/>
              </w:rPr>
              <w:t>√</w:t>
            </w:r>
          </w:p>
        </w:tc>
        <w:tc>
          <w:tcPr>
            <w:tcW w:w="850" w:type="dxa"/>
            <w:vAlign w:val="center"/>
          </w:tcPr>
          <w:p>
            <w:pPr>
              <w:spacing w:line="500" w:lineRule="exact"/>
              <w:jc w:val="center"/>
              <w:rPr>
                <w:rFonts w:ascii="宋体" w:hAnsi="宋体" w:eastAsia="宋体"/>
                <w:color w:val="auto"/>
                <w:sz w:val="21"/>
                <w:szCs w:val="21"/>
              </w:rPr>
            </w:pPr>
            <w:r>
              <w:rPr>
                <w:rFonts w:hint="eastAsia" w:ascii="宋体" w:hAnsi="宋体" w:eastAsia="宋体"/>
                <w:color w:val="auto"/>
                <w:sz w:val="21"/>
                <w:szCs w:val="21"/>
              </w:rPr>
              <w:t>√</w:t>
            </w:r>
          </w:p>
        </w:tc>
        <w:tc>
          <w:tcPr>
            <w:tcW w:w="907" w:type="dxa"/>
            <w:vAlign w:val="center"/>
          </w:tcPr>
          <w:p>
            <w:pPr>
              <w:spacing w:line="500" w:lineRule="exact"/>
              <w:jc w:val="center"/>
              <w:rPr>
                <w:rFonts w:ascii="宋体" w:hAnsi="宋体" w:eastAsia="宋体"/>
                <w:color w:val="auto"/>
                <w:sz w:val="21"/>
                <w:szCs w:val="21"/>
              </w:rPr>
            </w:pPr>
            <w:r>
              <w:rPr>
                <w:rFonts w:hint="eastAsia" w:ascii="宋体" w:hAnsi="宋体" w:eastAsia="宋体"/>
                <w:color w:val="auto"/>
                <w:sz w:val="21"/>
                <w:szCs w:val="21"/>
              </w:rPr>
              <w:t>√</w:t>
            </w:r>
          </w:p>
        </w:tc>
        <w:tc>
          <w:tcPr>
            <w:tcW w:w="851" w:type="dxa"/>
            <w:vAlign w:val="center"/>
          </w:tcPr>
          <w:p>
            <w:pPr>
              <w:spacing w:line="500" w:lineRule="exact"/>
              <w:jc w:val="center"/>
              <w:rPr>
                <w:rFonts w:ascii="宋体" w:hAnsi="宋体" w:eastAsia="宋体"/>
                <w:color w:val="auto"/>
                <w:sz w:val="21"/>
                <w:szCs w:val="21"/>
              </w:rPr>
            </w:pPr>
            <w:r>
              <w:rPr>
                <w:rFonts w:hint="eastAsia" w:ascii="宋体" w:hAnsi="宋体" w:eastAsia="宋体"/>
                <w:color w:val="auto"/>
                <w:sz w:val="21"/>
                <w:szCs w:val="21"/>
              </w:rPr>
              <w:t>√</w:t>
            </w:r>
          </w:p>
        </w:tc>
        <w:tc>
          <w:tcPr>
            <w:tcW w:w="850" w:type="dxa"/>
            <w:vAlign w:val="center"/>
          </w:tcPr>
          <w:p>
            <w:pPr>
              <w:spacing w:line="500" w:lineRule="exact"/>
              <w:jc w:val="center"/>
              <w:rPr>
                <w:rFonts w:ascii="宋体" w:hAnsi="宋体" w:eastAsia="宋体"/>
                <w:color w:val="auto"/>
                <w:sz w:val="21"/>
                <w:szCs w:val="21"/>
              </w:rPr>
            </w:pPr>
            <w:r>
              <w:rPr>
                <w:rFonts w:hint="eastAsia" w:ascii="宋体" w:hAnsi="宋体" w:eastAsia="宋体"/>
                <w:color w:val="auto"/>
                <w:sz w:val="21"/>
                <w:szCs w:val="21"/>
              </w:rPr>
              <w:t>√</w:t>
            </w:r>
          </w:p>
        </w:tc>
        <w:tc>
          <w:tcPr>
            <w:tcW w:w="804" w:type="dxa"/>
            <w:vAlign w:val="center"/>
          </w:tcPr>
          <w:p>
            <w:pPr>
              <w:spacing w:line="500" w:lineRule="exact"/>
              <w:jc w:val="center"/>
              <w:rPr>
                <w:rFonts w:ascii="宋体" w:hAnsi="宋体" w:eastAsia="宋体"/>
                <w:color w:val="auto"/>
                <w:sz w:val="21"/>
                <w:szCs w:val="21"/>
              </w:rPr>
            </w:pPr>
            <w:r>
              <w:rPr>
                <w:rFonts w:hint="eastAsia" w:ascii="宋体" w:hAnsi="宋体" w:eastAsia="宋体"/>
                <w:color w:val="auto"/>
                <w:sz w:val="21"/>
                <w:szCs w:val="21"/>
              </w:rPr>
              <w:t>—</w:t>
            </w:r>
          </w:p>
        </w:tc>
        <w:tc>
          <w:tcPr>
            <w:tcW w:w="709" w:type="dxa"/>
            <w:vAlign w:val="center"/>
          </w:tcPr>
          <w:p>
            <w:pPr>
              <w:spacing w:line="500" w:lineRule="exact"/>
              <w:jc w:val="center"/>
              <w:rPr>
                <w:rFonts w:ascii="宋体" w:hAnsi="宋体" w:eastAsia="宋体"/>
                <w:color w:val="auto"/>
                <w:sz w:val="21"/>
                <w:szCs w:val="21"/>
              </w:rPr>
            </w:pPr>
            <w:r>
              <w:rPr>
                <w:rFonts w:hint="eastAsia" w:ascii="宋体" w:hAnsi="宋体" w:eastAsia="宋体"/>
                <w:color w:val="auto"/>
                <w:sz w:val="21"/>
                <w:szCs w:val="21"/>
              </w:rPr>
              <w:t>√</w:t>
            </w:r>
          </w:p>
        </w:tc>
        <w:tc>
          <w:tcPr>
            <w:tcW w:w="755" w:type="dxa"/>
            <w:vAlign w:val="center"/>
          </w:tcPr>
          <w:p>
            <w:pPr>
              <w:jc w:val="center"/>
              <w:rPr>
                <w:color w:val="auto"/>
              </w:rPr>
            </w:pPr>
            <w:r>
              <w:rPr>
                <w:rFonts w:hint="eastAsia" w:ascii="宋体" w:hAnsi="宋体" w:eastAsia="宋体"/>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2484" w:type="dxa"/>
            <w:vAlign w:val="center"/>
          </w:tcPr>
          <w:p>
            <w:pPr>
              <w:jc w:val="center"/>
              <w:rPr>
                <w:rFonts w:ascii="宋体" w:hAnsi="宋体" w:eastAsia="宋体"/>
                <w:color w:val="auto"/>
                <w:sz w:val="21"/>
                <w:szCs w:val="21"/>
              </w:rPr>
            </w:pPr>
            <w:r>
              <w:rPr>
                <w:rFonts w:hint="eastAsia" w:ascii="宋体" w:hAnsi="宋体" w:eastAsia="宋体"/>
                <w:color w:val="auto"/>
                <w:sz w:val="21"/>
                <w:szCs w:val="21"/>
              </w:rPr>
              <w:t>甲类仓库</w:t>
            </w:r>
          </w:p>
        </w:tc>
        <w:tc>
          <w:tcPr>
            <w:tcW w:w="850" w:type="dxa"/>
            <w:vAlign w:val="center"/>
          </w:tcPr>
          <w:p>
            <w:pPr>
              <w:spacing w:line="500" w:lineRule="exact"/>
              <w:jc w:val="center"/>
              <w:rPr>
                <w:rFonts w:ascii="宋体" w:hAnsi="宋体" w:eastAsia="宋体"/>
                <w:color w:val="auto"/>
                <w:sz w:val="21"/>
                <w:szCs w:val="21"/>
              </w:rPr>
            </w:pPr>
            <w:r>
              <w:rPr>
                <w:rFonts w:hint="eastAsia" w:ascii="宋体" w:hAnsi="宋体" w:eastAsia="宋体"/>
                <w:color w:val="auto"/>
                <w:sz w:val="21"/>
                <w:szCs w:val="21"/>
              </w:rPr>
              <w:t>√</w:t>
            </w:r>
          </w:p>
        </w:tc>
        <w:tc>
          <w:tcPr>
            <w:tcW w:w="851" w:type="dxa"/>
            <w:vAlign w:val="center"/>
          </w:tcPr>
          <w:p>
            <w:pPr>
              <w:spacing w:line="500" w:lineRule="exact"/>
              <w:jc w:val="center"/>
              <w:rPr>
                <w:rFonts w:ascii="宋体" w:hAnsi="宋体" w:eastAsia="宋体"/>
                <w:color w:val="auto"/>
                <w:sz w:val="21"/>
                <w:szCs w:val="21"/>
              </w:rPr>
            </w:pPr>
            <w:r>
              <w:rPr>
                <w:rFonts w:hint="eastAsia" w:ascii="宋体" w:hAnsi="宋体" w:eastAsia="宋体"/>
                <w:color w:val="auto"/>
                <w:sz w:val="21"/>
                <w:szCs w:val="21"/>
              </w:rPr>
              <w:t>√</w:t>
            </w:r>
          </w:p>
        </w:tc>
        <w:tc>
          <w:tcPr>
            <w:tcW w:w="850" w:type="dxa"/>
            <w:vAlign w:val="center"/>
          </w:tcPr>
          <w:p>
            <w:pPr>
              <w:spacing w:line="500" w:lineRule="exact"/>
              <w:jc w:val="center"/>
              <w:rPr>
                <w:rFonts w:ascii="宋体" w:hAnsi="宋体" w:eastAsia="宋体"/>
                <w:color w:val="auto"/>
                <w:sz w:val="21"/>
                <w:szCs w:val="21"/>
              </w:rPr>
            </w:pPr>
            <w:r>
              <w:rPr>
                <w:rFonts w:hint="eastAsia" w:ascii="宋体" w:hAnsi="宋体" w:eastAsia="宋体"/>
                <w:color w:val="auto"/>
                <w:sz w:val="21"/>
                <w:szCs w:val="21"/>
              </w:rPr>
              <w:t>—</w:t>
            </w:r>
          </w:p>
        </w:tc>
        <w:tc>
          <w:tcPr>
            <w:tcW w:w="907" w:type="dxa"/>
            <w:vAlign w:val="center"/>
          </w:tcPr>
          <w:p>
            <w:pPr>
              <w:spacing w:line="500" w:lineRule="exact"/>
              <w:jc w:val="center"/>
              <w:rPr>
                <w:rFonts w:ascii="宋体" w:hAnsi="宋体" w:eastAsia="宋体"/>
                <w:color w:val="auto"/>
                <w:sz w:val="21"/>
                <w:szCs w:val="21"/>
              </w:rPr>
            </w:pPr>
            <w:r>
              <w:rPr>
                <w:rFonts w:hint="eastAsia" w:ascii="宋体" w:hAnsi="宋体" w:eastAsia="宋体"/>
                <w:color w:val="auto"/>
                <w:sz w:val="21"/>
                <w:szCs w:val="21"/>
              </w:rPr>
              <w:t>√</w:t>
            </w:r>
          </w:p>
        </w:tc>
        <w:tc>
          <w:tcPr>
            <w:tcW w:w="851" w:type="dxa"/>
            <w:vAlign w:val="center"/>
          </w:tcPr>
          <w:p>
            <w:pPr>
              <w:spacing w:line="500" w:lineRule="exact"/>
              <w:jc w:val="center"/>
              <w:rPr>
                <w:rFonts w:ascii="宋体" w:hAnsi="宋体" w:eastAsia="宋体"/>
                <w:color w:val="auto"/>
                <w:sz w:val="21"/>
                <w:szCs w:val="21"/>
              </w:rPr>
            </w:pPr>
            <w:r>
              <w:rPr>
                <w:rFonts w:hint="eastAsia" w:ascii="宋体" w:hAnsi="宋体" w:eastAsia="宋体"/>
                <w:color w:val="auto"/>
                <w:sz w:val="21"/>
                <w:szCs w:val="21"/>
              </w:rPr>
              <w:t>√</w:t>
            </w:r>
          </w:p>
        </w:tc>
        <w:tc>
          <w:tcPr>
            <w:tcW w:w="850" w:type="dxa"/>
            <w:vAlign w:val="center"/>
          </w:tcPr>
          <w:p>
            <w:pPr>
              <w:spacing w:line="500" w:lineRule="exact"/>
              <w:jc w:val="center"/>
              <w:rPr>
                <w:rFonts w:ascii="宋体" w:hAnsi="宋体" w:eastAsia="宋体"/>
                <w:color w:val="auto"/>
                <w:sz w:val="21"/>
                <w:szCs w:val="21"/>
              </w:rPr>
            </w:pPr>
            <w:r>
              <w:rPr>
                <w:rFonts w:hint="eastAsia" w:ascii="宋体" w:hAnsi="宋体" w:eastAsia="宋体"/>
                <w:color w:val="auto"/>
                <w:sz w:val="21"/>
                <w:szCs w:val="21"/>
              </w:rPr>
              <w:t>√</w:t>
            </w:r>
          </w:p>
        </w:tc>
        <w:tc>
          <w:tcPr>
            <w:tcW w:w="804" w:type="dxa"/>
            <w:vAlign w:val="center"/>
          </w:tcPr>
          <w:p>
            <w:pPr>
              <w:jc w:val="center"/>
              <w:rPr>
                <w:rFonts w:ascii="宋体" w:hAnsi="宋体" w:eastAsia="宋体"/>
                <w:color w:val="auto"/>
                <w:sz w:val="21"/>
                <w:szCs w:val="21"/>
              </w:rPr>
            </w:pPr>
            <w:r>
              <w:rPr>
                <w:rFonts w:hint="eastAsia" w:ascii="宋体" w:hAnsi="宋体" w:eastAsia="宋体"/>
                <w:color w:val="auto"/>
                <w:sz w:val="21"/>
                <w:szCs w:val="21"/>
              </w:rPr>
              <w:t>—</w:t>
            </w:r>
          </w:p>
        </w:tc>
        <w:tc>
          <w:tcPr>
            <w:tcW w:w="709" w:type="dxa"/>
            <w:vAlign w:val="center"/>
          </w:tcPr>
          <w:p>
            <w:pPr>
              <w:jc w:val="center"/>
              <w:rPr>
                <w:rFonts w:ascii="宋体" w:hAnsi="宋体" w:eastAsia="宋体"/>
                <w:color w:val="auto"/>
                <w:sz w:val="21"/>
                <w:szCs w:val="21"/>
              </w:rPr>
            </w:pPr>
            <w:r>
              <w:rPr>
                <w:rFonts w:hint="eastAsia" w:ascii="宋体" w:hAnsi="宋体" w:eastAsia="宋体"/>
                <w:color w:val="auto"/>
                <w:sz w:val="21"/>
                <w:szCs w:val="21"/>
              </w:rPr>
              <w:t>—</w:t>
            </w:r>
          </w:p>
        </w:tc>
        <w:tc>
          <w:tcPr>
            <w:tcW w:w="755" w:type="dxa"/>
            <w:vAlign w:val="center"/>
          </w:tcPr>
          <w:p>
            <w:pPr>
              <w:jc w:val="center"/>
              <w:rPr>
                <w:color w:val="auto"/>
              </w:rPr>
            </w:pPr>
            <w:r>
              <w:rPr>
                <w:rFonts w:hint="eastAsia" w:ascii="宋体" w:hAnsi="宋体" w:eastAsia="宋体"/>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2484" w:type="dxa"/>
            <w:vAlign w:val="center"/>
          </w:tcPr>
          <w:p>
            <w:pPr>
              <w:jc w:val="center"/>
              <w:rPr>
                <w:rFonts w:ascii="宋体" w:hAnsi="宋体" w:eastAsia="宋体"/>
                <w:color w:val="auto"/>
                <w:sz w:val="21"/>
                <w:szCs w:val="21"/>
              </w:rPr>
            </w:pPr>
            <w:r>
              <w:rPr>
                <w:rFonts w:hint="eastAsia" w:ascii="宋体" w:hAnsi="宋体" w:eastAsia="宋体"/>
                <w:color w:val="auto"/>
                <w:sz w:val="21"/>
                <w:szCs w:val="21"/>
              </w:rPr>
              <w:t>配电房</w:t>
            </w:r>
          </w:p>
        </w:tc>
        <w:tc>
          <w:tcPr>
            <w:tcW w:w="850" w:type="dxa"/>
            <w:vAlign w:val="center"/>
          </w:tcPr>
          <w:p>
            <w:pPr>
              <w:jc w:val="center"/>
              <w:rPr>
                <w:rFonts w:ascii="宋体" w:hAnsi="宋体" w:eastAsia="宋体"/>
                <w:color w:val="auto"/>
                <w:sz w:val="21"/>
                <w:szCs w:val="21"/>
              </w:rPr>
            </w:pPr>
            <w:r>
              <w:rPr>
                <w:rFonts w:hint="eastAsia" w:ascii="宋体" w:hAnsi="宋体" w:eastAsia="宋体"/>
                <w:color w:val="auto"/>
                <w:sz w:val="21"/>
                <w:szCs w:val="21"/>
              </w:rPr>
              <w:t>√</w:t>
            </w:r>
          </w:p>
        </w:tc>
        <w:tc>
          <w:tcPr>
            <w:tcW w:w="851" w:type="dxa"/>
            <w:vAlign w:val="center"/>
          </w:tcPr>
          <w:p>
            <w:pPr>
              <w:jc w:val="center"/>
              <w:rPr>
                <w:rFonts w:ascii="宋体" w:hAnsi="宋体" w:eastAsia="宋体"/>
                <w:color w:val="auto"/>
                <w:sz w:val="21"/>
                <w:szCs w:val="21"/>
              </w:rPr>
            </w:pPr>
            <w:r>
              <w:rPr>
                <w:rFonts w:hint="eastAsia" w:ascii="宋体" w:hAnsi="宋体" w:eastAsia="宋体"/>
                <w:color w:val="auto"/>
                <w:sz w:val="21"/>
                <w:szCs w:val="21"/>
              </w:rPr>
              <w:t>—</w:t>
            </w:r>
          </w:p>
        </w:tc>
        <w:tc>
          <w:tcPr>
            <w:tcW w:w="850" w:type="dxa"/>
            <w:vAlign w:val="center"/>
          </w:tcPr>
          <w:p>
            <w:pPr>
              <w:jc w:val="center"/>
              <w:rPr>
                <w:rFonts w:ascii="宋体" w:hAnsi="宋体" w:eastAsia="宋体"/>
                <w:color w:val="auto"/>
                <w:sz w:val="21"/>
                <w:szCs w:val="21"/>
              </w:rPr>
            </w:pPr>
            <w:r>
              <w:rPr>
                <w:rFonts w:hint="eastAsia" w:ascii="宋体" w:hAnsi="宋体" w:eastAsia="宋体"/>
                <w:color w:val="auto"/>
                <w:sz w:val="21"/>
                <w:szCs w:val="21"/>
              </w:rPr>
              <w:t>—</w:t>
            </w:r>
          </w:p>
        </w:tc>
        <w:tc>
          <w:tcPr>
            <w:tcW w:w="907" w:type="dxa"/>
            <w:vAlign w:val="center"/>
          </w:tcPr>
          <w:p>
            <w:pPr>
              <w:jc w:val="center"/>
              <w:rPr>
                <w:rFonts w:ascii="宋体" w:hAnsi="宋体" w:eastAsia="宋体"/>
                <w:color w:val="auto"/>
                <w:sz w:val="21"/>
                <w:szCs w:val="21"/>
              </w:rPr>
            </w:pPr>
            <w:r>
              <w:rPr>
                <w:rFonts w:hint="eastAsia" w:ascii="宋体" w:hAnsi="宋体" w:eastAsia="宋体"/>
                <w:color w:val="auto"/>
                <w:sz w:val="21"/>
                <w:szCs w:val="21"/>
              </w:rPr>
              <w:t>√</w:t>
            </w:r>
          </w:p>
        </w:tc>
        <w:tc>
          <w:tcPr>
            <w:tcW w:w="851" w:type="dxa"/>
            <w:vAlign w:val="center"/>
          </w:tcPr>
          <w:p>
            <w:pPr>
              <w:jc w:val="center"/>
              <w:rPr>
                <w:rFonts w:ascii="宋体" w:hAnsi="宋体" w:eastAsia="宋体"/>
                <w:color w:val="auto"/>
                <w:sz w:val="21"/>
                <w:szCs w:val="21"/>
              </w:rPr>
            </w:pPr>
            <w:r>
              <w:rPr>
                <w:rFonts w:hint="eastAsia" w:ascii="宋体" w:hAnsi="宋体" w:eastAsia="宋体"/>
                <w:color w:val="auto"/>
                <w:sz w:val="21"/>
                <w:szCs w:val="21"/>
              </w:rPr>
              <w:t>√</w:t>
            </w:r>
          </w:p>
        </w:tc>
        <w:tc>
          <w:tcPr>
            <w:tcW w:w="850" w:type="dxa"/>
            <w:vAlign w:val="center"/>
          </w:tcPr>
          <w:p>
            <w:pPr>
              <w:jc w:val="center"/>
              <w:rPr>
                <w:rFonts w:ascii="宋体" w:hAnsi="宋体" w:eastAsia="宋体"/>
                <w:color w:val="auto"/>
                <w:sz w:val="21"/>
                <w:szCs w:val="21"/>
                <w:lang w:eastAsia="zh-CN"/>
              </w:rPr>
            </w:pPr>
            <w:r>
              <w:rPr>
                <w:rFonts w:hint="eastAsia" w:ascii="宋体" w:hAnsi="宋体" w:eastAsia="宋体"/>
                <w:color w:val="auto"/>
                <w:sz w:val="21"/>
                <w:szCs w:val="21"/>
              </w:rPr>
              <w:t>—</w:t>
            </w:r>
          </w:p>
        </w:tc>
        <w:tc>
          <w:tcPr>
            <w:tcW w:w="804" w:type="dxa"/>
            <w:vAlign w:val="center"/>
          </w:tcPr>
          <w:p>
            <w:pPr>
              <w:jc w:val="center"/>
              <w:rPr>
                <w:rFonts w:ascii="宋体" w:hAnsi="宋体" w:eastAsia="宋体"/>
                <w:color w:val="auto"/>
                <w:sz w:val="21"/>
                <w:szCs w:val="21"/>
              </w:rPr>
            </w:pPr>
            <w:r>
              <w:rPr>
                <w:rFonts w:hint="eastAsia" w:ascii="宋体" w:hAnsi="宋体" w:eastAsia="宋体"/>
                <w:color w:val="auto"/>
                <w:sz w:val="21"/>
                <w:szCs w:val="21"/>
              </w:rPr>
              <w:t>—</w:t>
            </w:r>
          </w:p>
        </w:tc>
        <w:tc>
          <w:tcPr>
            <w:tcW w:w="709" w:type="dxa"/>
            <w:vAlign w:val="center"/>
          </w:tcPr>
          <w:p>
            <w:pPr>
              <w:jc w:val="center"/>
              <w:rPr>
                <w:rFonts w:ascii="宋体" w:hAnsi="宋体" w:eastAsia="宋体"/>
                <w:color w:val="auto"/>
                <w:sz w:val="21"/>
                <w:szCs w:val="21"/>
              </w:rPr>
            </w:pPr>
            <w:r>
              <w:rPr>
                <w:rFonts w:hint="eastAsia" w:ascii="宋体" w:hAnsi="宋体" w:eastAsia="宋体"/>
                <w:color w:val="auto"/>
                <w:sz w:val="21"/>
                <w:szCs w:val="21"/>
              </w:rPr>
              <w:t>—</w:t>
            </w:r>
          </w:p>
        </w:tc>
        <w:tc>
          <w:tcPr>
            <w:tcW w:w="755" w:type="dxa"/>
            <w:vAlign w:val="center"/>
          </w:tcPr>
          <w:p>
            <w:pPr>
              <w:jc w:val="center"/>
              <w:rPr>
                <w:color w:val="auto"/>
              </w:rPr>
            </w:pPr>
            <w:r>
              <w:rPr>
                <w:rFonts w:hint="eastAsia" w:ascii="宋体" w:hAnsi="宋体" w:eastAsia="宋体"/>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jc w:val="center"/>
        </w:trPr>
        <w:tc>
          <w:tcPr>
            <w:tcW w:w="2484" w:type="dxa"/>
            <w:vAlign w:val="center"/>
          </w:tcPr>
          <w:p>
            <w:pPr>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办公楼</w:t>
            </w:r>
          </w:p>
        </w:tc>
        <w:tc>
          <w:tcPr>
            <w:tcW w:w="850" w:type="dxa"/>
            <w:vAlign w:val="center"/>
          </w:tcPr>
          <w:p>
            <w:pPr>
              <w:jc w:val="center"/>
              <w:rPr>
                <w:rFonts w:ascii="宋体" w:hAnsi="宋体" w:eastAsia="宋体"/>
                <w:color w:val="auto"/>
                <w:sz w:val="21"/>
                <w:szCs w:val="21"/>
              </w:rPr>
            </w:pPr>
            <w:r>
              <w:rPr>
                <w:rFonts w:hint="eastAsia" w:ascii="宋体" w:hAnsi="宋体" w:eastAsia="宋体"/>
                <w:color w:val="auto"/>
                <w:sz w:val="21"/>
                <w:szCs w:val="21"/>
              </w:rPr>
              <w:t>√</w:t>
            </w:r>
          </w:p>
        </w:tc>
        <w:tc>
          <w:tcPr>
            <w:tcW w:w="851" w:type="dxa"/>
            <w:vAlign w:val="center"/>
          </w:tcPr>
          <w:p>
            <w:pPr>
              <w:jc w:val="center"/>
              <w:rPr>
                <w:rFonts w:ascii="宋体" w:hAnsi="宋体" w:eastAsia="宋体"/>
                <w:color w:val="auto"/>
                <w:sz w:val="21"/>
                <w:szCs w:val="21"/>
              </w:rPr>
            </w:pPr>
            <w:r>
              <w:rPr>
                <w:rFonts w:hint="eastAsia" w:ascii="宋体" w:hAnsi="宋体" w:eastAsia="宋体"/>
                <w:color w:val="auto"/>
                <w:sz w:val="21"/>
                <w:szCs w:val="21"/>
              </w:rPr>
              <w:t>—</w:t>
            </w:r>
          </w:p>
        </w:tc>
        <w:tc>
          <w:tcPr>
            <w:tcW w:w="850" w:type="dxa"/>
            <w:vAlign w:val="center"/>
          </w:tcPr>
          <w:p>
            <w:pPr>
              <w:jc w:val="center"/>
              <w:rPr>
                <w:rFonts w:ascii="宋体" w:hAnsi="宋体" w:eastAsia="宋体"/>
                <w:color w:val="auto"/>
                <w:sz w:val="21"/>
                <w:szCs w:val="21"/>
              </w:rPr>
            </w:pPr>
            <w:r>
              <w:rPr>
                <w:rFonts w:hint="eastAsia" w:ascii="宋体" w:hAnsi="宋体" w:eastAsia="宋体"/>
                <w:color w:val="auto"/>
                <w:sz w:val="21"/>
                <w:szCs w:val="21"/>
              </w:rPr>
              <w:t>—</w:t>
            </w:r>
          </w:p>
        </w:tc>
        <w:tc>
          <w:tcPr>
            <w:tcW w:w="907" w:type="dxa"/>
            <w:vAlign w:val="center"/>
          </w:tcPr>
          <w:p>
            <w:pPr>
              <w:jc w:val="center"/>
              <w:rPr>
                <w:rFonts w:ascii="宋体" w:hAnsi="宋体" w:eastAsia="宋体"/>
                <w:color w:val="auto"/>
                <w:sz w:val="21"/>
                <w:szCs w:val="21"/>
              </w:rPr>
            </w:pPr>
            <w:r>
              <w:rPr>
                <w:rFonts w:hint="eastAsia" w:ascii="宋体" w:hAnsi="宋体" w:eastAsia="宋体"/>
                <w:color w:val="auto"/>
                <w:sz w:val="21"/>
                <w:szCs w:val="21"/>
              </w:rPr>
              <w:t>√</w:t>
            </w:r>
          </w:p>
        </w:tc>
        <w:tc>
          <w:tcPr>
            <w:tcW w:w="851" w:type="dxa"/>
            <w:vAlign w:val="center"/>
          </w:tcPr>
          <w:p>
            <w:pPr>
              <w:jc w:val="center"/>
              <w:rPr>
                <w:rFonts w:ascii="宋体" w:hAnsi="宋体" w:eastAsia="宋体"/>
                <w:color w:val="auto"/>
                <w:sz w:val="21"/>
                <w:szCs w:val="21"/>
              </w:rPr>
            </w:pPr>
            <w:r>
              <w:rPr>
                <w:rFonts w:hint="eastAsia" w:ascii="宋体" w:hAnsi="宋体" w:eastAsia="宋体"/>
                <w:color w:val="auto"/>
                <w:sz w:val="21"/>
                <w:szCs w:val="21"/>
              </w:rPr>
              <w:t>√</w:t>
            </w:r>
          </w:p>
        </w:tc>
        <w:tc>
          <w:tcPr>
            <w:tcW w:w="850" w:type="dxa"/>
            <w:vAlign w:val="center"/>
          </w:tcPr>
          <w:p>
            <w:pPr>
              <w:jc w:val="center"/>
              <w:rPr>
                <w:rFonts w:ascii="宋体" w:hAnsi="宋体" w:eastAsia="宋体"/>
                <w:color w:val="auto"/>
                <w:sz w:val="21"/>
                <w:szCs w:val="21"/>
              </w:rPr>
            </w:pPr>
            <w:r>
              <w:rPr>
                <w:rFonts w:hint="eastAsia" w:ascii="宋体" w:hAnsi="宋体" w:eastAsia="宋体"/>
                <w:color w:val="auto"/>
                <w:sz w:val="21"/>
                <w:szCs w:val="21"/>
              </w:rPr>
              <w:t>—</w:t>
            </w:r>
          </w:p>
        </w:tc>
        <w:tc>
          <w:tcPr>
            <w:tcW w:w="804" w:type="dxa"/>
            <w:vAlign w:val="center"/>
          </w:tcPr>
          <w:p>
            <w:pPr>
              <w:jc w:val="center"/>
              <w:rPr>
                <w:rFonts w:ascii="宋体" w:hAnsi="宋体" w:eastAsia="宋体"/>
                <w:color w:val="auto"/>
                <w:sz w:val="21"/>
                <w:szCs w:val="21"/>
              </w:rPr>
            </w:pPr>
            <w:r>
              <w:rPr>
                <w:rFonts w:hint="eastAsia" w:ascii="宋体" w:hAnsi="宋体" w:eastAsia="宋体"/>
                <w:color w:val="auto"/>
                <w:sz w:val="21"/>
                <w:szCs w:val="21"/>
              </w:rPr>
              <w:t>—</w:t>
            </w:r>
          </w:p>
        </w:tc>
        <w:tc>
          <w:tcPr>
            <w:tcW w:w="709" w:type="dxa"/>
            <w:vAlign w:val="center"/>
          </w:tcPr>
          <w:p>
            <w:pPr>
              <w:jc w:val="center"/>
              <w:rPr>
                <w:rFonts w:ascii="宋体" w:hAnsi="宋体" w:eastAsia="宋体"/>
                <w:color w:val="auto"/>
                <w:sz w:val="21"/>
                <w:szCs w:val="21"/>
              </w:rPr>
            </w:pPr>
            <w:r>
              <w:rPr>
                <w:rFonts w:hint="eastAsia" w:ascii="宋体" w:hAnsi="宋体" w:eastAsia="宋体"/>
                <w:color w:val="auto"/>
                <w:sz w:val="21"/>
                <w:szCs w:val="21"/>
              </w:rPr>
              <w:t>—</w:t>
            </w:r>
          </w:p>
        </w:tc>
        <w:tc>
          <w:tcPr>
            <w:tcW w:w="755" w:type="dxa"/>
            <w:vAlign w:val="center"/>
          </w:tcPr>
          <w:p>
            <w:pPr>
              <w:jc w:val="center"/>
              <w:rPr>
                <w:color w:val="auto"/>
              </w:rPr>
            </w:pPr>
            <w:r>
              <w:rPr>
                <w:rFonts w:hint="eastAsia" w:ascii="宋体" w:hAnsi="宋体" w:eastAsia="宋体"/>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2484" w:type="dxa"/>
            <w:vAlign w:val="center"/>
          </w:tcPr>
          <w:p>
            <w:pPr>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宿舍楼</w:t>
            </w:r>
          </w:p>
        </w:tc>
        <w:tc>
          <w:tcPr>
            <w:tcW w:w="850" w:type="dxa"/>
            <w:vAlign w:val="center"/>
          </w:tcPr>
          <w:p>
            <w:pPr>
              <w:jc w:val="center"/>
              <w:rPr>
                <w:rFonts w:ascii="宋体" w:hAnsi="宋体" w:eastAsia="宋体"/>
                <w:color w:val="auto"/>
                <w:sz w:val="21"/>
                <w:szCs w:val="21"/>
              </w:rPr>
            </w:pPr>
            <w:r>
              <w:rPr>
                <w:rFonts w:hint="eastAsia" w:ascii="宋体" w:hAnsi="宋体" w:eastAsia="宋体"/>
                <w:color w:val="auto"/>
                <w:sz w:val="21"/>
                <w:szCs w:val="21"/>
              </w:rPr>
              <w:t>√</w:t>
            </w:r>
          </w:p>
        </w:tc>
        <w:tc>
          <w:tcPr>
            <w:tcW w:w="851" w:type="dxa"/>
            <w:vAlign w:val="center"/>
          </w:tcPr>
          <w:p>
            <w:pPr>
              <w:jc w:val="center"/>
              <w:rPr>
                <w:rFonts w:ascii="宋体" w:hAnsi="宋体" w:eastAsia="宋体"/>
                <w:color w:val="auto"/>
                <w:sz w:val="21"/>
                <w:szCs w:val="21"/>
              </w:rPr>
            </w:pPr>
            <w:r>
              <w:rPr>
                <w:rFonts w:hint="eastAsia" w:ascii="宋体" w:hAnsi="宋体" w:eastAsia="宋体"/>
                <w:color w:val="auto"/>
                <w:sz w:val="21"/>
                <w:szCs w:val="21"/>
              </w:rPr>
              <w:t>—</w:t>
            </w:r>
          </w:p>
        </w:tc>
        <w:tc>
          <w:tcPr>
            <w:tcW w:w="850" w:type="dxa"/>
            <w:vAlign w:val="center"/>
          </w:tcPr>
          <w:p>
            <w:pPr>
              <w:jc w:val="center"/>
              <w:rPr>
                <w:rFonts w:ascii="宋体" w:hAnsi="宋体" w:eastAsia="宋体"/>
                <w:color w:val="auto"/>
                <w:sz w:val="21"/>
                <w:szCs w:val="21"/>
              </w:rPr>
            </w:pPr>
            <w:r>
              <w:rPr>
                <w:rFonts w:hint="eastAsia" w:ascii="宋体" w:hAnsi="宋体" w:eastAsia="宋体"/>
                <w:color w:val="auto"/>
                <w:sz w:val="21"/>
                <w:szCs w:val="21"/>
              </w:rPr>
              <w:t>—</w:t>
            </w:r>
          </w:p>
        </w:tc>
        <w:tc>
          <w:tcPr>
            <w:tcW w:w="907" w:type="dxa"/>
            <w:vAlign w:val="center"/>
          </w:tcPr>
          <w:p>
            <w:pPr>
              <w:jc w:val="center"/>
              <w:rPr>
                <w:rFonts w:ascii="宋体" w:hAnsi="宋体" w:eastAsia="宋体"/>
                <w:color w:val="auto"/>
                <w:sz w:val="21"/>
                <w:szCs w:val="21"/>
              </w:rPr>
            </w:pPr>
            <w:r>
              <w:rPr>
                <w:rFonts w:hint="eastAsia" w:ascii="宋体" w:hAnsi="宋体" w:eastAsia="宋体"/>
                <w:color w:val="auto"/>
                <w:sz w:val="21"/>
                <w:szCs w:val="21"/>
              </w:rPr>
              <w:t>√</w:t>
            </w:r>
          </w:p>
        </w:tc>
        <w:tc>
          <w:tcPr>
            <w:tcW w:w="851" w:type="dxa"/>
            <w:vAlign w:val="center"/>
          </w:tcPr>
          <w:p>
            <w:pPr>
              <w:jc w:val="center"/>
              <w:rPr>
                <w:rFonts w:ascii="宋体" w:hAnsi="宋体" w:eastAsia="宋体"/>
                <w:color w:val="auto"/>
                <w:sz w:val="21"/>
                <w:szCs w:val="21"/>
              </w:rPr>
            </w:pPr>
            <w:r>
              <w:rPr>
                <w:rFonts w:hint="eastAsia" w:ascii="宋体" w:hAnsi="宋体" w:eastAsia="宋体"/>
                <w:color w:val="auto"/>
                <w:sz w:val="21"/>
                <w:szCs w:val="21"/>
              </w:rPr>
              <w:t>√</w:t>
            </w:r>
          </w:p>
        </w:tc>
        <w:tc>
          <w:tcPr>
            <w:tcW w:w="850" w:type="dxa"/>
            <w:vAlign w:val="center"/>
          </w:tcPr>
          <w:p>
            <w:pPr>
              <w:jc w:val="center"/>
              <w:rPr>
                <w:rFonts w:ascii="宋体" w:hAnsi="宋体" w:eastAsia="宋体"/>
                <w:color w:val="auto"/>
                <w:sz w:val="21"/>
                <w:szCs w:val="21"/>
              </w:rPr>
            </w:pPr>
            <w:r>
              <w:rPr>
                <w:rFonts w:hint="eastAsia" w:ascii="宋体" w:hAnsi="宋体" w:eastAsia="宋体"/>
                <w:color w:val="auto"/>
                <w:sz w:val="21"/>
                <w:szCs w:val="21"/>
              </w:rPr>
              <w:t>—</w:t>
            </w:r>
          </w:p>
        </w:tc>
        <w:tc>
          <w:tcPr>
            <w:tcW w:w="804" w:type="dxa"/>
            <w:vAlign w:val="center"/>
          </w:tcPr>
          <w:p>
            <w:pPr>
              <w:jc w:val="center"/>
              <w:rPr>
                <w:rFonts w:ascii="宋体" w:hAnsi="宋体" w:eastAsia="宋体"/>
                <w:color w:val="auto"/>
                <w:sz w:val="21"/>
                <w:szCs w:val="21"/>
              </w:rPr>
            </w:pPr>
            <w:r>
              <w:rPr>
                <w:rFonts w:hint="eastAsia" w:ascii="宋体" w:hAnsi="宋体" w:eastAsia="宋体"/>
                <w:color w:val="auto"/>
                <w:sz w:val="21"/>
                <w:szCs w:val="21"/>
              </w:rPr>
              <w:t>—</w:t>
            </w:r>
          </w:p>
        </w:tc>
        <w:tc>
          <w:tcPr>
            <w:tcW w:w="709" w:type="dxa"/>
            <w:vAlign w:val="center"/>
          </w:tcPr>
          <w:p>
            <w:pPr>
              <w:jc w:val="center"/>
              <w:rPr>
                <w:rFonts w:ascii="宋体" w:hAnsi="宋体" w:eastAsia="宋体"/>
                <w:color w:val="auto"/>
                <w:sz w:val="21"/>
                <w:szCs w:val="21"/>
              </w:rPr>
            </w:pPr>
            <w:r>
              <w:rPr>
                <w:rFonts w:hint="eastAsia" w:ascii="宋体" w:hAnsi="宋体" w:eastAsia="宋体"/>
                <w:color w:val="auto"/>
                <w:sz w:val="21"/>
                <w:szCs w:val="21"/>
              </w:rPr>
              <w:t>—</w:t>
            </w:r>
          </w:p>
        </w:tc>
        <w:tc>
          <w:tcPr>
            <w:tcW w:w="755" w:type="dxa"/>
            <w:vAlign w:val="center"/>
          </w:tcPr>
          <w:p>
            <w:pPr>
              <w:jc w:val="center"/>
              <w:rPr>
                <w:color w:val="auto"/>
              </w:rPr>
            </w:pPr>
            <w:r>
              <w:rPr>
                <w:rFonts w:hint="eastAsia" w:ascii="宋体" w:hAnsi="宋体" w:eastAsia="宋体"/>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jc w:val="center"/>
        </w:trPr>
        <w:tc>
          <w:tcPr>
            <w:tcW w:w="2484" w:type="dxa"/>
            <w:vAlign w:val="center"/>
          </w:tcPr>
          <w:p>
            <w:pPr>
              <w:jc w:val="center"/>
              <w:rPr>
                <w:rFonts w:ascii="宋体" w:hAnsi="宋体" w:eastAsia="宋体"/>
                <w:color w:val="auto"/>
                <w:sz w:val="21"/>
                <w:szCs w:val="21"/>
              </w:rPr>
            </w:pPr>
            <w:r>
              <w:rPr>
                <w:rFonts w:hint="eastAsia" w:ascii="宋体" w:hAnsi="宋体" w:eastAsia="宋体"/>
                <w:color w:val="auto"/>
                <w:sz w:val="21"/>
                <w:szCs w:val="21"/>
              </w:rPr>
              <w:t>消防水池、事故应急池</w:t>
            </w:r>
          </w:p>
        </w:tc>
        <w:tc>
          <w:tcPr>
            <w:tcW w:w="850" w:type="dxa"/>
            <w:vAlign w:val="center"/>
          </w:tcPr>
          <w:p>
            <w:pPr>
              <w:jc w:val="center"/>
              <w:rPr>
                <w:rFonts w:ascii="宋体" w:hAnsi="宋体" w:eastAsia="宋体"/>
                <w:color w:val="auto"/>
                <w:sz w:val="21"/>
                <w:szCs w:val="21"/>
              </w:rPr>
            </w:pPr>
            <w:r>
              <w:rPr>
                <w:rFonts w:hint="eastAsia" w:ascii="宋体" w:hAnsi="宋体" w:eastAsia="宋体"/>
                <w:color w:val="auto"/>
                <w:sz w:val="21"/>
                <w:szCs w:val="21"/>
              </w:rPr>
              <w:t>—</w:t>
            </w:r>
          </w:p>
        </w:tc>
        <w:tc>
          <w:tcPr>
            <w:tcW w:w="851" w:type="dxa"/>
            <w:vAlign w:val="center"/>
          </w:tcPr>
          <w:p>
            <w:pPr>
              <w:jc w:val="center"/>
              <w:rPr>
                <w:rFonts w:ascii="宋体" w:hAnsi="宋体" w:eastAsia="宋体"/>
                <w:color w:val="auto"/>
                <w:sz w:val="21"/>
                <w:szCs w:val="21"/>
              </w:rPr>
            </w:pPr>
            <w:r>
              <w:rPr>
                <w:rFonts w:hint="eastAsia" w:ascii="宋体" w:hAnsi="宋体" w:eastAsia="宋体"/>
                <w:color w:val="auto"/>
                <w:sz w:val="21"/>
                <w:szCs w:val="21"/>
              </w:rPr>
              <w:t>—</w:t>
            </w:r>
          </w:p>
        </w:tc>
        <w:tc>
          <w:tcPr>
            <w:tcW w:w="850" w:type="dxa"/>
            <w:vAlign w:val="center"/>
          </w:tcPr>
          <w:p>
            <w:pPr>
              <w:jc w:val="center"/>
              <w:rPr>
                <w:rFonts w:ascii="宋体" w:hAnsi="宋体" w:eastAsia="宋体"/>
                <w:color w:val="auto"/>
                <w:sz w:val="21"/>
                <w:szCs w:val="21"/>
              </w:rPr>
            </w:pPr>
            <w:r>
              <w:rPr>
                <w:rFonts w:hint="eastAsia" w:ascii="宋体" w:hAnsi="宋体" w:eastAsia="宋体"/>
                <w:color w:val="auto"/>
                <w:sz w:val="21"/>
                <w:szCs w:val="21"/>
              </w:rPr>
              <w:t>—</w:t>
            </w:r>
          </w:p>
        </w:tc>
        <w:tc>
          <w:tcPr>
            <w:tcW w:w="907" w:type="dxa"/>
            <w:vAlign w:val="center"/>
          </w:tcPr>
          <w:p>
            <w:pPr>
              <w:jc w:val="center"/>
              <w:rPr>
                <w:rFonts w:ascii="宋体" w:hAnsi="宋体" w:eastAsia="宋体"/>
                <w:color w:val="auto"/>
                <w:sz w:val="21"/>
                <w:szCs w:val="21"/>
              </w:rPr>
            </w:pPr>
            <w:r>
              <w:rPr>
                <w:rFonts w:hint="eastAsia" w:ascii="宋体" w:hAnsi="宋体" w:eastAsia="宋体"/>
                <w:color w:val="auto"/>
                <w:sz w:val="21"/>
                <w:szCs w:val="21"/>
              </w:rPr>
              <w:t>—</w:t>
            </w:r>
          </w:p>
        </w:tc>
        <w:tc>
          <w:tcPr>
            <w:tcW w:w="851" w:type="dxa"/>
            <w:vAlign w:val="center"/>
          </w:tcPr>
          <w:p>
            <w:pPr>
              <w:jc w:val="center"/>
              <w:rPr>
                <w:rFonts w:ascii="宋体" w:hAnsi="宋体" w:eastAsia="宋体"/>
                <w:color w:val="auto"/>
                <w:sz w:val="21"/>
                <w:szCs w:val="21"/>
              </w:rPr>
            </w:pPr>
            <w:r>
              <w:rPr>
                <w:rFonts w:hint="eastAsia" w:ascii="宋体" w:hAnsi="宋体" w:eastAsia="宋体"/>
                <w:color w:val="auto"/>
                <w:sz w:val="21"/>
                <w:szCs w:val="21"/>
              </w:rPr>
              <w:t>—</w:t>
            </w:r>
          </w:p>
        </w:tc>
        <w:tc>
          <w:tcPr>
            <w:tcW w:w="850" w:type="dxa"/>
            <w:vAlign w:val="center"/>
          </w:tcPr>
          <w:p>
            <w:pPr>
              <w:jc w:val="center"/>
              <w:rPr>
                <w:rFonts w:ascii="宋体" w:hAnsi="宋体" w:eastAsia="宋体"/>
                <w:color w:val="auto"/>
                <w:sz w:val="21"/>
                <w:szCs w:val="21"/>
              </w:rPr>
            </w:pPr>
            <w:r>
              <w:rPr>
                <w:rFonts w:hint="eastAsia" w:ascii="宋体" w:hAnsi="宋体" w:eastAsia="宋体"/>
                <w:color w:val="auto"/>
                <w:sz w:val="21"/>
                <w:szCs w:val="21"/>
              </w:rPr>
              <w:t>—</w:t>
            </w:r>
          </w:p>
        </w:tc>
        <w:tc>
          <w:tcPr>
            <w:tcW w:w="804" w:type="dxa"/>
            <w:vAlign w:val="center"/>
          </w:tcPr>
          <w:p>
            <w:pPr>
              <w:jc w:val="center"/>
              <w:rPr>
                <w:rFonts w:ascii="宋体" w:hAnsi="宋体" w:eastAsia="宋体"/>
                <w:color w:val="auto"/>
                <w:sz w:val="21"/>
                <w:szCs w:val="21"/>
              </w:rPr>
            </w:pPr>
            <w:r>
              <w:rPr>
                <w:rFonts w:hint="eastAsia" w:ascii="宋体" w:hAnsi="宋体" w:eastAsia="宋体"/>
                <w:color w:val="auto"/>
                <w:sz w:val="21"/>
                <w:szCs w:val="21"/>
              </w:rPr>
              <w:t>√</w:t>
            </w:r>
          </w:p>
        </w:tc>
        <w:tc>
          <w:tcPr>
            <w:tcW w:w="709" w:type="dxa"/>
            <w:vAlign w:val="center"/>
          </w:tcPr>
          <w:p>
            <w:pPr>
              <w:jc w:val="center"/>
              <w:rPr>
                <w:rFonts w:ascii="宋体" w:hAnsi="宋体" w:eastAsia="宋体"/>
                <w:color w:val="auto"/>
                <w:sz w:val="21"/>
                <w:szCs w:val="21"/>
              </w:rPr>
            </w:pPr>
            <w:r>
              <w:rPr>
                <w:rFonts w:hint="eastAsia" w:ascii="宋体" w:hAnsi="宋体" w:eastAsia="宋体"/>
                <w:color w:val="auto"/>
                <w:sz w:val="21"/>
                <w:szCs w:val="21"/>
              </w:rPr>
              <w:t>—</w:t>
            </w:r>
          </w:p>
        </w:tc>
        <w:tc>
          <w:tcPr>
            <w:tcW w:w="755" w:type="dxa"/>
            <w:vAlign w:val="center"/>
          </w:tcPr>
          <w:p>
            <w:pPr>
              <w:jc w:val="center"/>
              <w:rPr>
                <w:rFonts w:ascii="宋体" w:hAnsi="宋体" w:eastAsia="宋体"/>
                <w:color w:val="auto"/>
                <w:sz w:val="21"/>
                <w:szCs w:val="21"/>
              </w:rPr>
            </w:pPr>
            <w:r>
              <w:rPr>
                <w:rFonts w:hint="eastAsia" w:ascii="宋体" w:hAnsi="宋体" w:eastAsia="宋体"/>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jc w:val="center"/>
        </w:trPr>
        <w:tc>
          <w:tcPr>
            <w:tcW w:w="2484" w:type="dxa"/>
            <w:vAlign w:val="center"/>
          </w:tcPr>
          <w:p>
            <w:pPr>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厂区道路</w:t>
            </w:r>
          </w:p>
        </w:tc>
        <w:tc>
          <w:tcPr>
            <w:tcW w:w="850" w:type="dxa"/>
            <w:vAlign w:val="center"/>
          </w:tcPr>
          <w:p>
            <w:pPr>
              <w:jc w:val="center"/>
              <w:rPr>
                <w:rFonts w:ascii="宋体" w:hAnsi="宋体" w:eastAsia="宋体"/>
                <w:color w:val="auto"/>
                <w:sz w:val="21"/>
                <w:szCs w:val="21"/>
              </w:rPr>
            </w:pPr>
            <w:r>
              <w:rPr>
                <w:rFonts w:hint="eastAsia" w:ascii="宋体" w:hAnsi="宋体" w:eastAsia="宋体"/>
                <w:color w:val="auto"/>
                <w:sz w:val="21"/>
                <w:szCs w:val="21"/>
              </w:rPr>
              <w:t>√</w:t>
            </w:r>
          </w:p>
        </w:tc>
        <w:tc>
          <w:tcPr>
            <w:tcW w:w="851" w:type="dxa"/>
            <w:vAlign w:val="center"/>
          </w:tcPr>
          <w:p>
            <w:pPr>
              <w:jc w:val="center"/>
              <w:rPr>
                <w:color w:val="auto"/>
              </w:rPr>
            </w:pPr>
            <w:r>
              <w:rPr>
                <w:rFonts w:hint="eastAsia" w:ascii="宋体" w:hAnsi="宋体" w:eastAsia="宋体"/>
                <w:color w:val="auto"/>
                <w:sz w:val="21"/>
                <w:szCs w:val="21"/>
              </w:rPr>
              <w:t>—</w:t>
            </w:r>
          </w:p>
        </w:tc>
        <w:tc>
          <w:tcPr>
            <w:tcW w:w="850" w:type="dxa"/>
            <w:vAlign w:val="center"/>
          </w:tcPr>
          <w:p>
            <w:pPr>
              <w:jc w:val="center"/>
              <w:rPr>
                <w:color w:val="auto"/>
              </w:rPr>
            </w:pPr>
            <w:r>
              <w:rPr>
                <w:rFonts w:hint="eastAsia" w:ascii="宋体" w:hAnsi="宋体" w:eastAsia="宋体"/>
                <w:color w:val="auto"/>
                <w:sz w:val="21"/>
                <w:szCs w:val="21"/>
              </w:rPr>
              <w:t>—</w:t>
            </w:r>
          </w:p>
        </w:tc>
        <w:tc>
          <w:tcPr>
            <w:tcW w:w="907" w:type="dxa"/>
            <w:vAlign w:val="center"/>
          </w:tcPr>
          <w:p>
            <w:pPr>
              <w:jc w:val="center"/>
              <w:rPr>
                <w:color w:val="auto"/>
              </w:rPr>
            </w:pPr>
            <w:r>
              <w:rPr>
                <w:rFonts w:hint="eastAsia" w:ascii="宋体" w:hAnsi="宋体" w:eastAsia="宋体"/>
                <w:color w:val="auto"/>
                <w:sz w:val="21"/>
                <w:szCs w:val="21"/>
              </w:rPr>
              <w:t>—</w:t>
            </w:r>
          </w:p>
        </w:tc>
        <w:tc>
          <w:tcPr>
            <w:tcW w:w="851" w:type="dxa"/>
            <w:vAlign w:val="center"/>
          </w:tcPr>
          <w:p>
            <w:pPr>
              <w:jc w:val="center"/>
              <w:rPr>
                <w:color w:val="auto"/>
              </w:rPr>
            </w:pPr>
            <w:r>
              <w:rPr>
                <w:rFonts w:hint="eastAsia" w:ascii="宋体" w:hAnsi="宋体" w:eastAsia="宋体"/>
                <w:color w:val="auto"/>
                <w:sz w:val="21"/>
                <w:szCs w:val="21"/>
              </w:rPr>
              <w:t>—</w:t>
            </w:r>
          </w:p>
        </w:tc>
        <w:tc>
          <w:tcPr>
            <w:tcW w:w="850" w:type="dxa"/>
            <w:vAlign w:val="center"/>
          </w:tcPr>
          <w:p>
            <w:pPr>
              <w:jc w:val="center"/>
              <w:rPr>
                <w:color w:val="auto"/>
              </w:rPr>
            </w:pPr>
            <w:r>
              <w:rPr>
                <w:rFonts w:hint="eastAsia" w:ascii="宋体" w:hAnsi="宋体" w:eastAsia="宋体"/>
                <w:color w:val="auto"/>
                <w:sz w:val="21"/>
                <w:szCs w:val="21"/>
              </w:rPr>
              <w:t>—</w:t>
            </w:r>
          </w:p>
        </w:tc>
        <w:tc>
          <w:tcPr>
            <w:tcW w:w="804" w:type="dxa"/>
            <w:vAlign w:val="center"/>
          </w:tcPr>
          <w:p>
            <w:pPr>
              <w:jc w:val="center"/>
              <w:rPr>
                <w:color w:val="auto"/>
              </w:rPr>
            </w:pPr>
            <w:r>
              <w:rPr>
                <w:rFonts w:hint="eastAsia" w:ascii="宋体" w:hAnsi="宋体" w:eastAsia="宋体"/>
                <w:color w:val="auto"/>
                <w:sz w:val="21"/>
                <w:szCs w:val="21"/>
              </w:rPr>
              <w:t>—</w:t>
            </w:r>
          </w:p>
        </w:tc>
        <w:tc>
          <w:tcPr>
            <w:tcW w:w="709" w:type="dxa"/>
            <w:vAlign w:val="center"/>
          </w:tcPr>
          <w:p>
            <w:pPr>
              <w:jc w:val="center"/>
              <w:rPr>
                <w:color w:val="auto"/>
              </w:rPr>
            </w:pPr>
            <w:r>
              <w:rPr>
                <w:rFonts w:hint="eastAsia" w:ascii="宋体" w:hAnsi="宋体" w:eastAsia="宋体"/>
                <w:color w:val="auto"/>
                <w:sz w:val="21"/>
                <w:szCs w:val="21"/>
              </w:rPr>
              <w:t>—</w:t>
            </w:r>
          </w:p>
        </w:tc>
        <w:tc>
          <w:tcPr>
            <w:tcW w:w="755" w:type="dxa"/>
            <w:vAlign w:val="center"/>
          </w:tcPr>
          <w:p>
            <w:pPr>
              <w:jc w:val="center"/>
              <w:rPr>
                <w:rFonts w:ascii="宋体" w:hAnsi="宋体" w:eastAsia="宋体"/>
                <w:color w:val="auto"/>
                <w:sz w:val="21"/>
                <w:szCs w:val="21"/>
              </w:rPr>
            </w:pPr>
            <w:r>
              <w:rPr>
                <w:rFonts w:hint="eastAsia" w:ascii="宋体" w:hAnsi="宋体" w:eastAsia="宋体"/>
                <w:color w:val="auto"/>
                <w:sz w:val="21"/>
                <w:szCs w:val="21"/>
              </w:rPr>
              <w:t>√</w:t>
            </w:r>
          </w:p>
        </w:tc>
      </w:tr>
    </w:tbl>
    <w:p>
      <w:pPr>
        <w:spacing w:line="560" w:lineRule="exact"/>
        <w:jc w:val="center"/>
        <w:rPr>
          <w:rFonts w:ascii="宋体" w:hAnsi="宋体" w:eastAsia="宋体"/>
          <w:b/>
          <w:color w:val="auto"/>
          <w:lang w:eastAsia="zh-CN"/>
        </w:rPr>
      </w:pPr>
    </w:p>
    <w:p>
      <w:pPr>
        <w:spacing w:line="560" w:lineRule="exact"/>
        <w:jc w:val="both"/>
        <w:outlineLvl w:val="1"/>
        <w:rPr>
          <w:rFonts w:ascii="楷体_GB2312" w:hAnsi="Times New Roman" w:eastAsia="楷体_GB2312" w:cs="Times New Roman"/>
          <w:bCs/>
          <w:color w:val="auto"/>
          <w:kern w:val="2"/>
          <w:sz w:val="32"/>
          <w:lang w:val="en-US" w:eastAsia="zh-CN" w:bidi="ar-SA"/>
        </w:rPr>
      </w:pPr>
      <w:bookmarkStart w:id="70" w:name="bookmark34"/>
      <w:bookmarkStart w:id="71" w:name="_Toc40045903"/>
      <w:bookmarkStart w:id="72" w:name="bookmark62"/>
      <w:r>
        <w:rPr>
          <w:rFonts w:hint="eastAsia" w:ascii="楷体_GB2312" w:hAnsi="Times New Roman" w:eastAsia="楷体_GB2312" w:cs="Times New Roman"/>
          <w:bCs/>
          <w:color w:val="auto"/>
          <w:kern w:val="2"/>
          <w:sz w:val="32"/>
          <w:lang w:val="en-US" w:eastAsia="zh-CN" w:bidi="ar-SA"/>
        </w:rPr>
        <w:t>6.3</w:t>
      </w:r>
      <w:r>
        <w:rPr>
          <w:rFonts w:ascii="楷体_GB2312" w:hAnsi="Times New Roman" w:eastAsia="楷体_GB2312" w:cs="Times New Roman"/>
          <w:bCs/>
          <w:color w:val="auto"/>
          <w:kern w:val="2"/>
          <w:sz w:val="32"/>
          <w:lang w:val="en-US" w:eastAsia="zh-CN" w:bidi="ar-SA"/>
        </w:rPr>
        <w:t>家明令淘汰的产品和危险工艺</w:t>
      </w:r>
      <w:bookmarkEnd w:id="70"/>
      <w:r>
        <w:rPr>
          <w:rFonts w:ascii="楷体_GB2312" w:hAnsi="Times New Roman" w:eastAsia="楷体_GB2312" w:cs="Times New Roman"/>
          <w:bCs/>
          <w:color w:val="auto"/>
          <w:kern w:val="2"/>
          <w:sz w:val="32"/>
          <w:lang w:val="en-US" w:eastAsia="zh-CN" w:bidi="ar-SA"/>
        </w:rPr>
        <w:t>辨识</w:t>
      </w:r>
      <w:r>
        <w:rPr>
          <w:rFonts w:hint="eastAsia" w:ascii="楷体_GB2312" w:hAnsi="Times New Roman" w:eastAsia="楷体_GB2312" w:cs="Times New Roman"/>
          <w:bCs/>
          <w:color w:val="auto"/>
          <w:kern w:val="2"/>
          <w:sz w:val="32"/>
          <w:lang w:val="en-US" w:eastAsia="zh-CN" w:bidi="ar-SA"/>
        </w:rPr>
        <w:t>结果</w:t>
      </w:r>
      <w:bookmarkEnd w:id="71"/>
    </w:p>
    <w:p>
      <w:pPr>
        <w:spacing w:line="560" w:lineRule="exact"/>
        <w:ind w:firstLine="425" w:firstLineChars="152"/>
        <w:rPr>
          <w:rFonts w:ascii="宋体" w:hAnsi="宋体" w:eastAsia="宋体"/>
          <w:color w:val="auto"/>
          <w:sz w:val="28"/>
          <w:szCs w:val="28"/>
          <w:lang w:eastAsia="zh-CN"/>
        </w:rPr>
      </w:pPr>
      <w:bookmarkStart w:id="73" w:name="bookmark35"/>
      <w:r>
        <w:rPr>
          <w:rFonts w:ascii="宋体" w:hAnsi="宋体" w:eastAsia="宋体"/>
          <w:color w:val="auto"/>
          <w:sz w:val="28"/>
          <w:szCs w:val="28"/>
          <w:lang w:eastAsia="zh-CN"/>
        </w:rPr>
        <w:t>由公司所提供的生产能力、生产工艺、产品等信息，依据《产业结构调整指导目录(2019年本)》(中华人民共和国国家发展和改革委员会令第29号)可知，该公司危险化学品的生产能力、工艺和产品都不在淘汰范围内。</w:t>
      </w:r>
      <w:bookmarkEnd w:id="73"/>
    </w:p>
    <w:p>
      <w:pPr>
        <w:tabs>
          <w:tab w:val="left" w:pos="0"/>
        </w:tabs>
        <w:spacing w:line="560" w:lineRule="exact"/>
        <w:ind w:firstLine="560" w:firstLineChars="200"/>
        <w:jc w:val="both"/>
        <w:rPr>
          <w:rFonts w:ascii="宋体" w:hAnsi="宋体" w:eastAsiaTheme="minorEastAsia"/>
          <w:color w:val="auto"/>
          <w:sz w:val="28"/>
          <w:szCs w:val="28"/>
          <w:lang w:eastAsia="zh-CN"/>
        </w:rPr>
      </w:pPr>
      <w:r>
        <w:rPr>
          <w:rFonts w:ascii="宋体" w:hAnsi="宋体" w:eastAsia="宋体"/>
          <w:color w:val="auto"/>
          <w:sz w:val="28"/>
          <w:szCs w:val="28"/>
          <w:lang w:eastAsia="zh-CN"/>
        </w:rPr>
        <w:t>根据《国家安全监管总局关于公布首批重点监管的危险化工工艺目录的通知</w:t>
      </w:r>
      <w:r>
        <w:rPr>
          <w:rFonts w:hint="eastAsia" w:ascii="宋体" w:hAnsi="宋体" w:eastAsia="宋体"/>
          <w:color w:val="auto"/>
          <w:sz w:val="28"/>
          <w:szCs w:val="28"/>
          <w:lang w:eastAsia="zh-CN"/>
        </w:rPr>
        <w:t>》</w:t>
      </w:r>
      <w:r>
        <w:rPr>
          <w:rFonts w:ascii="宋体" w:hAnsi="宋体" w:eastAsia="宋体"/>
          <w:color w:val="auto"/>
          <w:sz w:val="28"/>
          <w:szCs w:val="28"/>
          <w:lang w:eastAsia="zh-CN"/>
        </w:rPr>
        <w:t>(安监总管三〔2009〕116号)</w:t>
      </w:r>
      <w:r>
        <w:rPr>
          <w:rFonts w:hint="eastAsia" w:ascii="宋体" w:hAnsi="宋体" w:eastAsia="宋体"/>
          <w:color w:val="auto"/>
          <w:sz w:val="28"/>
          <w:szCs w:val="28"/>
        </w:rPr>
        <w:t xml:space="preserve"> 及《国家安全监管总局关于公布第二批重点监管危险化工工艺目录和调整首批重点监管危险化工工艺中部分典型工艺的通知》(安监总管三[2013]3号)的有关规定</w:t>
      </w:r>
      <w:r>
        <w:rPr>
          <w:rFonts w:hint="eastAsia" w:ascii="宋体" w:hAnsi="宋体" w:eastAsia="宋体"/>
          <w:color w:val="auto"/>
          <w:sz w:val="28"/>
          <w:szCs w:val="28"/>
          <w:lang w:eastAsia="zh-CN"/>
        </w:rPr>
        <w:t>，</w:t>
      </w:r>
      <w:r>
        <w:rPr>
          <w:rFonts w:hint="eastAsia" w:ascii="宋体" w:hAnsi="宋体" w:eastAsia="宋体"/>
          <w:color w:val="auto"/>
          <w:sz w:val="28"/>
          <w:szCs w:val="28"/>
          <w:lang w:val="en-GB"/>
        </w:rPr>
        <w:t>该公司的生产工艺不属于危险化工工艺。</w:t>
      </w:r>
    </w:p>
    <w:p>
      <w:pPr>
        <w:spacing w:line="560" w:lineRule="exact"/>
        <w:jc w:val="both"/>
        <w:outlineLvl w:val="1"/>
        <w:rPr>
          <w:rFonts w:ascii="楷体_GB2312" w:hAnsi="Times New Roman" w:eastAsia="楷体_GB2312" w:cs="Times New Roman"/>
          <w:bCs/>
          <w:color w:val="auto"/>
          <w:kern w:val="2"/>
          <w:sz w:val="32"/>
          <w:lang w:val="en-US" w:eastAsia="zh-CN" w:bidi="ar-SA"/>
        </w:rPr>
      </w:pPr>
      <w:bookmarkStart w:id="74" w:name="bookmark36"/>
      <w:bookmarkStart w:id="75" w:name="_Toc40045904"/>
      <w:r>
        <w:rPr>
          <w:rFonts w:hint="eastAsia" w:ascii="楷体_GB2312" w:hAnsi="Times New Roman" w:eastAsia="楷体_GB2312" w:cs="Times New Roman"/>
          <w:bCs/>
          <w:color w:val="auto"/>
          <w:kern w:val="2"/>
          <w:sz w:val="32"/>
          <w:lang w:val="en-US" w:eastAsia="zh-CN" w:bidi="ar-SA"/>
        </w:rPr>
        <w:t>6.4</w:t>
      </w:r>
      <w:r>
        <w:rPr>
          <w:rFonts w:ascii="楷体_GB2312" w:hAnsi="Times New Roman" w:eastAsia="楷体_GB2312" w:cs="Times New Roman"/>
          <w:bCs/>
          <w:color w:val="auto"/>
          <w:kern w:val="2"/>
          <w:sz w:val="32"/>
          <w:lang w:val="en-US" w:eastAsia="zh-CN" w:bidi="ar-SA"/>
        </w:rPr>
        <w:t>国家监控的化学品</w:t>
      </w:r>
      <w:bookmarkEnd w:id="74"/>
      <w:r>
        <w:rPr>
          <w:rFonts w:ascii="楷体_GB2312" w:hAnsi="Times New Roman" w:eastAsia="楷体_GB2312" w:cs="Times New Roman"/>
          <w:bCs/>
          <w:color w:val="auto"/>
          <w:kern w:val="2"/>
          <w:sz w:val="32"/>
          <w:lang w:val="en-US" w:eastAsia="zh-CN" w:bidi="ar-SA"/>
        </w:rPr>
        <w:t>辨识</w:t>
      </w:r>
      <w:r>
        <w:rPr>
          <w:rFonts w:hint="eastAsia" w:ascii="楷体_GB2312" w:hAnsi="Times New Roman" w:eastAsia="楷体_GB2312" w:cs="Times New Roman"/>
          <w:bCs/>
          <w:color w:val="auto"/>
          <w:kern w:val="2"/>
          <w:sz w:val="32"/>
          <w:lang w:val="en-US" w:eastAsia="zh-CN" w:bidi="ar-SA"/>
        </w:rPr>
        <w:t>结果</w:t>
      </w:r>
      <w:bookmarkEnd w:id="75"/>
    </w:p>
    <w:p>
      <w:pPr>
        <w:spacing w:line="560" w:lineRule="exact"/>
        <w:ind w:firstLine="425" w:firstLineChars="152"/>
        <w:rPr>
          <w:rFonts w:ascii="楷体_GB2312" w:hAnsi="Times New Roman" w:eastAsia="楷体_GB2312" w:cs="Times New Roman"/>
          <w:bCs/>
          <w:color w:val="auto"/>
          <w:kern w:val="2"/>
          <w:sz w:val="32"/>
          <w:lang w:val="en-US" w:eastAsia="zh-CN" w:bidi="ar-SA"/>
        </w:rPr>
      </w:pPr>
      <w:r>
        <w:rPr>
          <w:rFonts w:ascii="宋体" w:hAnsi="宋体" w:eastAsia="宋体"/>
          <w:color w:val="auto"/>
          <w:sz w:val="28"/>
          <w:szCs w:val="28"/>
          <w:lang w:eastAsia="zh-CN"/>
        </w:rPr>
        <w:t>依据《中华人民共和国监控化学品管理条理》(国务院令第190号)，对照《各类监控化学品名录》(中华人民共和国化学工业部第11号令)和《列入第三类监控化学品的新增品种清单》(1998年6月14日以国家和石油化学工业局令第1号发布)可知，该公司没有生产、使用国家监控的化学品。</w:t>
      </w:r>
    </w:p>
    <w:p>
      <w:pPr>
        <w:spacing w:line="560" w:lineRule="exact"/>
        <w:jc w:val="both"/>
        <w:outlineLvl w:val="1"/>
        <w:rPr>
          <w:rFonts w:ascii="楷体_GB2312" w:hAnsi="Times New Roman" w:eastAsia="楷体_GB2312" w:cs="Times New Roman"/>
          <w:bCs/>
          <w:color w:val="auto"/>
          <w:kern w:val="2"/>
          <w:sz w:val="32"/>
          <w:lang w:val="en-US" w:eastAsia="zh-CN" w:bidi="ar-SA"/>
        </w:rPr>
      </w:pPr>
      <w:bookmarkStart w:id="76" w:name="_Toc40045905"/>
      <w:r>
        <w:rPr>
          <w:rFonts w:hint="eastAsia" w:ascii="楷体_GB2312" w:hAnsi="Times New Roman" w:eastAsia="楷体_GB2312" w:cs="Times New Roman"/>
          <w:bCs/>
          <w:color w:val="auto"/>
          <w:kern w:val="2"/>
          <w:sz w:val="32"/>
          <w:lang w:val="en-US" w:eastAsia="zh-CN" w:bidi="ar-SA"/>
        </w:rPr>
        <w:t>6.5重点监管的化学品</w:t>
      </w:r>
      <w:r>
        <w:rPr>
          <w:rFonts w:ascii="楷体_GB2312" w:hAnsi="Times New Roman" w:eastAsia="楷体_GB2312" w:cs="Times New Roman"/>
          <w:bCs/>
          <w:color w:val="auto"/>
          <w:kern w:val="2"/>
          <w:sz w:val="32"/>
          <w:lang w:val="en-US" w:eastAsia="zh-CN" w:bidi="ar-SA"/>
        </w:rPr>
        <w:t>辨识</w:t>
      </w:r>
      <w:r>
        <w:rPr>
          <w:rFonts w:hint="eastAsia" w:ascii="楷体_GB2312" w:hAnsi="Times New Roman" w:eastAsia="楷体_GB2312" w:cs="Times New Roman"/>
          <w:bCs/>
          <w:color w:val="auto"/>
          <w:kern w:val="2"/>
          <w:sz w:val="32"/>
          <w:lang w:val="en-US" w:eastAsia="zh-CN" w:bidi="ar-SA"/>
        </w:rPr>
        <w:t>结果</w:t>
      </w:r>
      <w:bookmarkEnd w:id="76"/>
    </w:p>
    <w:p>
      <w:pPr>
        <w:tabs>
          <w:tab w:val="left" w:pos="0"/>
        </w:tabs>
        <w:spacing w:line="560" w:lineRule="exact"/>
        <w:ind w:firstLine="560" w:firstLineChars="200"/>
        <w:jc w:val="both"/>
        <w:rPr>
          <w:rFonts w:ascii="宋体" w:hAnsi="宋体" w:eastAsia="宋体"/>
          <w:color w:val="auto"/>
          <w:sz w:val="28"/>
          <w:szCs w:val="28"/>
        </w:rPr>
      </w:pPr>
      <w:bookmarkStart w:id="77" w:name="bookmark37"/>
      <w:r>
        <w:rPr>
          <w:rFonts w:hint="eastAsia" w:ascii="宋体" w:hAnsi="宋体" w:eastAsia="宋体"/>
          <w:color w:val="auto"/>
          <w:sz w:val="28"/>
          <w:szCs w:val="28"/>
        </w:rPr>
        <w:t>根据国家安全监管总局《关于公布首批重点监管的危险化学品名录的通知》（安监总管三[2011]95号）和《国家安全监管总局关于公布第二批重点监管危险化学品名录的通知》（安监总管三[2013]12号）的要求,对照首批、第二批重点监管的危险化学品名录，该公司生产涉及的原料中苯乙烯[抑制了的]（358）、乙酸乙酯（2651）、硝化纤维素溶液[含氮量≤12.6%，含硝化纤维素≤55%]（2208）属于重点监管的危险化学品，产品均不属于重点监管的危险化学品。</w:t>
      </w:r>
    </w:p>
    <w:p>
      <w:pPr>
        <w:spacing w:line="560" w:lineRule="exact"/>
        <w:jc w:val="both"/>
        <w:outlineLvl w:val="1"/>
        <w:rPr>
          <w:rFonts w:ascii="楷体_GB2312" w:hAnsi="Times New Roman" w:eastAsia="楷体_GB2312" w:cs="Times New Roman"/>
          <w:bCs/>
          <w:color w:val="auto"/>
          <w:kern w:val="2"/>
          <w:sz w:val="32"/>
          <w:lang w:val="en-US" w:eastAsia="zh-CN" w:bidi="ar-SA"/>
        </w:rPr>
      </w:pPr>
      <w:bookmarkStart w:id="78" w:name="_Toc40045906"/>
      <w:r>
        <w:rPr>
          <w:rFonts w:hint="eastAsia" w:ascii="楷体_GB2312" w:hAnsi="Times New Roman" w:eastAsia="楷体_GB2312" w:cs="Times New Roman"/>
          <w:bCs/>
          <w:color w:val="auto"/>
          <w:kern w:val="2"/>
          <w:sz w:val="32"/>
          <w:lang w:val="en-US" w:eastAsia="zh-CN" w:bidi="ar-SA"/>
        </w:rPr>
        <w:t>6.6</w:t>
      </w:r>
      <w:r>
        <w:rPr>
          <w:rFonts w:ascii="楷体_GB2312" w:hAnsi="Times New Roman" w:eastAsia="楷体_GB2312" w:cs="Times New Roman"/>
          <w:bCs/>
          <w:color w:val="auto"/>
          <w:kern w:val="2"/>
          <w:sz w:val="32"/>
          <w:lang w:val="en-US" w:eastAsia="zh-CN" w:bidi="ar-SA"/>
        </w:rPr>
        <w:t>易制毒化学品</w:t>
      </w:r>
      <w:bookmarkEnd w:id="77"/>
      <w:r>
        <w:rPr>
          <w:rFonts w:ascii="楷体_GB2312" w:hAnsi="Times New Roman" w:eastAsia="楷体_GB2312" w:cs="Times New Roman"/>
          <w:bCs/>
          <w:color w:val="auto"/>
          <w:kern w:val="2"/>
          <w:sz w:val="32"/>
          <w:lang w:val="en-US" w:eastAsia="zh-CN" w:bidi="ar-SA"/>
        </w:rPr>
        <w:t>辨识</w:t>
      </w:r>
      <w:r>
        <w:rPr>
          <w:rFonts w:hint="eastAsia" w:ascii="楷体_GB2312" w:hAnsi="Times New Roman" w:eastAsia="楷体_GB2312" w:cs="Times New Roman"/>
          <w:bCs/>
          <w:color w:val="auto"/>
          <w:kern w:val="2"/>
          <w:sz w:val="32"/>
          <w:lang w:val="en-US" w:eastAsia="zh-CN" w:bidi="ar-SA"/>
        </w:rPr>
        <w:t>结果</w:t>
      </w:r>
      <w:bookmarkEnd w:id="78"/>
    </w:p>
    <w:p>
      <w:pPr>
        <w:spacing w:line="560" w:lineRule="exact"/>
        <w:ind w:firstLine="425" w:firstLineChars="152"/>
        <w:rPr>
          <w:rFonts w:ascii="宋体" w:hAnsi="宋体" w:eastAsia="宋体"/>
          <w:color w:val="auto"/>
          <w:sz w:val="28"/>
          <w:szCs w:val="28"/>
          <w:lang w:eastAsia="zh-CN"/>
        </w:rPr>
      </w:pPr>
      <w:r>
        <w:rPr>
          <w:rFonts w:ascii="宋体" w:hAnsi="宋体" w:eastAsia="宋体"/>
          <w:color w:val="auto"/>
          <w:sz w:val="28"/>
          <w:szCs w:val="28"/>
          <w:lang w:eastAsia="zh-CN"/>
        </w:rPr>
        <w:t>依据《易制毒化学品管理条例》(中华人民共和国国务院令第445号)，该公司</w:t>
      </w:r>
      <w:r>
        <w:rPr>
          <w:rFonts w:hint="eastAsia" w:ascii="宋体" w:hAnsi="宋体" w:eastAsia="宋体"/>
          <w:color w:val="auto"/>
          <w:sz w:val="28"/>
          <w:szCs w:val="28"/>
          <w:lang w:eastAsia="zh-CN"/>
        </w:rPr>
        <w:t>的产品及其使用的原辅材料均不属于易制毒化学品</w:t>
      </w:r>
    </w:p>
    <w:p>
      <w:pPr>
        <w:spacing w:line="560" w:lineRule="exact"/>
        <w:jc w:val="both"/>
        <w:outlineLvl w:val="1"/>
        <w:rPr>
          <w:rFonts w:ascii="楷体_GB2312" w:hAnsi="Times New Roman" w:eastAsia="楷体_GB2312" w:cs="Times New Roman"/>
          <w:bCs/>
          <w:color w:val="auto"/>
          <w:kern w:val="2"/>
          <w:sz w:val="32"/>
          <w:lang w:val="en-US" w:eastAsia="zh-CN" w:bidi="ar-SA"/>
        </w:rPr>
      </w:pPr>
      <w:bookmarkStart w:id="79" w:name="_Toc40045907"/>
      <w:r>
        <w:rPr>
          <w:rFonts w:hint="eastAsia" w:ascii="楷体_GB2312" w:hAnsi="Times New Roman" w:eastAsia="楷体_GB2312" w:cs="Times New Roman"/>
          <w:bCs/>
          <w:color w:val="auto"/>
          <w:kern w:val="2"/>
          <w:sz w:val="32"/>
          <w:lang w:val="en-US" w:eastAsia="zh-CN" w:bidi="ar-SA"/>
        </w:rPr>
        <w:t>6.7</w:t>
      </w:r>
      <w:r>
        <w:rPr>
          <w:rFonts w:ascii="楷体_GB2312" w:hAnsi="Times New Roman" w:eastAsia="楷体_GB2312" w:cs="Times New Roman"/>
          <w:bCs/>
          <w:color w:val="auto"/>
          <w:kern w:val="2"/>
          <w:sz w:val="32"/>
          <w:lang w:val="en-US" w:eastAsia="zh-CN" w:bidi="ar-SA"/>
        </w:rPr>
        <w:t>易制爆化学品辨识</w:t>
      </w:r>
      <w:r>
        <w:rPr>
          <w:rFonts w:hint="eastAsia" w:ascii="楷体_GB2312" w:hAnsi="Times New Roman" w:eastAsia="楷体_GB2312" w:cs="Times New Roman"/>
          <w:bCs/>
          <w:color w:val="auto"/>
          <w:kern w:val="2"/>
          <w:sz w:val="32"/>
          <w:lang w:val="en-US" w:eastAsia="zh-CN" w:bidi="ar-SA"/>
        </w:rPr>
        <w:t>结果</w:t>
      </w:r>
      <w:bookmarkEnd w:id="79"/>
    </w:p>
    <w:p>
      <w:pPr>
        <w:spacing w:line="560" w:lineRule="exact"/>
        <w:ind w:firstLine="425" w:firstLineChars="152"/>
        <w:rPr>
          <w:rFonts w:ascii="宋体" w:hAnsi="宋体" w:eastAsia="宋体"/>
          <w:color w:val="auto"/>
          <w:sz w:val="28"/>
          <w:szCs w:val="28"/>
          <w:lang w:eastAsia="zh-CN"/>
        </w:rPr>
      </w:pPr>
      <w:r>
        <w:rPr>
          <w:rFonts w:ascii="宋体" w:hAnsi="宋体" w:eastAsia="宋体"/>
          <w:color w:val="auto"/>
          <w:sz w:val="28"/>
          <w:szCs w:val="28"/>
          <w:lang w:eastAsia="zh-CN"/>
        </w:rPr>
        <w:t>根据《易制爆危险化学品名录(201</w:t>
      </w:r>
      <w:r>
        <w:rPr>
          <w:rFonts w:hint="eastAsia" w:ascii="宋体" w:hAnsi="宋体" w:eastAsia="宋体"/>
          <w:color w:val="auto"/>
          <w:sz w:val="28"/>
          <w:szCs w:val="28"/>
          <w:lang w:eastAsia="zh-CN"/>
        </w:rPr>
        <w:t>7</w:t>
      </w:r>
      <w:r>
        <w:rPr>
          <w:rFonts w:ascii="宋体" w:hAnsi="宋体" w:eastAsia="宋体"/>
          <w:color w:val="auto"/>
          <w:sz w:val="28"/>
          <w:szCs w:val="28"/>
          <w:lang w:eastAsia="zh-CN"/>
        </w:rPr>
        <w:t>年版)》</w:t>
      </w:r>
      <w:bookmarkStart w:id="80" w:name="bookmark38"/>
      <w:r>
        <w:rPr>
          <w:rFonts w:ascii="宋体" w:hAnsi="宋体" w:eastAsia="宋体"/>
          <w:color w:val="auto"/>
          <w:sz w:val="28"/>
          <w:szCs w:val="28"/>
          <w:lang w:eastAsia="zh-CN"/>
        </w:rPr>
        <w:t>，该公司的原料及产品</w:t>
      </w:r>
      <w:r>
        <w:rPr>
          <w:rFonts w:hint="eastAsia" w:ascii="宋体" w:hAnsi="宋体" w:eastAsia="宋体"/>
          <w:color w:val="auto"/>
          <w:sz w:val="28"/>
          <w:szCs w:val="28"/>
          <w:lang w:eastAsia="zh-CN"/>
        </w:rPr>
        <w:t>均不属于</w:t>
      </w:r>
      <w:r>
        <w:rPr>
          <w:rFonts w:ascii="宋体" w:hAnsi="宋体" w:eastAsia="宋体"/>
          <w:color w:val="auto"/>
          <w:sz w:val="28"/>
          <w:szCs w:val="28"/>
          <w:lang w:eastAsia="zh-CN"/>
        </w:rPr>
        <w:t>易制爆危险化学品。</w:t>
      </w:r>
      <w:bookmarkEnd w:id="80"/>
    </w:p>
    <w:p>
      <w:pPr>
        <w:spacing w:line="560" w:lineRule="exact"/>
        <w:jc w:val="both"/>
        <w:outlineLvl w:val="1"/>
        <w:rPr>
          <w:rFonts w:ascii="楷体_GB2312" w:hAnsi="Times New Roman" w:eastAsia="楷体_GB2312" w:cs="Times New Roman"/>
          <w:bCs/>
          <w:color w:val="auto"/>
          <w:kern w:val="2"/>
          <w:sz w:val="32"/>
          <w:lang w:val="en-US" w:eastAsia="zh-CN" w:bidi="ar-SA"/>
        </w:rPr>
      </w:pPr>
      <w:bookmarkStart w:id="81" w:name="bookmark39"/>
      <w:bookmarkStart w:id="82" w:name="_Toc40045908"/>
      <w:r>
        <w:rPr>
          <w:rFonts w:hint="eastAsia" w:ascii="楷体_GB2312" w:hAnsi="Times New Roman" w:eastAsia="楷体_GB2312" w:cs="Times New Roman"/>
          <w:bCs/>
          <w:color w:val="auto"/>
          <w:kern w:val="2"/>
          <w:sz w:val="32"/>
          <w:lang w:val="en-US" w:eastAsia="zh-CN" w:bidi="ar-SA"/>
        </w:rPr>
        <w:t>6.8</w:t>
      </w:r>
      <w:r>
        <w:rPr>
          <w:rFonts w:ascii="楷体_GB2312" w:hAnsi="Times New Roman" w:eastAsia="楷体_GB2312" w:cs="Times New Roman"/>
          <w:bCs/>
          <w:color w:val="auto"/>
          <w:kern w:val="2"/>
          <w:sz w:val="32"/>
          <w:lang w:val="en-US" w:eastAsia="zh-CN" w:bidi="ar-SA"/>
        </w:rPr>
        <w:t>剧毒化学品辨识</w:t>
      </w:r>
      <w:bookmarkEnd w:id="81"/>
      <w:r>
        <w:rPr>
          <w:rFonts w:hint="eastAsia" w:ascii="楷体_GB2312" w:hAnsi="Times New Roman" w:eastAsia="楷体_GB2312" w:cs="Times New Roman"/>
          <w:bCs/>
          <w:color w:val="auto"/>
          <w:kern w:val="2"/>
          <w:sz w:val="32"/>
          <w:lang w:val="en-US" w:eastAsia="zh-CN" w:bidi="ar-SA"/>
        </w:rPr>
        <w:t>结果</w:t>
      </w:r>
      <w:bookmarkEnd w:id="82"/>
    </w:p>
    <w:p>
      <w:pPr>
        <w:spacing w:line="560" w:lineRule="exact"/>
        <w:ind w:firstLine="425" w:firstLineChars="152"/>
        <w:rPr>
          <w:rFonts w:ascii="宋体" w:hAnsi="宋体" w:eastAsia="宋体"/>
          <w:color w:val="auto"/>
          <w:sz w:val="28"/>
          <w:szCs w:val="28"/>
          <w:lang w:eastAsia="zh-CN"/>
        </w:rPr>
      </w:pPr>
      <w:r>
        <w:rPr>
          <w:rFonts w:ascii="宋体" w:hAnsi="宋体" w:eastAsia="宋体"/>
          <w:color w:val="auto"/>
          <w:sz w:val="28"/>
          <w:szCs w:val="28"/>
          <w:lang w:eastAsia="zh-CN"/>
        </w:rPr>
        <w:t>根据《危险化学品目录(2015版)》(安全监管总局、工业和信息化部、公安部等公告2015年第5号)，该公司的原料及产品中没有剧毒化学品。</w:t>
      </w:r>
    </w:p>
    <w:p>
      <w:pPr>
        <w:spacing w:line="560" w:lineRule="exact"/>
        <w:jc w:val="both"/>
        <w:outlineLvl w:val="1"/>
        <w:rPr>
          <w:rFonts w:ascii="楷体_GB2312" w:hAnsi="Times New Roman" w:eastAsia="楷体_GB2312" w:cs="Times New Roman"/>
          <w:bCs/>
          <w:color w:val="auto"/>
          <w:kern w:val="2"/>
          <w:sz w:val="32"/>
          <w:lang w:val="en-US" w:eastAsia="zh-CN" w:bidi="ar-SA"/>
        </w:rPr>
      </w:pPr>
      <w:bookmarkStart w:id="83" w:name="_Toc40045909"/>
      <w:r>
        <w:rPr>
          <w:rFonts w:hint="eastAsia" w:ascii="楷体_GB2312" w:hAnsi="Times New Roman" w:eastAsia="楷体_GB2312" w:cs="Times New Roman"/>
          <w:bCs/>
          <w:color w:val="auto"/>
          <w:kern w:val="2"/>
          <w:sz w:val="32"/>
          <w:lang w:val="en-US" w:eastAsia="zh-CN" w:bidi="ar-SA"/>
        </w:rPr>
        <w:t>6.9</w:t>
      </w:r>
      <w:r>
        <w:rPr>
          <w:rFonts w:ascii="楷体_GB2312" w:hAnsi="Times New Roman" w:eastAsia="楷体_GB2312" w:cs="Times New Roman"/>
          <w:bCs/>
          <w:color w:val="auto"/>
          <w:kern w:val="2"/>
          <w:sz w:val="32"/>
          <w:lang w:val="en-US" w:eastAsia="zh-CN" w:bidi="ar-SA"/>
        </w:rPr>
        <w:t>重大危险源辨识结果</w:t>
      </w:r>
      <w:bookmarkEnd w:id="72"/>
      <w:bookmarkEnd w:id="83"/>
    </w:p>
    <w:p>
      <w:pPr>
        <w:spacing w:line="560" w:lineRule="exact"/>
        <w:ind w:firstLine="425" w:firstLineChars="152"/>
        <w:rPr>
          <w:rFonts w:ascii="宋体" w:hAnsi="宋体" w:eastAsia="宋体"/>
          <w:color w:val="auto"/>
          <w:sz w:val="28"/>
          <w:szCs w:val="28"/>
        </w:rPr>
      </w:pPr>
      <w:r>
        <w:rPr>
          <w:rFonts w:ascii="宋体" w:hAnsi="宋体" w:eastAsia="宋体"/>
          <w:color w:val="auto"/>
          <w:sz w:val="28"/>
          <w:szCs w:val="28"/>
        </w:rPr>
        <w:t>依据《危险化学品重大危险源辨识》(GB18218-2018)可知，该公司危险化学品不构成重大危险源。</w:t>
      </w:r>
    </w:p>
    <w:p>
      <w:pPr>
        <w:spacing w:line="560" w:lineRule="exact"/>
        <w:jc w:val="both"/>
        <w:outlineLvl w:val="1"/>
        <w:rPr>
          <w:rFonts w:ascii="楷体_GB2312" w:hAnsi="Times New Roman" w:eastAsia="楷体_GB2312" w:cs="Times New Roman"/>
          <w:bCs/>
          <w:color w:val="auto"/>
          <w:kern w:val="2"/>
          <w:sz w:val="32"/>
          <w:lang w:val="en-US" w:eastAsia="zh-CN" w:bidi="ar-SA"/>
        </w:rPr>
      </w:pPr>
      <w:bookmarkStart w:id="84" w:name="bookmark63"/>
      <w:bookmarkStart w:id="85" w:name="_Toc40045910"/>
      <w:r>
        <w:rPr>
          <w:rFonts w:ascii="楷体_GB2312" w:hAnsi="Times New Roman" w:eastAsia="楷体_GB2312" w:cs="Times New Roman"/>
          <w:bCs/>
          <w:color w:val="auto"/>
          <w:kern w:val="2"/>
          <w:sz w:val="32"/>
          <w:lang w:val="en-US" w:eastAsia="zh-CN" w:bidi="ar-SA"/>
        </w:rPr>
        <w:t>6.</w:t>
      </w:r>
      <w:r>
        <w:rPr>
          <w:rFonts w:hint="eastAsia" w:ascii="楷体_GB2312" w:hAnsi="Times New Roman" w:eastAsia="楷体_GB2312" w:cs="Times New Roman"/>
          <w:bCs/>
          <w:color w:val="auto"/>
          <w:kern w:val="2"/>
          <w:sz w:val="32"/>
          <w:lang w:val="en-US" w:eastAsia="zh-CN" w:bidi="ar-SA"/>
        </w:rPr>
        <w:t>10</w:t>
      </w:r>
      <w:r>
        <w:rPr>
          <w:rFonts w:ascii="楷体_GB2312" w:hAnsi="Times New Roman" w:eastAsia="楷体_GB2312" w:cs="Times New Roman"/>
          <w:bCs/>
          <w:color w:val="auto"/>
          <w:kern w:val="2"/>
          <w:sz w:val="32"/>
          <w:lang w:val="en-US" w:eastAsia="zh-CN" w:bidi="ar-SA"/>
        </w:rPr>
        <w:t>生产装置、设施与周边环境的影响分析结果</w:t>
      </w:r>
      <w:bookmarkEnd w:id="84"/>
      <w:bookmarkEnd w:id="85"/>
    </w:p>
    <w:p>
      <w:pPr>
        <w:spacing w:line="560" w:lineRule="exact"/>
        <w:jc w:val="both"/>
        <w:outlineLvl w:val="2"/>
        <w:rPr>
          <w:rFonts w:ascii="宋体" w:hAnsi="宋体" w:eastAsia="宋体" w:cs="Times New Roman"/>
          <w:bCs/>
          <w:color w:val="auto"/>
          <w:kern w:val="2"/>
          <w:sz w:val="28"/>
          <w:szCs w:val="28"/>
          <w:lang w:val="en-US" w:eastAsia="zh-CN" w:bidi="ar-SA"/>
        </w:rPr>
      </w:pPr>
      <w:bookmarkStart w:id="86" w:name="bookmark64"/>
      <w:r>
        <w:rPr>
          <w:rFonts w:ascii="宋体" w:hAnsi="宋体" w:eastAsia="宋体" w:cs="Times New Roman"/>
          <w:bCs/>
          <w:color w:val="auto"/>
          <w:kern w:val="2"/>
          <w:sz w:val="28"/>
          <w:szCs w:val="28"/>
          <w:lang w:val="en-US" w:eastAsia="zh-CN" w:bidi="ar-SA"/>
        </w:rPr>
        <w:t>6.</w:t>
      </w:r>
      <w:r>
        <w:rPr>
          <w:rFonts w:hint="eastAsia" w:ascii="宋体" w:hAnsi="宋体" w:eastAsia="宋体" w:cs="Times New Roman"/>
          <w:bCs/>
          <w:color w:val="auto"/>
          <w:kern w:val="2"/>
          <w:sz w:val="28"/>
          <w:szCs w:val="28"/>
          <w:lang w:val="en-US" w:eastAsia="zh-CN" w:bidi="ar-SA"/>
        </w:rPr>
        <w:t>10</w:t>
      </w:r>
      <w:r>
        <w:rPr>
          <w:rFonts w:ascii="宋体" w:hAnsi="宋体" w:eastAsia="宋体" w:cs="Times New Roman"/>
          <w:bCs/>
          <w:color w:val="auto"/>
          <w:kern w:val="2"/>
          <w:sz w:val="28"/>
          <w:szCs w:val="28"/>
          <w:lang w:val="en-US" w:eastAsia="zh-CN" w:bidi="ar-SA"/>
        </w:rPr>
        <w:t>.1生产装置、设施的危险、有害因素对生产单位周边社区的影响</w:t>
      </w:r>
      <w:bookmarkEnd w:id="86"/>
    </w:p>
    <w:p>
      <w:pPr>
        <w:spacing w:line="600" w:lineRule="exact"/>
        <w:ind w:firstLine="560" w:firstLineChars="200"/>
        <w:jc w:val="both"/>
        <w:rPr>
          <w:rFonts w:ascii="宋体" w:hAnsi="宋体" w:eastAsia="宋体"/>
          <w:color w:val="auto"/>
          <w:sz w:val="28"/>
          <w:szCs w:val="28"/>
        </w:rPr>
      </w:pPr>
      <w:bookmarkStart w:id="87" w:name="bookmark65"/>
      <w:r>
        <w:rPr>
          <w:rFonts w:hint="eastAsia" w:ascii="宋体" w:hAnsi="宋体" w:eastAsia="宋体"/>
          <w:color w:val="auto"/>
          <w:sz w:val="28"/>
          <w:szCs w:val="28"/>
        </w:rPr>
        <w:t>该</w:t>
      </w:r>
      <w:r>
        <w:rPr>
          <w:rFonts w:ascii="宋体" w:hAnsi="宋体" w:eastAsia="宋体"/>
          <w:color w:val="auto"/>
          <w:sz w:val="28"/>
          <w:szCs w:val="28"/>
        </w:rPr>
        <w:t>公司位于广东省</w:t>
      </w:r>
      <w:r>
        <w:rPr>
          <w:rFonts w:hint="eastAsia" w:ascii="宋体" w:hAnsi="宋体" w:eastAsia="宋体"/>
          <w:color w:val="auto"/>
          <w:sz w:val="28"/>
          <w:szCs w:val="28"/>
        </w:rPr>
        <w:t>东莞市道滘镇南丫村委会北丫村小组</w:t>
      </w:r>
      <w:r>
        <w:rPr>
          <w:rFonts w:ascii="宋体" w:hAnsi="宋体" w:eastAsia="宋体"/>
          <w:color w:val="auto"/>
          <w:sz w:val="28"/>
          <w:szCs w:val="28"/>
        </w:rPr>
        <w:t>，</w:t>
      </w:r>
      <w:r>
        <w:rPr>
          <w:rFonts w:hint="eastAsia" w:ascii="宋体" w:hAnsi="宋体" w:eastAsia="宋体"/>
          <w:color w:val="auto"/>
          <w:sz w:val="28"/>
          <w:szCs w:val="28"/>
        </w:rPr>
        <w:t>主要的危害因素为火灾爆炸、中毒</w:t>
      </w:r>
      <w:r>
        <w:rPr>
          <w:rFonts w:hint="eastAsia" w:ascii="宋体" w:hAnsi="宋体" w:eastAsia="宋体"/>
          <w:color w:val="auto"/>
          <w:sz w:val="28"/>
          <w:szCs w:val="28"/>
          <w:lang w:eastAsia="zh-CN"/>
        </w:rPr>
        <w:t>和</w:t>
      </w:r>
      <w:r>
        <w:rPr>
          <w:rFonts w:hint="eastAsia" w:ascii="宋体" w:hAnsi="宋体" w:eastAsia="宋体"/>
          <w:color w:val="auto"/>
          <w:sz w:val="28"/>
          <w:szCs w:val="28"/>
        </w:rPr>
        <w:t>窒息。</w:t>
      </w:r>
      <w:r>
        <w:rPr>
          <w:rFonts w:ascii="宋体" w:hAnsi="宋体" w:eastAsia="宋体"/>
          <w:color w:val="auto"/>
          <w:sz w:val="28"/>
          <w:szCs w:val="28"/>
        </w:rPr>
        <w:t>厂区建有实体围墙与外界隔开</w:t>
      </w:r>
      <w:r>
        <w:rPr>
          <w:rFonts w:hint="eastAsia" w:ascii="宋体" w:hAnsi="宋体" w:eastAsia="宋体"/>
          <w:color w:val="auto"/>
          <w:sz w:val="28"/>
          <w:szCs w:val="28"/>
        </w:rPr>
        <w:t>，东面是兴隆纸厂，南面</w:t>
      </w:r>
      <w:r>
        <w:rPr>
          <w:rFonts w:hint="eastAsia" w:ascii="宋体" w:hAnsi="宋体" w:eastAsia="宋体"/>
          <w:color w:val="auto"/>
          <w:sz w:val="28"/>
          <w:szCs w:val="28"/>
          <w:lang w:eastAsia="zh-CN"/>
        </w:rPr>
        <w:t>围墙外</w:t>
      </w:r>
      <w:r>
        <w:rPr>
          <w:rFonts w:hint="eastAsia" w:ascii="宋体" w:hAnsi="宋体" w:eastAsia="宋体"/>
          <w:color w:val="auto"/>
          <w:sz w:val="28"/>
          <w:szCs w:val="28"/>
        </w:rPr>
        <w:t>为东莞美登人造革有限公司厂房，西面</w:t>
      </w:r>
      <w:r>
        <w:rPr>
          <w:rFonts w:hint="eastAsia" w:ascii="宋体" w:hAnsi="宋体" w:eastAsia="宋体"/>
          <w:color w:val="auto"/>
          <w:sz w:val="28"/>
          <w:szCs w:val="28"/>
          <w:lang w:eastAsia="zh-CN"/>
        </w:rPr>
        <w:t>围墙外</w:t>
      </w:r>
      <w:r>
        <w:rPr>
          <w:rFonts w:hint="eastAsia" w:ascii="宋体" w:hAnsi="宋体" w:eastAsia="宋体"/>
          <w:color w:val="auto"/>
          <w:sz w:val="28"/>
          <w:szCs w:val="28"/>
        </w:rPr>
        <w:t>为工业区道路，道路西侧为</w:t>
      </w:r>
      <w:r>
        <w:rPr>
          <w:rFonts w:hint="eastAsia" w:ascii="宋体" w:hAnsi="宋体" w:eastAsia="宋体"/>
          <w:color w:val="auto"/>
          <w:sz w:val="28"/>
          <w:szCs w:val="28"/>
          <w:lang w:eastAsia="zh-CN"/>
        </w:rPr>
        <w:t>中森木业有限公司</w:t>
      </w:r>
      <w:r>
        <w:rPr>
          <w:rFonts w:hint="eastAsia" w:ascii="宋体" w:hAnsi="宋体" w:eastAsia="宋体"/>
          <w:color w:val="auto"/>
          <w:sz w:val="28"/>
          <w:szCs w:val="28"/>
        </w:rPr>
        <w:t>，北面</w:t>
      </w:r>
      <w:r>
        <w:rPr>
          <w:rFonts w:hint="eastAsia" w:ascii="宋体" w:hAnsi="宋体" w:eastAsia="宋体"/>
          <w:color w:val="auto"/>
          <w:sz w:val="28"/>
          <w:szCs w:val="28"/>
          <w:lang w:eastAsia="zh-CN"/>
        </w:rPr>
        <w:t>围墙外为明川胶袋厂</w:t>
      </w:r>
      <w:r>
        <w:rPr>
          <w:rFonts w:hint="eastAsia" w:ascii="宋体" w:hAnsi="宋体" w:eastAsia="宋体"/>
          <w:color w:val="auto"/>
          <w:sz w:val="28"/>
          <w:szCs w:val="28"/>
        </w:rPr>
        <w:t>。整个厂区周边200m范围内无重要公共建筑物、稠密居民区、交通干线、铁路、军事禁区、水源保护区、公园等公共建筑、公用设施。</w:t>
      </w:r>
    </w:p>
    <w:p>
      <w:pPr>
        <w:pStyle w:val="281"/>
        <w:widowControl w:val="0"/>
        <w:pBdr>
          <w:left w:val="none" w:color="auto" w:sz="0" w:space="0"/>
          <w:right w:val="none" w:color="auto" w:sz="0" w:space="0"/>
        </w:pBdr>
        <w:spacing w:before="0" w:beforeAutospacing="0" w:after="0" w:afterAutospacing="0" w:line="560" w:lineRule="exact"/>
        <w:ind w:firstLine="560" w:firstLineChars="200"/>
        <w:jc w:val="both"/>
        <w:rPr>
          <w:rFonts w:cs="Microsoft JhengHei Light"/>
          <w:color w:val="auto"/>
          <w:lang w:val="zh-TW" w:eastAsia="zh-TW" w:bidi="zh-TW"/>
        </w:rPr>
      </w:pPr>
      <w:r>
        <w:rPr>
          <w:rFonts w:hint="eastAsia" w:cs="Microsoft JhengHei Light"/>
          <w:color w:val="auto"/>
          <w:lang w:val="zh-TW" w:eastAsia="zh-TW" w:bidi="zh-TW"/>
        </w:rPr>
        <w:t>该</w:t>
      </w:r>
      <w:r>
        <w:rPr>
          <w:rFonts w:cs="Microsoft JhengHei Light"/>
          <w:color w:val="auto"/>
          <w:lang w:val="zh-TW" w:eastAsia="zh-TW" w:bidi="zh-TW"/>
        </w:rPr>
        <w:t>公司存在火灾爆炸的主要场所</w:t>
      </w:r>
      <w:r>
        <w:rPr>
          <w:rFonts w:hint="eastAsia" w:cs="Microsoft JhengHei Light"/>
          <w:color w:val="auto"/>
          <w:lang w:val="zh-TW" w:eastAsia="zh-TW" w:bidi="zh-TW"/>
        </w:rPr>
        <w:t>甲类车间、甲类仓库</w:t>
      </w:r>
      <w:r>
        <w:rPr>
          <w:rFonts w:cs="Microsoft JhengHei Light"/>
          <w:color w:val="auto"/>
          <w:lang w:val="zh-TW" w:eastAsia="zh-TW" w:bidi="zh-TW"/>
        </w:rPr>
        <w:t>与周边建筑有符合要求的防火间距，发生火灾爆炸事故对周边环境的影响较小。</w:t>
      </w:r>
    </w:p>
    <w:p>
      <w:pPr>
        <w:spacing w:line="560" w:lineRule="exact"/>
        <w:jc w:val="both"/>
        <w:outlineLvl w:val="2"/>
        <w:rPr>
          <w:rFonts w:ascii="宋体" w:hAnsi="宋体" w:eastAsia="宋体" w:cs="Times New Roman"/>
          <w:bCs/>
          <w:color w:val="auto"/>
          <w:kern w:val="2"/>
          <w:sz w:val="28"/>
          <w:szCs w:val="28"/>
          <w:lang w:val="en-US" w:eastAsia="zh-CN" w:bidi="ar-SA"/>
        </w:rPr>
      </w:pPr>
      <w:r>
        <w:rPr>
          <w:rFonts w:ascii="宋体" w:hAnsi="宋体" w:eastAsia="宋体" w:cs="Times New Roman"/>
          <w:bCs/>
          <w:color w:val="auto"/>
          <w:kern w:val="2"/>
          <w:sz w:val="28"/>
          <w:szCs w:val="28"/>
          <w:lang w:val="en-US" w:eastAsia="zh-CN" w:bidi="ar-SA"/>
        </w:rPr>
        <w:t>6.</w:t>
      </w:r>
      <w:r>
        <w:rPr>
          <w:rFonts w:hint="eastAsia" w:ascii="宋体" w:hAnsi="宋体" w:eastAsia="宋体" w:cs="Times New Roman"/>
          <w:bCs/>
          <w:color w:val="auto"/>
          <w:kern w:val="2"/>
          <w:sz w:val="28"/>
          <w:szCs w:val="28"/>
          <w:lang w:val="en-US" w:eastAsia="zh-CN" w:bidi="ar-SA"/>
        </w:rPr>
        <w:t>10</w:t>
      </w:r>
      <w:r>
        <w:rPr>
          <w:rFonts w:ascii="宋体" w:hAnsi="宋体" w:eastAsia="宋体" w:cs="Times New Roman"/>
          <w:bCs/>
          <w:color w:val="auto"/>
          <w:kern w:val="2"/>
          <w:sz w:val="28"/>
          <w:szCs w:val="28"/>
          <w:lang w:val="en-US" w:eastAsia="zh-CN" w:bidi="ar-SA"/>
        </w:rPr>
        <w:t>.2生产单位周边对生产装置、设施的影响</w:t>
      </w:r>
      <w:bookmarkEnd w:id="87"/>
    </w:p>
    <w:p>
      <w:pPr>
        <w:spacing w:line="560" w:lineRule="exact"/>
        <w:ind w:firstLine="425" w:firstLineChars="152"/>
        <w:rPr>
          <w:rFonts w:ascii="宋体" w:hAnsi="宋体" w:eastAsia="宋体"/>
          <w:color w:val="auto"/>
          <w:sz w:val="28"/>
          <w:szCs w:val="28"/>
        </w:rPr>
      </w:pPr>
      <w:r>
        <w:rPr>
          <w:rFonts w:ascii="宋体" w:hAnsi="宋体" w:eastAsia="宋体"/>
          <w:color w:val="auto"/>
          <w:sz w:val="28"/>
          <w:szCs w:val="28"/>
        </w:rPr>
        <w:t>周边环境对该公司生产的影响主要是各类潜在点火源的存在和火灾事故的影响。该公司厂区周边无危险化学品生产、储存企业，厂区内主要危险场所(甲类车间、甲类仓库)与周边企业的建(构)筑物的防火间距满足规范要求，且厂区设置有实体围墙隔开，因此，即便外围发生安全事故，其对该公司的影响较小。</w:t>
      </w:r>
    </w:p>
    <w:p>
      <w:pPr>
        <w:spacing w:line="560" w:lineRule="exact"/>
        <w:jc w:val="both"/>
        <w:outlineLvl w:val="2"/>
        <w:rPr>
          <w:rFonts w:ascii="宋体" w:hAnsi="宋体" w:eastAsia="宋体" w:cs="Times New Roman"/>
          <w:bCs/>
          <w:color w:val="auto"/>
          <w:kern w:val="2"/>
          <w:sz w:val="28"/>
          <w:szCs w:val="28"/>
          <w:lang w:val="en-US" w:eastAsia="zh-CN" w:bidi="ar-SA"/>
        </w:rPr>
      </w:pPr>
      <w:bookmarkStart w:id="88" w:name="bookmark66"/>
      <w:r>
        <w:rPr>
          <w:rFonts w:ascii="宋体" w:hAnsi="宋体" w:eastAsia="宋体" w:cs="Times New Roman"/>
          <w:bCs/>
          <w:color w:val="auto"/>
          <w:kern w:val="2"/>
          <w:sz w:val="28"/>
          <w:szCs w:val="28"/>
          <w:lang w:val="en-US" w:eastAsia="zh-CN" w:bidi="ar-SA"/>
        </w:rPr>
        <w:t>6.</w:t>
      </w:r>
      <w:r>
        <w:rPr>
          <w:rFonts w:hint="eastAsia" w:ascii="宋体" w:hAnsi="宋体" w:eastAsia="宋体" w:cs="Times New Roman"/>
          <w:bCs/>
          <w:color w:val="auto"/>
          <w:kern w:val="2"/>
          <w:sz w:val="28"/>
          <w:szCs w:val="28"/>
          <w:lang w:val="en-US" w:eastAsia="zh-CN" w:bidi="ar-SA"/>
        </w:rPr>
        <w:t>10</w:t>
      </w:r>
      <w:r>
        <w:rPr>
          <w:rFonts w:ascii="宋体" w:hAnsi="宋体" w:eastAsia="宋体" w:cs="Times New Roman"/>
          <w:bCs/>
          <w:color w:val="auto"/>
          <w:kern w:val="2"/>
          <w:sz w:val="28"/>
          <w:szCs w:val="28"/>
          <w:lang w:val="en-US" w:eastAsia="zh-CN" w:bidi="ar-SA"/>
        </w:rPr>
        <w:t>.3自然条件对生产装置、设施的影响</w:t>
      </w:r>
      <w:bookmarkEnd w:id="88"/>
    </w:p>
    <w:p>
      <w:pPr>
        <w:spacing w:line="560" w:lineRule="exact"/>
        <w:ind w:firstLine="425" w:firstLineChars="152"/>
        <w:rPr>
          <w:rFonts w:ascii="宋体" w:hAnsi="宋体" w:eastAsia="宋体"/>
          <w:color w:val="auto"/>
          <w:sz w:val="28"/>
          <w:szCs w:val="28"/>
        </w:rPr>
      </w:pPr>
      <w:r>
        <w:rPr>
          <w:rFonts w:ascii="宋体" w:hAnsi="宋体" w:eastAsia="宋体"/>
          <w:color w:val="auto"/>
          <w:sz w:val="28"/>
          <w:szCs w:val="28"/>
        </w:rPr>
        <w:t>雷暴影响：该公司所在地区全年雷暴天数较多，若防雷设施失效，雷雨天气里，建筑物、生产装置、设施和人员有遭受雷击的危险。但该公司生产车间及仓库等建筑物均已装设防雷装置，取得了《广东省防雷装置合格证》，雷击对该公司的影响不大。</w:t>
      </w:r>
    </w:p>
    <w:p>
      <w:pPr>
        <w:spacing w:line="560" w:lineRule="exact"/>
        <w:ind w:firstLine="425" w:firstLineChars="152"/>
        <w:rPr>
          <w:rFonts w:ascii="宋体" w:hAnsi="宋体" w:eastAsia="宋体"/>
          <w:color w:val="auto"/>
          <w:sz w:val="28"/>
          <w:szCs w:val="28"/>
        </w:rPr>
      </w:pPr>
      <w:r>
        <w:rPr>
          <w:rFonts w:ascii="宋体" w:hAnsi="宋体" w:eastAsia="宋体"/>
          <w:color w:val="auto"/>
          <w:sz w:val="28"/>
          <w:szCs w:val="28"/>
        </w:rPr>
        <w:t>台风影响：该公司所在地每年台风登陆有多次，强热带风暴气旋的风力强劲，最高风速35.4m/s，对人和建筑物安全有一定的威胁。该公司的厂区建筑物、生产装置、设施有可能受台风影响。</w:t>
      </w:r>
    </w:p>
    <w:p>
      <w:pPr>
        <w:spacing w:line="560" w:lineRule="exact"/>
        <w:ind w:firstLine="425" w:firstLineChars="152"/>
        <w:rPr>
          <w:rFonts w:ascii="宋体" w:hAnsi="宋体" w:eastAsia="宋体"/>
          <w:color w:val="auto"/>
          <w:sz w:val="28"/>
          <w:szCs w:val="28"/>
        </w:rPr>
      </w:pPr>
      <w:r>
        <w:rPr>
          <w:rFonts w:ascii="宋体" w:hAnsi="宋体" w:eastAsia="宋体"/>
          <w:color w:val="auto"/>
          <w:sz w:val="28"/>
          <w:szCs w:val="28"/>
        </w:rPr>
        <w:t>暴雨影响：本地位于南亚热带强降水地区，夏季多暴雨，如下水道阻塞，水泄不及，可能造成内涝积水，洪水灾害为本地区的主要自然灾害。</w:t>
      </w:r>
    </w:p>
    <w:p>
      <w:pPr>
        <w:spacing w:line="560" w:lineRule="exact"/>
        <w:ind w:firstLine="425" w:firstLineChars="152"/>
        <w:rPr>
          <w:rFonts w:ascii="宋体" w:hAnsi="宋体" w:eastAsia="宋体"/>
          <w:color w:val="auto"/>
          <w:sz w:val="28"/>
          <w:szCs w:val="28"/>
        </w:rPr>
      </w:pPr>
      <w:r>
        <w:rPr>
          <w:rFonts w:ascii="宋体" w:hAnsi="宋体" w:eastAsia="宋体"/>
          <w:color w:val="auto"/>
          <w:sz w:val="28"/>
          <w:szCs w:val="28"/>
        </w:rPr>
        <w:t>高温天气影响：该地区夏季最高气温37.8℃，高气温会使密闭容器内压增加，易发生爆裂，高温天气容易引起人员中暑，企业应加强夏季防暑降温工作。</w:t>
      </w:r>
    </w:p>
    <w:p>
      <w:pPr>
        <w:spacing w:line="560" w:lineRule="exact"/>
        <w:ind w:firstLine="425" w:firstLineChars="152"/>
        <w:rPr>
          <w:rFonts w:ascii="宋体" w:hAnsi="宋体" w:eastAsia="宋体"/>
          <w:color w:val="auto"/>
          <w:sz w:val="28"/>
          <w:szCs w:val="28"/>
        </w:rPr>
      </w:pPr>
    </w:p>
    <w:p>
      <w:pPr>
        <w:pStyle w:val="3"/>
        <w:spacing w:after="120"/>
        <w:rPr>
          <w:snapToGrid/>
          <w:color w:val="auto"/>
        </w:rPr>
      </w:pPr>
      <w:bookmarkStart w:id="89" w:name="bookmark68"/>
      <w:bookmarkStart w:id="90" w:name="bookmark67"/>
      <w:r>
        <w:rPr>
          <w:snapToGrid/>
          <w:color w:val="auto"/>
        </w:rPr>
        <w:br w:type="page"/>
      </w:r>
    </w:p>
    <w:p>
      <w:pPr>
        <w:pStyle w:val="3"/>
        <w:spacing w:after="120"/>
        <w:rPr>
          <w:snapToGrid/>
          <w:color w:val="auto"/>
        </w:rPr>
      </w:pPr>
      <w:bookmarkStart w:id="91" w:name="_Toc40045911"/>
      <w:r>
        <w:rPr>
          <w:snapToGrid/>
          <w:color w:val="auto"/>
        </w:rPr>
        <w:t>7定性、定量分析安全评价内容的结果</w:t>
      </w:r>
      <w:bookmarkEnd w:id="89"/>
      <w:bookmarkEnd w:id="90"/>
      <w:bookmarkEnd w:id="91"/>
    </w:p>
    <w:p>
      <w:pPr>
        <w:spacing w:line="560" w:lineRule="exact"/>
        <w:jc w:val="both"/>
        <w:outlineLvl w:val="1"/>
        <w:rPr>
          <w:rFonts w:ascii="楷体_GB2312" w:hAnsi="Times New Roman" w:eastAsia="楷体_GB2312" w:cs="Times New Roman"/>
          <w:bCs/>
          <w:color w:val="auto"/>
          <w:kern w:val="2"/>
          <w:sz w:val="32"/>
          <w:lang w:val="en-US" w:eastAsia="zh-CN" w:bidi="ar-SA"/>
        </w:rPr>
      </w:pPr>
      <w:bookmarkStart w:id="92" w:name="_Toc40045912"/>
      <w:bookmarkStart w:id="93" w:name="bookmark70"/>
      <w:bookmarkStart w:id="94" w:name="bookmark69"/>
      <w:r>
        <w:rPr>
          <w:rFonts w:ascii="楷体_GB2312" w:hAnsi="Times New Roman" w:eastAsia="楷体_GB2312" w:cs="Times New Roman"/>
          <w:bCs/>
          <w:color w:val="auto"/>
          <w:kern w:val="2"/>
          <w:sz w:val="32"/>
          <w:lang w:val="en-US" w:eastAsia="zh-CN" w:bidi="ar-SA"/>
        </w:rPr>
        <w:t>7.1安全检查表分析结果</w:t>
      </w:r>
      <w:bookmarkEnd w:id="92"/>
    </w:p>
    <w:p>
      <w:pPr>
        <w:spacing w:line="560" w:lineRule="exact"/>
        <w:jc w:val="both"/>
        <w:outlineLvl w:val="2"/>
        <w:rPr>
          <w:rFonts w:ascii="宋体" w:hAnsi="宋体" w:eastAsia="宋体" w:cs="Times New Roman"/>
          <w:bCs/>
          <w:color w:val="auto"/>
          <w:kern w:val="2"/>
          <w:sz w:val="28"/>
          <w:szCs w:val="28"/>
          <w:lang w:val="en-US" w:eastAsia="zh-CN" w:bidi="ar-SA"/>
        </w:rPr>
      </w:pPr>
      <w:r>
        <w:rPr>
          <w:rFonts w:ascii="宋体" w:hAnsi="宋体" w:eastAsia="宋体" w:cs="Times New Roman"/>
          <w:bCs/>
          <w:color w:val="auto"/>
          <w:kern w:val="2"/>
          <w:sz w:val="28"/>
          <w:szCs w:val="28"/>
          <w:lang w:val="en-US" w:eastAsia="zh-CN" w:bidi="ar-SA"/>
        </w:rPr>
        <w:t>7.1.1安全管理方面检查评价结果</w:t>
      </w:r>
      <w:bookmarkEnd w:id="93"/>
      <w:bookmarkEnd w:id="94"/>
    </w:p>
    <w:p>
      <w:pPr>
        <w:spacing w:line="560" w:lineRule="exact"/>
        <w:ind w:firstLine="425" w:firstLineChars="152"/>
        <w:rPr>
          <w:rFonts w:ascii="宋体" w:hAnsi="宋体" w:eastAsia="宋体"/>
          <w:color w:val="auto"/>
          <w:sz w:val="28"/>
          <w:szCs w:val="28"/>
        </w:rPr>
      </w:pPr>
      <w:r>
        <w:rPr>
          <w:rFonts w:ascii="宋体" w:hAnsi="宋体" w:eastAsia="宋体"/>
          <w:color w:val="auto"/>
          <w:sz w:val="28"/>
          <w:szCs w:val="28"/>
        </w:rPr>
        <w:t>根据《中华人民共和国安全生产法》(中华人民共和国主席令第13号)、《安全生产许可证条例》(国务院令第397号)、《危险化学品安全管理条例》(中华人民共和国国务院令第591号，国务院令645号修订)等相关法律、法规的要求对企业的安全管理制度、安全管理组织、从业人员要求、事故预防与处理、安全生产投入、危险物品安全管理、安全生产投入等条件进行了检查评价，检查结果符合规范要求。</w:t>
      </w:r>
    </w:p>
    <w:p>
      <w:pPr>
        <w:spacing w:line="560" w:lineRule="exact"/>
        <w:jc w:val="both"/>
        <w:outlineLvl w:val="2"/>
        <w:rPr>
          <w:rFonts w:ascii="宋体" w:hAnsi="宋体" w:eastAsia="宋体" w:cs="Times New Roman"/>
          <w:bCs/>
          <w:color w:val="auto"/>
          <w:kern w:val="2"/>
          <w:sz w:val="28"/>
          <w:szCs w:val="28"/>
          <w:lang w:val="en-US" w:eastAsia="zh-CN" w:bidi="ar-SA"/>
        </w:rPr>
      </w:pPr>
      <w:bookmarkStart w:id="95" w:name="bookmark71"/>
      <w:r>
        <w:rPr>
          <w:rFonts w:ascii="宋体" w:hAnsi="宋体" w:eastAsia="宋体" w:cs="Times New Roman"/>
          <w:bCs/>
          <w:color w:val="auto"/>
          <w:kern w:val="2"/>
          <w:sz w:val="28"/>
          <w:szCs w:val="28"/>
          <w:lang w:val="en-US" w:eastAsia="zh-CN" w:bidi="ar-SA"/>
        </w:rPr>
        <w:t>7.1.2生产场所安全检查评价结果</w:t>
      </w:r>
      <w:bookmarkEnd w:id="95"/>
    </w:p>
    <w:p>
      <w:pPr>
        <w:spacing w:line="560" w:lineRule="exact"/>
        <w:ind w:firstLine="425" w:firstLineChars="152"/>
        <w:rPr>
          <w:rFonts w:ascii="宋体" w:hAnsi="宋体" w:eastAsia="宋体"/>
          <w:color w:val="auto"/>
          <w:sz w:val="28"/>
          <w:szCs w:val="28"/>
        </w:rPr>
      </w:pPr>
      <w:r>
        <w:rPr>
          <w:rFonts w:ascii="宋体" w:hAnsi="宋体" w:eastAsia="宋体"/>
          <w:color w:val="auto"/>
          <w:sz w:val="28"/>
          <w:szCs w:val="28"/>
        </w:rPr>
        <w:t>依据《生产设备安全卫生设计总则》(GB5083-1999)、《生产过程安全卫生要求总则》(GB/T12801-2008)、《化工企业总图运输设计规范》(GB50489-2009)、《工业企业总平面设计规范》(GB50187-2012)、</w:t>
      </w:r>
      <w:r>
        <w:rPr>
          <w:rFonts w:hint="eastAsia" w:ascii="宋体" w:hAnsi="宋体" w:eastAsia="宋体"/>
          <w:color w:val="auto"/>
          <w:sz w:val="28"/>
          <w:szCs w:val="28"/>
          <w:lang w:eastAsia="zh-CN"/>
        </w:rPr>
        <w:t>《建筑设计防火规范（2018年版）》（GB50016-2014）</w:t>
      </w:r>
      <w:r>
        <w:rPr>
          <w:rFonts w:ascii="宋体" w:hAnsi="宋体" w:eastAsia="宋体"/>
          <w:color w:val="auto"/>
          <w:sz w:val="28"/>
          <w:szCs w:val="28"/>
        </w:rPr>
        <w:t>等标准及《危险化学品安全管理条例》相关内容通过对该公司的平面布局、建筑、消防、防雷和电气设施、生产设备安全卫生要求、生产过程安全卫生要求等情况进行检查可知，检查结果符合规范要求。</w:t>
      </w:r>
    </w:p>
    <w:p>
      <w:pPr>
        <w:spacing w:line="560" w:lineRule="exact"/>
        <w:jc w:val="both"/>
        <w:outlineLvl w:val="2"/>
        <w:rPr>
          <w:rFonts w:ascii="宋体" w:hAnsi="宋体" w:eastAsia="宋体" w:cs="Times New Roman"/>
          <w:bCs/>
          <w:color w:val="auto"/>
          <w:kern w:val="2"/>
          <w:sz w:val="28"/>
          <w:szCs w:val="28"/>
          <w:lang w:val="en-US" w:eastAsia="zh-CN" w:bidi="ar-SA"/>
        </w:rPr>
      </w:pPr>
      <w:bookmarkStart w:id="96" w:name="bookmark72"/>
      <w:r>
        <w:rPr>
          <w:rFonts w:ascii="宋体" w:hAnsi="宋体" w:eastAsia="宋体" w:cs="Times New Roman"/>
          <w:bCs/>
          <w:color w:val="auto"/>
          <w:kern w:val="2"/>
          <w:sz w:val="28"/>
          <w:szCs w:val="28"/>
          <w:lang w:val="en-US" w:eastAsia="zh-CN" w:bidi="ar-SA"/>
        </w:rPr>
        <w:t>7.1.3储存场所检查评价结果</w:t>
      </w:r>
      <w:bookmarkEnd w:id="96"/>
    </w:p>
    <w:p>
      <w:pPr>
        <w:spacing w:line="560" w:lineRule="exact"/>
        <w:ind w:firstLine="425" w:firstLineChars="152"/>
        <w:rPr>
          <w:rFonts w:ascii="宋体" w:hAnsi="宋体" w:eastAsia="宋体"/>
          <w:color w:val="auto"/>
          <w:sz w:val="28"/>
          <w:szCs w:val="28"/>
        </w:rPr>
      </w:pPr>
      <w:r>
        <w:rPr>
          <w:rFonts w:ascii="宋体" w:hAnsi="宋体" w:eastAsia="宋体"/>
          <w:color w:val="auto"/>
          <w:sz w:val="28"/>
          <w:szCs w:val="28"/>
        </w:rPr>
        <w:t>根据《常用化学危险品贮存通则》(GB15603-1995)、《易燃易爆性商品储存养护技术条件》(GB17914-2013)、《仓库防火安全管理规则》(公安部令第6号)、</w:t>
      </w:r>
      <w:r>
        <w:rPr>
          <w:rFonts w:hint="eastAsia" w:ascii="宋体" w:hAnsi="宋体" w:eastAsia="宋体"/>
          <w:color w:val="auto"/>
          <w:sz w:val="28"/>
          <w:szCs w:val="28"/>
          <w:lang w:eastAsia="zh-CN"/>
        </w:rPr>
        <w:t>《建筑设计防火规范（2018年版）》（GB50016-2014）</w:t>
      </w:r>
      <w:r>
        <w:rPr>
          <w:rFonts w:ascii="宋体" w:hAnsi="宋体" w:eastAsia="宋体"/>
          <w:color w:val="auto"/>
          <w:sz w:val="28"/>
          <w:szCs w:val="28"/>
        </w:rPr>
        <w:t>对该公司危化品仓库建筑、储存管理、电器、火源、消防设施配备及管理等方面进行了安全检查，所有检查项均符合要求。</w:t>
      </w:r>
    </w:p>
    <w:p>
      <w:pPr>
        <w:spacing w:line="560" w:lineRule="exact"/>
        <w:jc w:val="both"/>
        <w:outlineLvl w:val="2"/>
        <w:rPr>
          <w:rFonts w:ascii="宋体" w:hAnsi="宋体" w:eastAsia="宋体" w:cs="Times New Roman"/>
          <w:bCs/>
          <w:color w:val="auto"/>
          <w:kern w:val="2"/>
          <w:sz w:val="28"/>
          <w:szCs w:val="28"/>
          <w:lang w:val="en-US" w:eastAsia="zh-CN" w:bidi="ar-SA"/>
        </w:rPr>
      </w:pPr>
      <w:bookmarkStart w:id="97" w:name="bookmark73"/>
      <w:bookmarkStart w:id="98" w:name="bookmark74"/>
      <w:r>
        <w:rPr>
          <w:rFonts w:ascii="宋体" w:hAnsi="宋体" w:eastAsia="宋体" w:cs="Times New Roman"/>
          <w:bCs/>
          <w:color w:val="auto"/>
          <w:kern w:val="2"/>
          <w:sz w:val="28"/>
          <w:szCs w:val="28"/>
          <w:lang w:val="en-US" w:eastAsia="zh-CN" w:bidi="ar-SA"/>
        </w:rPr>
        <w:t>7.1.4主要</w:t>
      </w:r>
      <w:r>
        <w:rPr>
          <w:rFonts w:hint="eastAsia" w:ascii="宋体" w:hAnsi="宋体" w:eastAsia="宋体" w:cs="Times New Roman"/>
          <w:bCs/>
          <w:color w:val="auto"/>
          <w:kern w:val="2"/>
          <w:sz w:val="28"/>
          <w:szCs w:val="28"/>
          <w:lang w:val="en-US" w:eastAsia="zh-CN" w:bidi="ar-SA"/>
        </w:rPr>
        <w:t>建</w:t>
      </w:r>
      <w:r>
        <w:rPr>
          <w:rFonts w:ascii="宋体" w:hAnsi="宋体" w:eastAsia="宋体" w:cs="Times New Roman"/>
          <w:bCs/>
          <w:color w:val="auto"/>
          <w:kern w:val="2"/>
          <w:sz w:val="28"/>
          <w:szCs w:val="28"/>
          <w:lang w:val="en-US" w:eastAsia="zh-CN" w:bidi="ar-SA"/>
        </w:rPr>
        <w:t>(构)筑物防火间距检查评价结果</w:t>
      </w:r>
      <w:bookmarkEnd w:id="97"/>
      <w:bookmarkEnd w:id="98"/>
    </w:p>
    <w:p>
      <w:pPr>
        <w:spacing w:line="560" w:lineRule="exact"/>
        <w:ind w:firstLine="425" w:firstLineChars="152"/>
        <w:rPr>
          <w:rFonts w:ascii="宋体" w:hAnsi="宋体" w:eastAsia="PMingLiU"/>
          <w:color w:val="auto"/>
          <w:sz w:val="28"/>
          <w:szCs w:val="28"/>
        </w:rPr>
      </w:pPr>
      <w:r>
        <w:rPr>
          <w:rFonts w:ascii="宋体" w:hAnsi="宋体" w:eastAsia="宋体"/>
          <w:color w:val="auto"/>
          <w:sz w:val="28"/>
          <w:szCs w:val="28"/>
        </w:rPr>
        <w:t>根据</w:t>
      </w:r>
      <w:r>
        <w:rPr>
          <w:rFonts w:hint="eastAsia" w:ascii="宋体" w:hAnsi="宋体" w:eastAsia="宋体"/>
          <w:color w:val="auto"/>
          <w:sz w:val="28"/>
          <w:szCs w:val="28"/>
          <w:lang w:eastAsia="zh-CN"/>
        </w:rPr>
        <w:t>《建筑设计防火规范（2018年版）》（GB50016-2014）</w:t>
      </w:r>
      <w:r>
        <w:rPr>
          <w:rFonts w:ascii="宋体" w:hAnsi="宋体" w:eastAsia="宋体"/>
          <w:color w:val="auto"/>
          <w:sz w:val="28"/>
          <w:szCs w:val="28"/>
        </w:rPr>
        <w:t>，通过对该公司主要建(构)筑物的防火间距进行检查，厂区的平面布局符合规范要求的防火间距要求。</w:t>
      </w:r>
    </w:p>
    <w:p>
      <w:pPr>
        <w:spacing w:line="560" w:lineRule="exact"/>
        <w:jc w:val="both"/>
        <w:outlineLvl w:val="2"/>
        <w:rPr>
          <w:rFonts w:ascii="宋体" w:hAnsi="宋体" w:eastAsia="宋体" w:cs="Times New Roman"/>
          <w:bCs/>
          <w:color w:val="auto"/>
          <w:kern w:val="2"/>
          <w:sz w:val="28"/>
          <w:szCs w:val="28"/>
          <w:lang w:val="en-US" w:eastAsia="zh-CN" w:bidi="ar-SA"/>
        </w:rPr>
      </w:pPr>
      <w:r>
        <w:rPr>
          <w:rFonts w:ascii="宋体" w:hAnsi="宋体" w:eastAsia="宋体" w:cs="Times New Roman"/>
          <w:bCs/>
          <w:color w:val="auto"/>
          <w:kern w:val="2"/>
          <w:sz w:val="28"/>
          <w:szCs w:val="28"/>
          <w:lang w:val="en-US" w:eastAsia="zh-CN" w:bidi="ar-SA"/>
        </w:rPr>
        <w:t>7.1.5申请安全生产许可证条件检查评价结果</w:t>
      </w:r>
    </w:p>
    <w:p>
      <w:pPr>
        <w:spacing w:line="560" w:lineRule="exact"/>
        <w:ind w:firstLine="425" w:firstLineChars="152"/>
        <w:rPr>
          <w:rFonts w:ascii="宋体" w:hAnsi="宋体" w:eastAsia="宋体"/>
          <w:color w:val="auto"/>
          <w:sz w:val="28"/>
          <w:szCs w:val="28"/>
          <w:lang w:eastAsia="zh-CN"/>
        </w:rPr>
      </w:pPr>
      <w:r>
        <w:rPr>
          <w:rFonts w:ascii="宋体" w:hAnsi="宋体" w:eastAsia="宋体"/>
          <w:color w:val="auto"/>
          <w:sz w:val="28"/>
          <w:szCs w:val="28"/>
        </w:rPr>
        <w:t>根据《危险化学品生产企业安全生产许可证审查书》(国家安全生产监督管理局“安监管危化字”[2004]110号)、《危险化学品生产企业安全生产许可证实施办法》(安监总局令第41号，安监总局令第79号修改)，对企业安全生产许可条件进行逐项检查，对企业安全生产许可条件进行逐项检查，所有检查项均符合要求。</w:t>
      </w:r>
    </w:p>
    <w:p>
      <w:pPr>
        <w:spacing w:line="560" w:lineRule="exact"/>
        <w:jc w:val="both"/>
        <w:outlineLvl w:val="2"/>
        <w:rPr>
          <w:rFonts w:ascii="宋体" w:hAnsi="宋体" w:eastAsia="宋体" w:cs="Times New Roman"/>
          <w:bCs/>
          <w:color w:val="auto"/>
          <w:kern w:val="2"/>
          <w:sz w:val="28"/>
          <w:szCs w:val="28"/>
          <w:lang w:val="en-US" w:eastAsia="zh-CN" w:bidi="ar-SA"/>
        </w:rPr>
      </w:pPr>
      <w:r>
        <w:rPr>
          <w:rFonts w:ascii="宋体" w:hAnsi="宋体" w:eastAsia="宋体" w:cs="Times New Roman"/>
          <w:bCs/>
          <w:color w:val="auto"/>
          <w:kern w:val="2"/>
          <w:sz w:val="28"/>
          <w:szCs w:val="28"/>
          <w:lang w:val="en-US" w:eastAsia="zh-CN" w:bidi="ar-SA"/>
        </w:rPr>
        <w:t>7.1.</w:t>
      </w:r>
      <w:r>
        <w:rPr>
          <w:rFonts w:hint="eastAsia" w:ascii="宋体" w:hAnsi="宋体" w:eastAsia="宋体" w:cs="Times New Roman"/>
          <w:bCs/>
          <w:color w:val="auto"/>
          <w:kern w:val="2"/>
          <w:sz w:val="28"/>
          <w:szCs w:val="28"/>
          <w:lang w:val="en-US" w:eastAsia="zh-CN" w:bidi="ar-SA"/>
        </w:rPr>
        <w:t>6重大生产安全事故隐患判定标准（试行）符合性检查结果</w:t>
      </w:r>
    </w:p>
    <w:p>
      <w:pPr>
        <w:pStyle w:val="19"/>
        <w:spacing w:line="560" w:lineRule="exact"/>
        <w:ind w:firstLine="560" w:firstLineChars="200"/>
        <w:rPr>
          <w:rFonts w:cs="Microsoft JhengHei Light"/>
          <w:color w:val="auto"/>
          <w:kern w:val="0"/>
          <w:szCs w:val="28"/>
          <w:lang w:bidi="zh-TW"/>
        </w:rPr>
      </w:pPr>
      <w:r>
        <w:rPr>
          <w:rFonts w:hint="eastAsia" w:cs="Microsoft JhengHei Light"/>
          <w:color w:val="auto"/>
          <w:kern w:val="0"/>
          <w:szCs w:val="28"/>
          <w:lang w:bidi="zh-TW"/>
        </w:rPr>
        <w:t>根据《化工和危险化学品生产经营单位重大生产安全事故隐患判定标准（试行 ）》（安监总管三[2017]121号）内容，逐条进行检查评价，该公司不存在《化工和危险化学品生产经营单位重大生产安全事故隐患判定标准（试行 ）》规定的重大生产安全事故隐患。</w:t>
      </w:r>
    </w:p>
    <w:p>
      <w:pPr>
        <w:spacing w:line="560" w:lineRule="exact"/>
        <w:jc w:val="both"/>
        <w:outlineLvl w:val="2"/>
        <w:rPr>
          <w:rFonts w:ascii="宋体" w:hAnsi="宋体" w:eastAsia="宋体" w:cs="Times New Roman"/>
          <w:bCs/>
          <w:color w:val="auto"/>
          <w:kern w:val="2"/>
          <w:sz w:val="28"/>
          <w:szCs w:val="28"/>
          <w:lang w:val="en-US" w:eastAsia="zh-CN" w:bidi="ar-SA"/>
        </w:rPr>
      </w:pPr>
      <w:r>
        <w:rPr>
          <w:rFonts w:ascii="宋体" w:hAnsi="宋体" w:eastAsia="宋体" w:cs="Times New Roman"/>
          <w:bCs/>
          <w:color w:val="auto"/>
          <w:kern w:val="2"/>
          <w:sz w:val="28"/>
          <w:szCs w:val="28"/>
          <w:lang w:val="en-US" w:eastAsia="zh-CN" w:bidi="ar-SA"/>
        </w:rPr>
        <w:t>7.1.</w:t>
      </w:r>
      <w:r>
        <w:rPr>
          <w:rFonts w:hint="eastAsia" w:ascii="宋体" w:hAnsi="宋体" w:eastAsia="宋体" w:cs="Times New Roman"/>
          <w:bCs/>
          <w:color w:val="auto"/>
          <w:kern w:val="2"/>
          <w:sz w:val="28"/>
          <w:szCs w:val="28"/>
          <w:lang w:val="en-US" w:eastAsia="zh-CN" w:bidi="ar-SA"/>
        </w:rPr>
        <w:t>7安全风险评估诊断分级评价结果</w:t>
      </w:r>
    </w:p>
    <w:p>
      <w:pPr>
        <w:pStyle w:val="19"/>
        <w:spacing w:line="500" w:lineRule="exact"/>
        <w:ind w:firstLine="560" w:firstLineChars="200"/>
        <w:rPr>
          <w:rFonts w:cs="宋体"/>
          <w:color w:val="auto"/>
          <w:szCs w:val="28"/>
        </w:rPr>
      </w:pPr>
      <w:r>
        <w:rPr>
          <w:rFonts w:hint="eastAsia"/>
          <w:color w:val="auto"/>
          <w:szCs w:val="28"/>
        </w:rPr>
        <w:t>根据应急管理部关于印发危险化学品生产储存企业安全风险评估诊断分级指南（试行）的通知（应急[2018]19号）和广东省安全生产监督管理局转发应急管理部关于印发危险化学品生产储存企业安全风险评估诊断分级指南（试行）的通知（粤安监管三〔2018〕9号）的内容进行检查分析，该公司的安全风险分级为蓝色。</w:t>
      </w:r>
    </w:p>
    <w:p>
      <w:pPr>
        <w:spacing w:line="560" w:lineRule="exact"/>
        <w:jc w:val="both"/>
        <w:outlineLvl w:val="2"/>
        <w:rPr>
          <w:rFonts w:ascii="宋体" w:hAnsi="宋体" w:eastAsia="宋体" w:cs="Times New Roman"/>
          <w:bCs/>
          <w:color w:val="auto"/>
          <w:kern w:val="2"/>
          <w:sz w:val="28"/>
          <w:szCs w:val="28"/>
          <w:lang w:val="en-US" w:eastAsia="zh-CN" w:bidi="ar-SA"/>
        </w:rPr>
      </w:pPr>
      <w:bookmarkStart w:id="99" w:name="bookmark75"/>
      <w:r>
        <w:rPr>
          <w:rFonts w:ascii="宋体" w:hAnsi="宋体" w:eastAsia="宋体" w:cs="Times New Roman"/>
          <w:bCs/>
          <w:color w:val="auto"/>
          <w:kern w:val="2"/>
          <w:sz w:val="28"/>
          <w:szCs w:val="28"/>
          <w:lang w:val="en-US" w:eastAsia="zh-CN" w:bidi="ar-SA"/>
        </w:rPr>
        <w:t>7.1.</w:t>
      </w:r>
      <w:r>
        <w:rPr>
          <w:rFonts w:hint="eastAsia" w:ascii="宋体" w:hAnsi="宋体" w:eastAsia="宋体" w:cs="Times New Roman"/>
          <w:bCs/>
          <w:color w:val="auto"/>
          <w:kern w:val="2"/>
          <w:sz w:val="28"/>
          <w:szCs w:val="28"/>
          <w:lang w:val="en-US" w:eastAsia="zh-CN" w:bidi="ar-SA"/>
        </w:rPr>
        <w:t>8</w:t>
      </w:r>
      <w:r>
        <w:rPr>
          <w:rFonts w:ascii="宋体" w:hAnsi="宋体" w:eastAsia="宋体" w:cs="Times New Roman"/>
          <w:bCs/>
          <w:color w:val="auto"/>
          <w:kern w:val="2"/>
          <w:sz w:val="28"/>
          <w:szCs w:val="28"/>
          <w:lang w:val="en-US" w:eastAsia="zh-CN" w:bidi="ar-SA"/>
        </w:rPr>
        <w:t>安全检查表评价结果小结</w:t>
      </w:r>
      <w:bookmarkEnd w:id="99"/>
    </w:p>
    <w:p>
      <w:pPr>
        <w:spacing w:line="560" w:lineRule="exact"/>
        <w:ind w:firstLine="425" w:firstLineChars="152"/>
        <w:rPr>
          <w:rFonts w:ascii="宋体" w:hAnsi="宋体" w:eastAsia="宋体"/>
          <w:color w:val="auto"/>
          <w:sz w:val="28"/>
          <w:szCs w:val="28"/>
        </w:rPr>
      </w:pPr>
      <w:r>
        <w:rPr>
          <w:rFonts w:ascii="宋体" w:hAnsi="宋体" w:eastAsia="宋体"/>
          <w:color w:val="auto"/>
          <w:sz w:val="28"/>
          <w:szCs w:val="28"/>
        </w:rPr>
        <w:t>通过对企业的安全管理、生产区、储存区、平面布局、建筑间防火间距、对危险化学品生产企业的安全生产许可条件</w:t>
      </w:r>
      <w:r>
        <w:rPr>
          <w:rFonts w:hint="eastAsia" w:ascii="宋体" w:hAnsi="宋体" w:eastAsia="宋体"/>
          <w:color w:val="auto"/>
          <w:sz w:val="28"/>
          <w:szCs w:val="28"/>
          <w:lang w:eastAsia="zh-CN"/>
        </w:rPr>
        <w:t>等</w:t>
      </w:r>
      <w:r>
        <w:rPr>
          <w:rFonts w:ascii="宋体" w:hAnsi="宋体" w:eastAsia="宋体"/>
          <w:color w:val="auto"/>
          <w:sz w:val="28"/>
          <w:szCs w:val="28"/>
        </w:rPr>
        <w:t>要求编制安全检查表检查，所有检查项均符合要求。</w:t>
      </w:r>
    </w:p>
    <w:p>
      <w:pPr>
        <w:spacing w:line="560" w:lineRule="exact"/>
        <w:jc w:val="both"/>
        <w:outlineLvl w:val="1"/>
        <w:rPr>
          <w:rFonts w:ascii="楷体_GB2312" w:hAnsi="Times New Roman" w:eastAsia="楷体_GB2312" w:cs="Times New Roman"/>
          <w:bCs/>
          <w:color w:val="auto"/>
          <w:kern w:val="2"/>
          <w:sz w:val="32"/>
          <w:lang w:val="en-US" w:eastAsia="zh-CN" w:bidi="ar-SA"/>
        </w:rPr>
      </w:pPr>
      <w:bookmarkStart w:id="100" w:name="_Toc40045913"/>
      <w:bookmarkStart w:id="101" w:name="bookmark76"/>
      <w:r>
        <w:rPr>
          <w:rFonts w:ascii="楷体_GB2312" w:hAnsi="Times New Roman" w:eastAsia="楷体_GB2312" w:cs="Times New Roman"/>
          <w:bCs/>
          <w:color w:val="auto"/>
          <w:kern w:val="2"/>
          <w:sz w:val="32"/>
          <w:lang w:val="en-US" w:eastAsia="zh-CN" w:bidi="ar-SA"/>
        </w:rPr>
        <w:t>7.2事故树分析结果</w:t>
      </w:r>
      <w:bookmarkEnd w:id="100"/>
      <w:bookmarkEnd w:id="101"/>
    </w:p>
    <w:p>
      <w:pPr>
        <w:spacing w:line="560" w:lineRule="exact"/>
        <w:ind w:firstLine="425" w:firstLineChars="152"/>
        <w:rPr>
          <w:rFonts w:ascii="宋体" w:hAnsi="宋体" w:eastAsia="宋体"/>
          <w:color w:val="auto"/>
          <w:sz w:val="28"/>
          <w:szCs w:val="28"/>
        </w:rPr>
      </w:pPr>
      <w:r>
        <w:rPr>
          <w:rFonts w:ascii="宋体" w:hAnsi="宋体" w:eastAsia="宋体"/>
          <w:color w:val="auto"/>
          <w:sz w:val="28"/>
          <w:szCs w:val="28"/>
        </w:rPr>
        <w:t>由事故树分析可知：</w:t>
      </w:r>
    </w:p>
    <w:p>
      <w:pPr>
        <w:spacing w:line="560" w:lineRule="exact"/>
        <w:ind w:firstLine="425" w:firstLineChars="152"/>
        <w:rPr>
          <w:rFonts w:ascii="宋体" w:hAnsi="宋体" w:eastAsia="宋体"/>
          <w:color w:val="auto"/>
          <w:sz w:val="28"/>
          <w:szCs w:val="28"/>
        </w:rPr>
      </w:pPr>
      <w:r>
        <w:rPr>
          <w:rFonts w:ascii="宋体" w:hAnsi="宋体" w:eastAsia="宋体"/>
          <w:color w:val="auto"/>
          <w:sz w:val="28"/>
          <w:szCs w:val="28"/>
        </w:rPr>
        <w:t>1</w:t>
      </w:r>
      <w:r>
        <w:rPr>
          <w:rFonts w:hint="eastAsia" w:ascii="宋体" w:hAnsi="宋体" w:eastAsia="宋体"/>
          <w:color w:val="auto"/>
          <w:sz w:val="28"/>
          <w:szCs w:val="28"/>
          <w:lang w:eastAsia="zh-CN"/>
        </w:rPr>
        <w:t>)</w:t>
      </w:r>
      <w:r>
        <w:rPr>
          <w:rFonts w:ascii="宋体" w:hAnsi="宋体" w:eastAsia="宋体"/>
          <w:color w:val="auto"/>
          <w:sz w:val="28"/>
          <w:szCs w:val="28"/>
        </w:rPr>
        <w:t>可燃液体的蒸气浓度达到爆炸极限是生产车间发生燃烧爆炸事故的最重要条件，虽然设置有强制通风，但在通风不良的时候还是比较容易使可燃液体蒸气浓度达到爆炸极限，一旦遇到明火、热源就有可能导致火灾爆炸事故。</w:t>
      </w:r>
    </w:p>
    <w:p>
      <w:pPr>
        <w:spacing w:line="560" w:lineRule="exact"/>
        <w:ind w:firstLine="425" w:firstLineChars="152"/>
        <w:rPr>
          <w:rFonts w:ascii="宋体" w:hAnsi="宋体" w:eastAsia="宋体"/>
          <w:color w:val="auto"/>
          <w:sz w:val="28"/>
          <w:szCs w:val="28"/>
        </w:rPr>
      </w:pPr>
      <w:r>
        <w:rPr>
          <w:rFonts w:ascii="宋体" w:hAnsi="宋体" w:eastAsia="宋体"/>
          <w:color w:val="auto"/>
          <w:sz w:val="28"/>
          <w:szCs w:val="28"/>
        </w:rPr>
        <w:t>2</w:t>
      </w:r>
      <w:r>
        <w:rPr>
          <w:rFonts w:hint="eastAsia" w:ascii="宋体" w:hAnsi="宋体" w:eastAsia="宋体"/>
          <w:color w:val="auto"/>
          <w:sz w:val="28"/>
          <w:szCs w:val="28"/>
          <w:lang w:eastAsia="zh-CN"/>
        </w:rPr>
        <w:t>)</w:t>
      </w:r>
      <w:r>
        <w:rPr>
          <w:rFonts w:ascii="宋体" w:hAnsi="宋体" w:eastAsia="宋体"/>
          <w:color w:val="auto"/>
          <w:sz w:val="28"/>
          <w:szCs w:val="28"/>
        </w:rPr>
        <w:t>加强生产车间的安全管理，严格控制火源，严禁吸烟和动用明火，防止铁器撞击及静电火花的产生，设备检修后使用过的棉布等物品要妥善处理，不能随意丢弃，车间内电气装置要符合防火防爆要求。</w:t>
      </w:r>
    </w:p>
    <w:p>
      <w:pPr>
        <w:spacing w:line="560" w:lineRule="exact"/>
        <w:ind w:firstLine="425" w:firstLineChars="152"/>
        <w:rPr>
          <w:rFonts w:ascii="宋体" w:hAnsi="宋体" w:eastAsia="宋体"/>
          <w:color w:val="auto"/>
          <w:sz w:val="28"/>
          <w:szCs w:val="28"/>
        </w:rPr>
      </w:pPr>
      <w:bookmarkStart w:id="102" w:name="bookmark77"/>
      <w:r>
        <w:rPr>
          <w:rFonts w:ascii="宋体" w:hAnsi="宋体" w:eastAsia="宋体"/>
          <w:color w:val="auto"/>
          <w:sz w:val="28"/>
          <w:szCs w:val="28"/>
        </w:rPr>
        <w:t>3</w:t>
      </w:r>
      <w:r>
        <w:rPr>
          <w:rFonts w:hint="eastAsia" w:ascii="宋体" w:hAnsi="宋体" w:eastAsia="宋体"/>
          <w:color w:val="auto"/>
          <w:sz w:val="28"/>
          <w:szCs w:val="28"/>
          <w:lang w:eastAsia="zh-CN"/>
        </w:rPr>
        <w:t>)</w:t>
      </w:r>
      <w:r>
        <w:rPr>
          <w:rFonts w:ascii="宋体" w:hAnsi="宋体" w:eastAsia="宋体"/>
          <w:color w:val="auto"/>
          <w:sz w:val="28"/>
          <w:szCs w:val="28"/>
        </w:rPr>
        <w:t>车间内操作人员不能穿带有铁钉的鞋子作业，不能穿化纤衣服。</w:t>
      </w:r>
      <w:bookmarkEnd w:id="102"/>
    </w:p>
    <w:p>
      <w:pPr>
        <w:spacing w:line="560" w:lineRule="exact"/>
        <w:ind w:firstLine="425" w:firstLineChars="152"/>
        <w:rPr>
          <w:rFonts w:ascii="宋体" w:hAnsi="宋体" w:eastAsia="宋体"/>
          <w:color w:val="auto"/>
          <w:sz w:val="28"/>
          <w:szCs w:val="28"/>
        </w:rPr>
      </w:pPr>
      <w:r>
        <w:rPr>
          <w:rFonts w:ascii="宋体" w:hAnsi="宋体" w:eastAsia="宋体"/>
          <w:color w:val="auto"/>
          <w:sz w:val="28"/>
          <w:szCs w:val="28"/>
        </w:rPr>
        <w:t>4</w:t>
      </w:r>
      <w:r>
        <w:rPr>
          <w:rFonts w:hint="eastAsia" w:ascii="宋体" w:hAnsi="宋体" w:eastAsia="宋体"/>
          <w:color w:val="auto"/>
          <w:sz w:val="28"/>
          <w:szCs w:val="28"/>
          <w:lang w:eastAsia="zh-CN"/>
        </w:rPr>
        <w:t>)</w:t>
      </w:r>
      <w:r>
        <w:rPr>
          <w:rFonts w:ascii="宋体" w:hAnsi="宋体" w:eastAsia="宋体"/>
          <w:color w:val="auto"/>
          <w:sz w:val="28"/>
          <w:szCs w:val="28"/>
        </w:rPr>
        <w:t>经常检查防静电接地是否完好，易燃液体流速不要过快，防止产生静电。</w:t>
      </w:r>
    </w:p>
    <w:p>
      <w:pPr>
        <w:spacing w:line="560" w:lineRule="exact"/>
        <w:ind w:firstLine="425" w:firstLineChars="152"/>
        <w:rPr>
          <w:rFonts w:ascii="宋体" w:hAnsi="宋体" w:eastAsia="宋体"/>
          <w:color w:val="auto"/>
          <w:sz w:val="28"/>
          <w:szCs w:val="28"/>
        </w:rPr>
      </w:pPr>
      <w:r>
        <w:rPr>
          <w:rFonts w:ascii="宋体" w:hAnsi="宋体" w:eastAsia="PMingLiU"/>
          <w:color w:val="auto"/>
          <w:sz w:val="28"/>
          <w:szCs w:val="28"/>
        </w:rPr>
        <w:t>5</w:t>
      </w:r>
      <w:r>
        <w:rPr>
          <w:rFonts w:hint="eastAsia" w:ascii="宋体" w:hAnsi="宋体" w:eastAsia="宋体"/>
          <w:color w:val="auto"/>
          <w:sz w:val="28"/>
          <w:szCs w:val="28"/>
          <w:lang w:eastAsia="zh-CN"/>
        </w:rPr>
        <w:t>)</w:t>
      </w:r>
      <w:r>
        <w:rPr>
          <w:rFonts w:ascii="宋体" w:hAnsi="宋体" w:eastAsia="宋体"/>
          <w:color w:val="auto"/>
          <w:sz w:val="28"/>
          <w:szCs w:val="28"/>
        </w:rPr>
        <w:t>各种容器的密封在防止燃爆中具有重要作用，生产过程中要严格遵守安全操作规程。</w:t>
      </w:r>
    </w:p>
    <w:p>
      <w:pPr>
        <w:spacing w:line="560" w:lineRule="exact"/>
        <w:ind w:firstLine="425" w:firstLineChars="152"/>
        <w:rPr>
          <w:rFonts w:ascii="宋体" w:hAnsi="宋体" w:eastAsia="宋体"/>
          <w:color w:val="auto"/>
          <w:sz w:val="28"/>
          <w:szCs w:val="28"/>
        </w:rPr>
      </w:pPr>
      <w:r>
        <w:rPr>
          <w:rFonts w:ascii="宋体" w:hAnsi="宋体" w:eastAsia="宋体"/>
          <w:color w:val="auto"/>
          <w:sz w:val="28"/>
          <w:szCs w:val="28"/>
        </w:rPr>
        <w:t>从事故树分析可以看出，导致生产车间燃爆的因素虽然很多，但只要严格执行安全管理制度和安全操作规程，并采取相应技术措施，生产车间燃烧爆炸是可以预防的。</w:t>
      </w:r>
    </w:p>
    <w:p>
      <w:pPr>
        <w:spacing w:line="560" w:lineRule="exact"/>
        <w:jc w:val="both"/>
        <w:outlineLvl w:val="1"/>
        <w:rPr>
          <w:rFonts w:ascii="楷体_GB2312" w:hAnsi="Times New Roman" w:eastAsia="楷体_GB2312" w:cs="Times New Roman"/>
          <w:bCs/>
          <w:color w:val="auto"/>
          <w:kern w:val="2"/>
          <w:sz w:val="32"/>
          <w:lang w:val="en-US" w:eastAsia="zh-CN" w:bidi="ar-SA"/>
        </w:rPr>
      </w:pPr>
      <w:bookmarkStart w:id="103" w:name="_Toc40045914"/>
      <w:bookmarkStart w:id="104" w:name="bookmark78"/>
      <w:r>
        <w:rPr>
          <w:rFonts w:ascii="楷体_GB2312" w:hAnsi="Times New Roman" w:eastAsia="楷体_GB2312" w:cs="Times New Roman"/>
          <w:bCs/>
          <w:color w:val="auto"/>
          <w:kern w:val="2"/>
          <w:sz w:val="32"/>
          <w:lang w:val="en-US" w:eastAsia="zh-CN" w:bidi="ar-SA"/>
        </w:rPr>
        <w:t>7.3道化学火灾爆炸模拟分析结果</w:t>
      </w:r>
      <w:bookmarkEnd w:id="103"/>
      <w:bookmarkEnd w:id="104"/>
    </w:p>
    <w:p>
      <w:pPr>
        <w:spacing w:line="560" w:lineRule="exact"/>
        <w:ind w:firstLine="425" w:firstLineChars="152"/>
        <w:jc w:val="both"/>
        <w:rPr>
          <w:rFonts w:ascii="宋体" w:hAnsi="宋体" w:eastAsia="宋体"/>
          <w:color w:val="auto"/>
          <w:sz w:val="28"/>
          <w:szCs w:val="28"/>
        </w:rPr>
      </w:pPr>
      <w:r>
        <w:rPr>
          <w:rFonts w:ascii="宋体" w:hAnsi="宋体" w:eastAsia="宋体"/>
          <w:color w:val="auto"/>
          <w:sz w:val="28"/>
          <w:szCs w:val="28"/>
        </w:rPr>
        <w:t>通过道化法评价分析可知，甲类仓库评价单元的火灾爆炸危险指数为101.52,火灾爆炸危险等级处于“中等”的程度，暴露半径为26.0m。暴露区域面积为2123㎡，一旦发生事故，暴露半径和暴露区域面积内67%的财产将可能受到破坏。经采用安全措施补偿后，火灾爆炸指数降为85.2,火灾爆炸危险等级为“较轻”，可使该单元的损失降低到56%，损失减少了11%。</w:t>
      </w:r>
    </w:p>
    <w:p>
      <w:pPr>
        <w:spacing w:line="560" w:lineRule="exact"/>
        <w:jc w:val="both"/>
        <w:outlineLvl w:val="1"/>
        <w:rPr>
          <w:rFonts w:ascii="楷体_GB2312" w:hAnsi="Times New Roman" w:eastAsia="楷体_GB2312" w:cs="Times New Roman"/>
          <w:bCs/>
          <w:color w:val="auto"/>
          <w:kern w:val="2"/>
          <w:sz w:val="32"/>
          <w:lang w:val="en-US" w:eastAsia="zh-CN" w:bidi="ar-SA"/>
        </w:rPr>
      </w:pPr>
      <w:bookmarkStart w:id="105" w:name="_Toc40045915"/>
      <w:bookmarkStart w:id="106" w:name="bookmark79"/>
      <w:bookmarkStart w:id="107" w:name="bookmark80"/>
      <w:r>
        <w:rPr>
          <w:rFonts w:ascii="楷体_GB2312" w:hAnsi="Times New Roman" w:eastAsia="楷体_GB2312" w:cs="Times New Roman"/>
          <w:bCs/>
          <w:color w:val="auto"/>
          <w:kern w:val="2"/>
          <w:sz w:val="32"/>
          <w:lang w:val="en-US" w:eastAsia="zh-CN" w:bidi="ar-SA"/>
        </w:rPr>
        <w:t>7.</w:t>
      </w:r>
      <w:r>
        <w:rPr>
          <w:rFonts w:hint="eastAsia" w:ascii="楷体_GB2312" w:hAnsi="Times New Roman" w:eastAsia="楷体_GB2312" w:cs="Times New Roman"/>
          <w:bCs/>
          <w:color w:val="auto"/>
          <w:kern w:val="2"/>
          <w:sz w:val="32"/>
          <w:lang w:val="en-US" w:eastAsia="zh-CN" w:bidi="ar-SA"/>
        </w:rPr>
        <w:t>4危险度评价法评价结果</w:t>
      </w:r>
      <w:bookmarkEnd w:id="105"/>
    </w:p>
    <w:p>
      <w:pPr>
        <w:pStyle w:val="19"/>
        <w:spacing w:line="560" w:lineRule="exact"/>
        <w:ind w:firstLine="560" w:firstLineChars="200"/>
        <w:rPr>
          <w:rFonts w:cs="宋体"/>
          <w:color w:val="auto"/>
        </w:rPr>
      </w:pPr>
      <w:r>
        <w:rPr>
          <w:rFonts w:hint="eastAsia" w:cs="宋体"/>
          <w:color w:val="auto"/>
        </w:rPr>
        <w:t>根据《广东省安全生产监督管理局关于做好危险化学品和烟花爆竹领域风险点危险源排查管控工作的通知》(粤安监〔2016〕121号)的内容，对企业进行定量、定性和综合评定，</w:t>
      </w:r>
      <w:r>
        <w:rPr>
          <w:rFonts w:hint="eastAsia" w:cs="宋体"/>
          <w:color w:val="auto"/>
          <w:szCs w:val="28"/>
        </w:rPr>
        <w:t>该公司甲类车间、甲类仓库A和甲类仓库B的危险等级均为黄色，危险程度为中度危险。</w:t>
      </w:r>
    </w:p>
    <w:p>
      <w:pPr>
        <w:spacing w:line="560" w:lineRule="exact"/>
        <w:ind w:firstLine="425" w:firstLineChars="152"/>
        <w:rPr>
          <w:rFonts w:ascii="宋体" w:hAnsi="宋体" w:eastAsia="PMingLiU"/>
          <w:color w:val="auto"/>
          <w:sz w:val="28"/>
          <w:szCs w:val="28"/>
        </w:rPr>
      </w:pPr>
    </w:p>
    <w:p>
      <w:pPr>
        <w:pStyle w:val="3"/>
        <w:spacing w:after="120"/>
        <w:rPr>
          <w:snapToGrid/>
          <w:color w:val="auto"/>
        </w:rPr>
      </w:pPr>
      <w:r>
        <w:rPr>
          <w:snapToGrid/>
          <w:color w:val="auto"/>
        </w:rPr>
        <w:br w:type="page"/>
      </w:r>
    </w:p>
    <w:p>
      <w:pPr>
        <w:pStyle w:val="3"/>
        <w:spacing w:after="120"/>
        <w:rPr>
          <w:snapToGrid/>
          <w:color w:val="auto"/>
        </w:rPr>
      </w:pPr>
      <w:bookmarkStart w:id="108" w:name="_Toc40045916"/>
      <w:r>
        <w:rPr>
          <w:snapToGrid/>
          <w:color w:val="auto"/>
        </w:rPr>
        <w:t>8可能发生的危险化学品事故的预测后果</w:t>
      </w:r>
      <w:bookmarkEnd w:id="106"/>
      <w:bookmarkEnd w:id="107"/>
      <w:bookmarkEnd w:id="108"/>
    </w:p>
    <w:p>
      <w:pPr>
        <w:spacing w:line="560" w:lineRule="exact"/>
        <w:ind w:firstLine="425" w:firstLineChars="152"/>
        <w:rPr>
          <w:rFonts w:ascii="宋体" w:hAnsi="宋体" w:eastAsia="宋体"/>
          <w:color w:val="auto"/>
          <w:sz w:val="28"/>
          <w:szCs w:val="28"/>
        </w:rPr>
      </w:pPr>
      <w:r>
        <w:rPr>
          <w:rFonts w:ascii="宋体" w:hAnsi="宋体" w:eastAsia="宋体"/>
          <w:color w:val="auto"/>
          <w:sz w:val="28"/>
          <w:szCs w:val="28"/>
        </w:rPr>
        <w:t>针对该公司可能发生的火灾爆炸、中毒和窒息等危险化学品事故。依据预先危险性分析(PHA)法对该公司的工艺及设施进行分析，分析该公司在运行过程中可能出现的危险化学品事故、危险等级及后果，并针对可能出现的危险化学品事故，制定了相应的安全对策措施。</w:t>
      </w:r>
    </w:p>
    <w:p>
      <w:pPr>
        <w:spacing w:line="560" w:lineRule="exact"/>
        <w:ind w:firstLine="425" w:firstLineChars="152"/>
        <w:rPr>
          <w:rFonts w:ascii="宋体" w:hAnsi="宋体" w:eastAsia="宋体"/>
          <w:color w:val="auto"/>
          <w:sz w:val="28"/>
          <w:szCs w:val="28"/>
        </w:rPr>
      </w:pPr>
      <w:r>
        <w:rPr>
          <w:rFonts w:ascii="宋体" w:hAnsi="宋体" w:eastAsia="宋体"/>
          <w:color w:val="auto"/>
          <w:sz w:val="28"/>
          <w:szCs w:val="28"/>
        </w:rPr>
        <w:t>由预先危险分析的结果可知，潜在事故火灾、爆炸的危险性等级为III级，危险的；潜在事故中毒</w:t>
      </w:r>
      <w:r>
        <w:rPr>
          <w:rFonts w:hint="eastAsia" w:ascii="宋体" w:hAnsi="宋体" w:eastAsia="宋体"/>
          <w:color w:val="auto"/>
          <w:sz w:val="28"/>
          <w:szCs w:val="28"/>
          <w:lang w:eastAsia="zh-CN"/>
        </w:rPr>
        <w:t>和</w:t>
      </w:r>
      <w:r>
        <w:rPr>
          <w:rFonts w:ascii="宋体" w:hAnsi="宋体" w:eastAsia="宋体"/>
          <w:color w:val="auto"/>
          <w:sz w:val="28"/>
          <w:szCs w:val="28"/>
        </w:rPr>
        <w:t>窒息的危险等级为II级，临界的。</w:t>
      </w:r>
    </w:p>
    <w:p>
      <w:pPr>
        <w:spacing w:line="560" w:lineRule="exact"/>
        <w:jc w:val="center"/>
        <w:rPr>
          <w:rFonts w:ascii="宋体" w:hAnsi="宋体" w:eastAsia="宋体"/>
          <w:b/>
          <w:color w:val="auto"/>
        </w:rPr>
      </w:pPr>
      <w:r>
        <w:rPr>
          <w:rFonts w:ascii="宋体" w:hAnsi="宋体" w:eastAsia="宋体"/>
          <w:b/>
          <w:color w:val="auto"/>
        </w:rPr>
        <w:t>表8-1可能发生的危险化学品事故的预测后果汇总表</w:t>
      </w:r>
    </w:p>
    <w:tbl>
      <w:tblPr>
        <w:tblStyle w:val="45"/>
        <w:tblW w:w="5000" w:type="pct"/>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 w:type="dxa"/>
          <w:bottom w:w="0" w:type="dxa"/>
          <w:right w:w="10" w:type="dxa"/>
        </w:tblCellMar>
      </w:tblPr>
      <w:tblGrid>
        <w:gridCol w:w="2925"/>
        <w:gridCol w:w="3548"/>
        <w:gridCol w:w="2725"/>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tblHeader/>
          <w:jc w:val="center"/>
        </w:trPr>
        <w:tc>
          <w:tcPr>
            <w:tcW w:w="2885" w:type="dxa"/>
            <w:shd w:val="clear" w:color="auto" w:fill="FFFFFF"/>
            <w:vAlign w:val="center"/>
          </w:tcPr>
          <w:p>
            <w:pPr>
              <w:spacing w:line="360" w:lineRule="exact"/>
              <w:jc w:val="center"/>
              <w:rPr>
                <w:rFonts w:ascii="宋体" w:hAnsi="宋体" w:eastAsia="宋体"/>
                <w:b/>
                <w:color w:val="auto"/>
                <w:sz w:val="21"/>
                <w:szCs w:val="21"/>
              </w:rPr>
            </w:pPr>
            <w:r>
              <w:rPr>
                <w:rFonts w:ascii="宋体" w:hAnsi="宋体" w:eastAsia="宋体"/>
                <w:b/>
                <w:color w:val="auto"/>
                <w:sz w:val="21"/>
                <w:szCs w:val="21"/>
              </w:rPr>
              <w:t>事故类型</w:t>
            </w:r>
          </w:p>
        </w:tc>
        <w:tc>
          <w:tcPr>
            <w:tcW w:w="3499" w:type="dxa"/>
            <w:shd w:val="clear" w:color="auto" w:fill="FFFFFF"/>
            <w:vAlign w:val="center"/>
          </w:tcPr>
          <w:p>
            <w:pPr>
              <w:spacing w:line="360" w:lineRule="exact"/>
              <w:jc w:val="center"/>
              <w:rPr>
                <w:rFonts w:ascii="宋体" w:hAnsi="宋体" w:eastAsia="宋体"/>
                <w:b/>
                <w:color w:val="auto"/>
                <w:sz w:val="21"/>
                <w:szCs w:val="21"/>
              </w:rPr>
            </w:pPr>
            <w:r>
              <w:rPr>
                <w:rFonts w:ascii="宋体" w:hAnsi="宋体" w:eastAsia="宋体"/>
                <w:b/>
                <w:color w:val="auto"/>
                <w:sz w:val="21"/>
                <w:szCs w:val="21"/>
              </w:rPr>
              <w:t>事故后果</w:t>
            </w:r>
          </w:p>
        </w:tc>
        <w:tc>
          <w:tcPr>
            <w:tcW w:w="2688" w:type="dxa"/>
            <w:shd w:val="clear" w:color="auto" w:fill="FFFFFF"/>
            <w:vAlign w:val="center"/>
          </w:tcPr>
          <w:p>
            <w:pPr>
              <w:spacing w:line="360" w:lineRule="exact"/>
              <w:jc w:val="center"/>
              <w:rPr>
                <w:rFonts w:ascii="宋体" w:hAnsi="宋体" w:eastAsia="宋体"/>
                <w:b/>
                <w:color w:val="auto"/>
                <w:sz w:val="21"/>
                <w:szCs w:val="21"/>
              </w:rPr>
            </w:pPr>
            <w:r>
              <w:rPr>
                <w:rFonts w:ascii="宋体" w:hAnsi="宋体" w:eastAsia="宋体"/>
                <w:b/>
                <w:color w:val="auto"/>
                <w:sz w:val="21"/>
                <w:szCs w:val="21"/>
              </w:rPr>
              <w:t>危险等级</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2885" w:type="dxa"/>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火灾爆炸</w:t>
            </w:r>
          </w:p>
        </w:tc>
        <w:tc>
          <w:tcPr>
            <w:tcW w:w="3499" w:type="dxa"/>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造成多人死亡或系统毁坏</w:t>
            </w:r>
          </w:p>
        </w:tc>
        <w:tc>
          <w:tcPr>
            <w:tcW w:w="2688" w:type="dxa"/>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III级(危险的)</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2885" w:type="dxa"/>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中毒和室息</w:t>
            </w:r>
          </w:p>
        </w:tc>
        <w:tc>
          <w:tcPr>
            <w:tcW w:w="3499" w:type="dxa"/>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造成轻伤或次要系统损坏</w:t>
            </w:r>
          </w:p>
        </w:tc>
        <w:tc>
          <w:tcPr>
            <w:tcW w:w="2688" w:type="dxa"/>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II级(临界的)</w:t>
            </w:r>
          </w:p>
        </w:tc>
      </w:tr>
    </w:tbl>
    <w:p>
      <w:pPr>
        <w:spacing w:line="600" w:lineRule="exact"/>
        <w:ind w:firstLine="425" w:firstLineChars="152"/>
        <w:rPr>
          <w:rFonts w:ascii="宋体" w:hAnsi="宋体" w:eastAsia="PMingLiU"/>
          <w:color w:val="auto"/>
          <w:sz w:val="28"/>
          <w:szCs w:val="28"/>
        </w:rPr>
      </w:pPr>
    </w:p>
    <w:p>
      <w:pPr>
        <w:spacing w:line="600" w:lineRule="exact"/>
        <w:ind w:firstLine="425" w:firstLineChars="152"/>
        <w:rPr>
          <w:rFonts w:ascii="宋体" w:hAnsi="宋体" w:eastAsia="PMingLiU"/>
          <w:color w:val="auto"/>
          <w:sz w:val="28"/>
          <w:szCs w:val="28"/>
        </w:rPr>
      </w:pPr>
    </w:p>
    <w:p>
      <w:pPr>
        <w:pStyle w:val="3"/>
        <w:spacing w:after="120"/>
        <w:rPr>
          <w:snapToGrid/>
          <w:color w:val="auto"/>
        </w:rPr>
      </w:pPr>
      <w:bookmarkStart w:id="109" w:name="bookmark81"/>
      <w:bookmarkStart w:id="110" w:name="bookmark82"/>
      <w:r>
        <w:rPr>
          <w:snapToGrid/>
          <w:color w:val="auto"/>
        </w:rPr>
        <w:br w:type="page"/>
      </w:r>
    </w:p>
    <w:p>
      <w:pPr>
        <w:pStyle w:val="3"/>
        <w:spacing w:after="120"/>
        <w:rPr>
          <w:snapToGrid/>
          <w:color w:val="auto"/>
        </w:rPr>
      </w:pPr>
      <w:bookmarkStart w:id="111" w:name="_Toc40045917"/>
      <w:r>
        <w:rPr>
          <w:snapToGrid/>
          <w:color w:val="auto"/>
        </w:rPr>
        <w:t>9企业安全生产情况专篇</w:t>
      </w:r>
      <w:bookmarkEnd w:id="109"/>
      <w:bookmarkEnd w:id="110"/>
      <w:bookmarkEnd w:id="111"/>
    </w:p>
    <w:p>
      <w:pPr>
        <w:spacing w:line="560" w:lineRule="exact"/>
        <w:jc w:val="both"/>
        <w:outlineLvl w:val="1"/>
        <w:rPr>
          <w:rFonts w:ascii="楷体_GB2312" w:hAnsi="Times New Roman" w:eastAsia="楷体_GB2312" w:cs="Times New Roman"/>
          <w:bCs/>
          <w:color w:val="auto"/>
          <w:kern w:val="2"/>
          <w:sz w:val="32"/>
          <w:lang w:val="en-US" w:eastAsia="zh-CN" w:bidi="ar-SA"/>
        </w:rPr>
      </w:pPr>
      <w:bookmarkStart w:id="112" w:name="bookmark84"/>
      <w:bookmarkStart w:id="113" w:name="bookmark83"/>
      <w:bookmarkStart w:id="114" w:name="_Toc40045918"/>
      <w:r>
        <w:rPr>
          <w:rFonts w:ascii="楷体_GB2312" w:hAnsi="Times New Roman" w:eastAsia="楷体_GB2312" w:cs="Times New Roman"/>
          <w:bCs/>
          <w:color w:val="auto"/>
          <w:kern w:val="2"/>
          <w:sz w:val="32"/>
          <w:lang w:val="en-US" w:eastAsia="zh-CN" w:bidi="ar-SA"/>
        </w:rPr>
        <w:t>9.1安全生产法律法规及标准规范的执行情况</w:t>
      </w:r>
      <w:bookmarkEnd w:id="112"/>
      <w:bookmarkEnd w:id="113"/>
      <w:bookmarkEnd w:id="114"/>
    </w:p>
    <w:p>
      <w:pPr>
        <w:spacing w:line="560" w:lineRule="exact"/>
        <w:ind w:firstLine="425" w:firstLineChars="152"/>
        <w:rPr>
          <w:rFonts w:ascii="宋体" w:hAnsi="宋体" w:eastAsia="宋体"/>
          <w:color w:val="auto"/>
          <w:sz w:val="28"/>
          <w:szCs w:val="28"/>
        </w:rPr>
      </w:pPr>
      <w:r>
        <w:rPr>
          <w:rFonts w:ascii="宋体" w:hAnsi="宋体" w:eastAsia="宋体"/>
          <w:color w:val="auto"/>
          <w:sz w:val="28"/>
          <w:szCs w:val="28"/>
        </w:rPr>
        <w:t>华龙公司自取得安全生产许可证以来，严格执行《中华人民共和国安全生产法》、《中华人民共和国消防法》、《中华人民共和国职业病防治法》、《危险化学品安全管理条例》、《安全生产许可证条例》、《生产经营单位安全培训规定》、《建筑设计防火规范》等法律、法规、标准、规范。</w:t>
      </w:r>
    </w:p>
    <w:p>
      <w:pPr>
        <w:spacing w:line="560" w:lineRule="exact"/>
        <w:ind w:firstLine="425" w:firstLineChars="152"/>
        <w:rPr>
          <w:rFonts w:ascii="宋体" w:hAnsi="宋体" w:eastAsia="宋体"/>
          <w:color w:val="auto"/>
          <w:sz w:val="28"/>
          <w:szCs w:val="28"/>
        </w:rPr>
      </w:pPr>
      <w:r>
        <w:rPr>
          <w:rFonts w:hint="eastAsia" w:ascii="宋体" w:hAnsi="宋体" w:eastAsia="宋体"/>
          <w:color w:val="auto"/>
          <w:sz w:val="28"/>
          <w:szCs w:val="28"/>
          <w:lang w:eastAsia="zh-CN"/>
        </w:rPr>
        <w:t>1)</w:t>
      </w:r>
      <w:r>
        <w:rPr>
          <w:rFonts w:ascii="宋体" w:hAnsi="宋体" w:eastAsia="宋体"/>
          <w:color w:val="auto"/>
          <w:sz w:val="28"/>
          <w:szCs w:val="28"/>
        </w:rPr>
        <w:t>厂区总平面布局、厂区道路安全、常规防护设施和措施均符合《建筑设计防火规范》(GB50016-2014)的相关要求。</w:t>
      </w:r>
    </w:p>
    <w:p>
      <w:pPr>
        <w:spacing w:line="560" w:lineRule="exact"/>
        <w:ind w:firstLine="425" w:firstLineChars="152"/>
        <w:rPr>
          <w:rFonts w:ascii="宋体" w:hAnsi="宋体" w:eastAsia="宋体"/>
          <w:color w:val="auto"/>
          <w:sz w:val="28"/>
          <w:szCs w:val="28"/>
        </w:rPr>
      </w:pPr>
      <w:r>
        <w:rPr>
          <w:rFonts w:hint="eastAsia" w:ascii="宋体" w:hAnsi="宋体" w:eastAsia="宋体"/>
          <w:color w:val="auto"/>
          <w:sz w:val="28"/>
          <w:szCs w:val="28"/>
          <w:lang w:eastAsia="zh-CN"/>
        </w:rPr>
        <w:t>2)</w:t>
      </w:r>
      <w:r>
        <w:rPr>
          <w:rFonts w:ascii="宋体" w:hAnsi="宋体" w:eastAsia="宋体"/>
          <w:color w:val="auto"/>
          <w:sz w:val="28"/>
          <w:szCs w:val="28"/>
        </w:rPr>
        <w:t>消防设施已经广东省东莞市公安消防局验收，取得了建设工程消防验收意见书，消防设施定期检查、检验、保养，由具有资质的单位及时更换药品，维护保养有专人负责，有记录。</w:t>
      </w:r>
    </w:p>
    <w:p>
      <w:pPr>
        <w:spacing w:line="560" w:lineRule="exact"/>
        <w:ind w:firstLine="425" w:firstLineChars="152"/>
        <w:rPr>
          <w:rFonts w:ascii="宋体" w:hAnsi="宋体" w:eastAsia="宋体"/>
          <w:color w:val="auto"/>
          <w:sz w:val="28"/>
          <w:szCs w:val="28"/>
        </w:rPr>
      </w:pPr>
      <w:r>
        <w:rPr>
          <w:rFonts w:hint="eastAsia" w:ascii="宋体" w:hAnsi="宋体" w:eastAsia="宋体"/>
          <w:color w:val="auto"/>
          <w:sz w:val="28"/>
          <w:szCs w:val="28"/>
          <w:lang w:eastAsia="zh-CN"/>
        </w:rPr>
        <w:t>3)</w:t>
      </w:r>
      <w:r>
        <w:rPr>
          <w:rFonts w:ascii="宋体" w:hAnsi="宋体" w:eastAsia="宋体"/>
          <w:color w:val="auto"/>
          <w:sz w:val="28"/>
          <w:szCs w:val="28"/>
        </w:rPr>
        <w:t>厂区的防雷设施由广东省气象防灾技术服务中心定期检测，检测报告在有效期内。</w:t>
      </w:r>
    </w:p>
    <w:p>
      <w:pPr>
        <w:spacing w:line="560" w:lineRule="exact"/>
        <w:ind w:firstLine="425" w:firstLineChars="152"/>
        <w:rPr>
          <w:rFonts w:ascii="宋体" w:hAnsi="宋体" w:eastAsia="宋体"/>
          <w:color w:val="auto"/>
          <w:sz w:val="28"/>
          <w:szCs w:val="28"/>
        </w:rPr>
      </w:pPr>
      <w:r>
        <w:rPr>
          <w:rFonts w:hint="eastAsia" w:ascii="宋体" w:hAnsi="宋体" w:eastAsia="宋体"/>
          <w:color w:val="auto"/>
          <w:sz w:val="28"/>
          <w:szCs w:val="28"/>
          <w:lang w:eastAsia="zh-CN"/>
        </w:rPr>
        <w:t>4)</w:t>
      </w:r>
      <w:r>
        <w:rPr>
          <w:rFonts w:ascii="宋体" w:hAnsi="宋体" w:eastAsia="宋体"/>
          <w:color w:val="auto"/>
          <w:sz w:val="28"/>
          <w:szCs w:val="28"/>
        </w:rPr>
        <w:t>电气设施安装、线路敷设符合要求。</w:t>
      </w:r>
    </w:p>
    <w:p>
      <w:pPr>
        <w:spacing w:line="560" w:lineRule="exact"/>
        <w:ind w:firstLine="425" w:firstLineChars="152"/>
        <w:rPr>
          <w:rFonts w:ascii="宋体" w:hAnsi="宋体" w:eastAsia="宋体"/>
          <w:color w:val="auto"/>
          <w:sz w:val="28"/>
          <w:szCs w:val="28"/>
        </w:rPr>
      </w:pPr>
      <w:r>
        <w:rPr>
          <w:rFonts w:hint="eastAsia" w:ascii="宋体" w:hAnsi="宋体" w:eastAsia="宋体"/>
          <w:color w:val="auto"/>
          <w:sz w:val="28"/>
          <w:szCs w:val="28"/>
          <w:lang w:eastAsia="zh-CN"/>
        </w:rPr>
        <w:t>5)</w:t>
      </w:r>
      <w:r>
        <w:rPr>
          <w:rFonts w:ascii="宋体" w:hAnsi="宋体" w:eastAsia="宋体"/>
          <w:color w:val="auto"/>
          <w:sz w:val="28"/>
          <w:szCs w:val="28"/>
        </w:rPr>
        <w:t>特种设备及其安全附件按规定定期进行检测、检验，特种设备档案齐全，运行正常。</w:t>
      </w:r>
    </w:p>
    <w:p>
      <w:pPr>
        <w:spacing w:line="560" w:lineRule="exact"/>
        <w:ind w:firstLine="425" w:firstLineChars="152"/>
        <w:rPr>
          <w:rFonts w:ascii="宋体" w:hAnsi="宋体" w:eastAsia="宋体"/>
          <w:color w:val="auto"/>
          <w:sz w:val="28"/>
          <w:szCs w:val="28"/>
        </w:rPr>
      </w:pPr>
      <w:r>
        <w:rPr>
          <w:rFonts w:hint="eastAsia" w:ascii="宋体" w:hAnsi="宋体" w:eastAsia="宋体"/>
          <w:color w:val="auto"/>
          <w:sz w:val="28"/>
          <w:szCs w:val="28"/>
          <w:lang w:eastAsia="zh-CN"/>
        </w:rPr>
        <w:t>6)</w:t>
      </w:r>
      <w:r>
        <w:rPr>
          <w:rFonts w:ascii="宋体" w:hAnsi="宋体" w:eastAsia="宋体"/>
          <w:color w:val="auto"/>
          <w:sz w:val="28"/>
          <w:szCs w:val="28"/>
        </w:rPr>
        <w:t>成立了安全生产管理组织，配备了专职安全生产管理人员。单位负责人、安全生产管理人员和从业人员定期接受安全知识教育培训，均持证上岗。</w:t>
      </w:r>
    </w:p>
    <w:p>
      <w:pPr>
        <w:spacing w:line="560" w:lineRule="exact"/>
        <w:ind w:firstLine="425" w:firstLineChars="152"/>
        <w:rPr>
          <w:rFonts w:ascii="宋体" w:hAnsi="宋体" w:eastAsia="宋体"/>
          <w:color w:val="auto"/>
          <w:sz w:val="28"/>
          <w:szCs w:val="28"/>
        </w:rPr>
      </w:pPr>
      <w:r>
        <w:rPr>
          <w:rFonts w:hint="eastAsia" w:ascii="宋体" w:hAnsi="宋体" w:eastAsia="宋体"/>
          <w:color w:val="auto"/>
          <w:sz w:val="28"/>
          <w:szCs w:val="28"/>
          <w:lang w:eastAsia="zh-CN"/>
        </w:rPr>
        <w:t>7)</w:t>
      </w:r>
      <w:r>
        <w:rPr>
          <w:rFonts w:ascii="宋体" w:hAnsi="宋体" w:eastAsia="宋体"/>
          <w:color w:val="auto"/>
          <w:sz w:val="28"/>
          <w:szCs w:val="28"/>
        </w:rPr>
        <w:t>为从业人员配备了劳动防护用品。</w:t>
      </w:r>
    </w:p>
    <w:p>
      <w:pPr>
        <w:spacing w:line="560" w:lineRule="exact"/>
        <w:ind w:firstLine="425" w:firstLineChars="152"/>
        <w:rPr>
          <w:rFonts w:ascii="宋体" w:hAnsi="宋体" w:eastAsia="宋体"/>
          <w:color w:val="auto"/>
          <w:sz w:val="28"/>
          <w:szCs w:val="28"/>
        </w:rPr>
      </w:pPr>
      <w:r>
        <w:rPr>
          <w:rFonts w:hint="eastAsia" w:ascii="宋体" w:hAnsi="宋体" w:eastAsia="宋体"/>
          <w:color w:val="auto"/>
          <w:sz w:val="28"/>
          <w:szCs w:val="28"/>
          <w:lang w:eastAsia="zh-CN"/>
        </w:rPr>
        <w:t>8)</w:t>
      </w:r>
      <w:r>
        <w:rPr>
          <w:rFonts w:ascii="宋体" w:hAnsi="宋体" w:eastAsia="宋体"/>
          <w:color w:val="auto"/>
          <w:sz w:val="28"/>
          <w:szCs w:val="28"/>
        </w:rPr>
        <w:t>成立了应急救援领导小组，配备了应急救援器材。</w:t>
      </w:r>
    </w:p>
    <w:p>
      <w:pPr>
        <w:spacing w:line="560" w:lineRule="exact"/>
        <w:ind w:firstLine="425" w:firstLineChars="152"/>
        <w:rPr>
          <w:rFonts w:ascii="宋体" w:hAnsi="宋体" w:eastAsia="宋体"/>
          <w:color w:val="auto"/>
          <w:sz w:val="28"/>
          <w:szCs w:val="28"/>
        </w:rPr>
      </w:pPr>
      <w:r>
        <w:rPr>
          <w:rFonts w:hint="eastAsia" w:ascii="宋体" w:hAnsi="宋体" w:eastAsia="宋体"/>
          <w:color w:val="auto"/>
          <w:sz w:val="28"/>
          <w:szCs w:val="28"/>
          <w:lang w:eastAsia="zh-CN"/>
        </w:rPr>
        <w:t>9)</w:t>
      </w:r>
      <w:r>
        <w:rPr>
          <w:rFonts w:ascii="宋体" w:hAnsi="宋体" w:eastAsia="宋体"/>
          <w:color w:val="auto"/>
          <w:sz w:val="28"/>
          <w:szCs w:val="28"/>
        </w:rPr>
        <w:t>开展日常安全检查，有安全检查记录。</w:t>
      </w:r>
    </w:p>
    <w:p>
      <w:pPr>
        <w:spacing w:line="560" w:lineRule="exact"/>
        <w:ind w:firstLine="425" w:firstLineChars="152"/>
        <w:rPr>
          <w:rFonts w:ascii="宋体" w:hAnsi="宋体" w:eastAsia="宋体"/>
          <w:color w:val="auto"/>
          <w:sz w:val="28"/>
          <w:szCs w:val="28"/>
        </w:rPr>
      </w:pPr>
      <w:r>
        <w:rPr>
          <w:rFonts w:hint="eastAsia" w:ascii="宋体" w:hAnsi="宋体" w:eastAsia="宋体"/>
          <w:color w:val="auto"/>
          <w:sz w:val="28"/>
          <w:szCs w:val="28"/>
          <w:lang w:eastAsia="zh-CN"/>
        </w:rPr>
        <w:t>10)</w:t>
      </w:r>
      <w:r>
        <w:rPr>
          <w:rFonts w:ascii="宋体" w:hAnsi="宋体" w:eastAsia="宋体"/>
          <w:color w:val="auto"/>
          <w:sz w:val="28"/>
          <w:szCs w:val="28"/>
        </w:rPr>
        <w:t>按规定为从业人员购买了包括工伤保险的社会保险金，每个月交纳</w:t>
      </w:r>
      <w:bookmarkStart w:id="115" w:name="bookmark85"/>
      <w:r>
        <w:rPr>
          <w:rFonts w:ascii="宋体" w:hAnsi="宋体" w:eastAsia="宋体"/>
          <w:color w:val="auto"/>
          <w:sz w:val="28"/>
          <w:szCs w:val="28"/>
        </w:rPr>
        <w:t>保险费。</w:t>
      </w:r>
      <w:bookmarkEnd w:id="115"/>
    </w:p>
    <w:p>
      <w:pPr>
        <w:spacing w:line="560" w:lineRule="exact"/>
        <w:jc w:val="both"/>
        <w:outlineLvl w:val="1"/>
        <w:rPr>
          <w:rFonts w:ascii="楷体_GB2312" w:hAnsi="Times New Roman" w:eastAsia="楷体_GB2312" w:cs="Times New Roman"/>
          <w:bCs/>
          <w:color w:val="auto"/>
          <w:kern w:val="2"/>
          <w:sz w:val="32"/>
          <w:lang w:val="en-US" w:eastAsia="zh-CN" w:bidi="ar-SA"/>
        </w:rPr>
      </w:pPr>
      <w:bookmarkStart w:id="116" w:name="bookmark86"/>
      <w:bookmarkStart w:id="117" w:name="_Toc40045919"/>
      <w:r>
        <w:rPr>
          <w:rFonts w:ascii="楷体_GB2312" w:hAnsi="Times New Roman" w:eastAsia="楷体_GB2312" w:cs="Times New Roman"/>
          <w:bCs/>
          <w:color w:val="auto"/>
          <w:kern w:val="2"/>
          <w:sz w:val="32"/>
          <w:lang w:val="en-US" w:eastAsia="zh-CN" w:bidi="ar-SA"/>
        </w:rPr>
        <w:t>9.2安全生产条件符合情况</w:t>
      </w:r>
      <w:bookmarkEnd w:id="116"/>
      <w:bookmarkEnd w:id="117"/>
    </w:p>
    <w:p>
      <w:pPr>
        <w:spacing w:line="560" w:lineRule="exact"/>
        <w:ind w:firstLine="425" w:firstLineChars="152"/>
        <w:rPr>
          <w:rFonts w:ascii="宋体" w:hAnsi="宋体" w:eastAsia="宋体"/>
          <w:color w:val="auto"/>
          <w:sz w:val="28"/>
          <w:szCs w:val="28"/>
          <w:lang w:eastAsia="zh-CN"/>
        </w:rPr>
      </w:pPr>
      <w:r>
        <w:rPr>
          <w:rFonts w:ascii="宋体" w:hAnsi="宋体" w:eastAsia="宋体"/>
          <w:color w:val="auto"/>
          <w:sz w:val="28"/>
          <w:szCs w:val="28"/>
          <w:lang w:eastAsia="zh-CN"/>
        </w:rPr>
        <w:t>自201</w:t>
      </w:r>
      <w:r>
        <w:rPr>
          <w:rFonts w:hint="eastAsia" w:ascii="宋体" w:hAnsi="宋体" w:eastAsia="宋体"/>
          <w:color w:val="auto"/>
          <w:sz w:val="28"/>
          <w:szCs w:val="28"/>
          <w:lang w:eastAsia="zh-CN"/>
        </w:rPr>
        <w:t>7</w:t>
      </w:r>
      <w:r>
        <w:rPr>
          <w:rFonts w:ascii="宋体" w:hAnsi="宋体" w:eastAsia="宋体"/>
          <w:color w:val="auto"/>
          <w:sz w:val="28"/>
          <w:szCs w:val="28"/>
          <w:lang w:eastAsia="zh-CN"/>
        </w:rPr>
        <w:t>年</w:t>
      </w:r>
      <w:r>
        <w:rPr>
          <w:rFonts w:hint="eastAsia" w:ascii="宋体" w:hAnsi="宋体" w:eastAsia="宋体"/>
          <w:color w:val="auto"/>
          <w:sz w:val="28"/>
          <w:szCs w:val="28"/>
          <w:lang w:eastAsia="zh-CN"/>
        </w:rPr>
        <w:t>6</w:t>
      </w:r>
      <w:r>
        <w:rPr>
          <w:rFonts w:ascii="宋体" w:hAnsi="宋体" w:eastAsia="宋体"/>
          <w:color w:val="auto"/>
          <w:sz w:val="28"/>
          <w:szCs w:val="28"/>
          <w:lang w:eastAsia="zh-CN"/>
        </w:rPr>
        <w:t>月</w:t>
      </w:r>
      <w:r>
        <w:rPr>
          <w:rFonts w:hint="eastAsia" w:ascii="宋体" w:hAnsi="宋体" w:eastAsia="宋体"/>
          <w:color w:val="auto"/>
          <w:sz w:val="28"/>
          <w:szCs w:val="28"/>
          <w:lang w:eastAsia="zh-CN"/>
        </w:rPr>
        <w:t>30</w:t>
      </w:r>
      <w:r>
        <w:rPr>
          <w:rFonts w:ascii="宋体" w:hAnsi="宋体" w:eastAsia="宋体"/>
          <w:color w:val="auto"/>
          <w:sz w:val="28"/>
          <w:szCs w:val="28"/>
          <w:lang w:eastAsia="zh-CN"/>
        </w:rPr>
        <w:t>日取得安全生产许可证以来，该公司安全生产条件未发生变化等。</w:t>
      </w:r>
    </w:p>
    <w:p>
      <w:pPr>
        <w:spacing w:line="560" w:lineRule="exact"/>
        <w:jc w:val="center"/>
        <w:rPr>
          <w:rFonts w:ascii="宋体" w:hAnsi="宋体" w:eastAsia="宋体"/>
          <w:b/>
          <w:color w:val="auto"/>
          <w:lang w:eastAsia="zh-CN"/>
        </w:rPr>
      </w:pPr>
      <w:r>
        <w:rPr>
          <w:rFonts w:ascii="宋体" w:hAnsi="宋体" w:eastAsia="宋体"/>
          <w:b/>
          <w:color w:val="auto"/>
          <w:lang w:eastAsia="zh-CN"/>
        </w:rPr>
        <w:t>表9-1企业取得安全生产许可证以来安全生产工作情况表</w:t>
      </w:r>
    </w:p>
    <w:tbl>
      <w:tblPr>
        <w:tblStyle w:val="45"/>
        <w:tblW w:w="5000" w:type="pct"/>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 w:type="dxa"/>
          <w:bottom w:w="0" w:type="dxa"/>
          <w:right w:w="10" w:type="dxa"/>
        </w:tblCellMar>
      </w:tblPr>
      <w:tblGrid>
        <w:gridCol w:w="2332"/>
        <w:gridCol w:w="4954"/>
        <w:gridCol w:w="876"/>
        <w:gridCol w:w="1036"/>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tblHeader/>
          <w:jc w:val="center"/>
        </w:trPr>
        <w:tc>
          <w:tcPr>
            <w:tcW w:w="2332" w:type="dxa"/>
            <w:shd w:val="clear" w:color="auto" w:fill="FFFFFF"/>
            <w:vAlign w:val="center"/>
          </w:tcPr>
          <w:p>
            <w:pPr>
              <w:spacing w:line="360" w:lineRule="exact"/>
              <w:jc w:val="center"/>
              <w:rPr>
                <w:rFonts w:ascii="宋体" w:hAnsi="宋体" w:eastAsia="宋体"/>
                <w:b/>
                <w:color w:val="auto"/>
                <w:sz w:val="21"/>
                <w:szCs w:val="21"/>
              </w:rPr>
            </w:pPr>
            <w:r>
              <w:rPr>
                <w:rFonts w:ascii="宋体" w:hAnsi="宋体" w:eastAsia="宋体"/>
                <w:b/>
                <w:color w:val="auto"/>
                <w:sz w:val="21"/>
                <w:szCs w:val="21"/>
              </w:rPr>
              <w:t>安全生产工作项目</w:t>
            </w:r>
          </w:p>
        </w:tc>
        <w:tc>
          <w:tcPr>
            <w:tcW w:w="4954" w:type="dxa"/>
            <w:shd w:val="clear" w:color="auto" w:fill="FFFFFF"/>
            <w:vAlign w:val="center"/>
          </w:tcPr>
          <w:p>
            <w:pPr>
              <w:spacing w:line="360" w:lineRule="exact"/>
              <w:jc w:val="center"/>
              <w:rPr>
                <w:rFonts w:ascii="宋体" w:hAnsi="宋体" w:eastAsia="宋体"/>
                <w:b/>
                <w:color w:val="auto"/>
                <w:sz w:val="21"/>
                <w:szCs w:val="21"/>
              </w:rPr>
            </w:pPr>
            <w:r>
              <w:rPr>
                <w:rFonts w:ascii="宋体" w:hAnsi="宋体" w:eastAsia="宋体"/>
                <w:b/>
                <w:color w:val="auto"/>
                <w:sz w:val="21"/>
                <w:szCs w:val="21"/>
              </w:rPr>
              <w:t>安全生产工作基本情况</w:t>
            </w:r>
          </w:p>
        </w:tc>
        <w:tc>
          <w:tcPr>
            <w:tcW w:w="876" w:type="dxa"/>
            <w:shd w:val="clear" w:color="auto" w:fill="FFFFFF"/>
            <w:vAlign w:val="center"/>
          </w:tcPr>
          <w:p>
            <w:pPr>
              <w:spacing w:line="360" w:lineRule="exact"/>
              <w:jc w:val="center"/>
              <w:rPr>
                <w:rFonts w:ascii="宋体" w:hAnsi="宋体" w:eastAsia="宋体"/>
                <w:b/>
                <w:color w:val="auto"/>
                <w:sz w:val="21"/>
                <w:szCs w:val="21"/>
              </w:rPr>
            </w:pPr>
            <w:r>
              <w:rPr>
                <w:rFonts w:ascii="宋体" w:hAnsi="宋体" w:eastAsia="宋体"/>
                <w:b/>
                <w:color w:val="auto"/>
                <w:sz w:val="21"/>
                <w:szCs w:val="21"/>
              </w:rPr>
              <w:t>结果</w:t>
            </w:r>
          </w:p>
        </w:tc>
        <w:tc>
          <w:tcPr>
            <w:tcW w:w="1036" w:type="dxa"/>
            <w:shd w:val="clear" w:color="auto" w:fill="FFFFFF"/>
            <w:vAlign w:val="center"/>
          </w:tcPr>
          <w:p>
            <w:pPr>
              <w:spacing w:line="360" w:lineRule="exact"/>
              <w:jc w:val="center"/>
              <w:rPr>
                <w:rFonts w:ascii="宋体" w:hAnsi="宋体" w:eastAsia="宋体"/>
                <w:b/>
                <w:color w:val="auto"/>
                <w:sz w:val="21"/>
                <w:szCs w:val="21"/>
              </w:rPr>
            </w:pPr>
            <w:r>
              <w:rPr>
                <w:rFonts w:ascii="宋体" w:hAnsi="宋体" w:eastAsia="宋体"/>
                <w:b/>
                <w:color w:val="auto"/>
                <w:sz w:val="21"/>
                <w:szCs w:val="21"/>
              </w:rPr>
              <w:t>备注</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2332" w:type="dxa"/>
            <w:shd w:val="clear" w:color="auto" w:fill="FFFFFF"/>
            <w:vAlign w:val="center"/>
          </w:tcPr>
          <w:p>
            <w:pPr>
              <w:spacing w:line="360" w:lineRule="exact"/>
              <w:ind w:left="142" w:leftChars="59" w:right="194" w:rightChars="81" w:firstLine="140" w:firstLineChars="67"/>
              <w:jc w:val="both"/>
              <w:rPr>
                <w:rFonts w:ascii="宋体" w:hAnsi="宋体" w:eastAsia="宋体"/>
                <w:color w:val="auto"/>
                <w:sz w:val="21"/>
                <w:szCs w:val="21"/>
              </w:rPr>
            </w:pPr>
            <w:r>
              <w:rPr>
                <w:rFonts w:ascii="宋体" w:hAnsi="宋体" w:eastAsia="宋体"/>
                <w:color w:val="auto"/>
                <w:sz w:val="21"/>
                <w:szCs w:val="21"/>
              </w:rPr>
              <w:t>1、安全生产法律法规及规范标准的执行情况</w:t>
            </w:r>
          </w:p>
        </w:tc>
        <w:tc>
          <w:tcPr>
            <w:tcW w:w="4954" w:type="dxa"/>
            <w:shd w:val="clear" w:color="auto" w:fill="FFFFFF"/>
            <w:vAlign w:val="center"/>
          </w:tcPr>
          <w:p>
            <w:pPr>
              <w:spacing w:line="360" w:lineRule="exact"/>
              <w:ind w:left="142" w:leftChars="59" w:right="194" w:rightChars="81" w:firstLine="140" w:firstLineChars="67"/>
              <w:jc w:val="both"/>
              <w:rPr>
                <w:rFonts w:ascii="宋体" w:hAnsi="宋体" w:eastAsia="宋体"/>
                <w:color w:val="auto"/>
                <w:sz w:val="21"/>
                <w:szCs w:val="21"/>
              </w:rPr>
            </w:pPr>
            <w:r>
              <w:rPr>
                <w:rFonts w:ascii="宋体" w:hAnsi="宋体" w:eastAsia="宋体"/>
                <w:color w:val="auto"/>
                <w:sz w:val="21"/>
                <w:szCs w:val="21"/>
              </w:rPr>
              <w:t>该公司严格执行国家有关安全生产的法律、法规及规范标准。</w:t>
            </w:r>
          </w:p>
        </w:tc>
        <w:tc>
          <w:tcPr>
            <w:tcW w:w="876" w:type="dxa"/>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符合</w:t>
            </w:r>
          </w:p>
        </w:tc>
        <w:tc>
          <w:tcPr>
            <w:tcW w:w="1036" w:type="dxa"/>
            <w:shd w:val="clear" w:color="auto" w:fill="FFFFFF"/>
            <w:vAlign w:val="center"/>
          </w:tcPr>
          <w:p>
            <w:pPr>
              <w:spacing w:line="360" w:lineRule="exact"/>
              <w:jc w:val="center"/>
              <w:rPr>
                <w:rFonts w:ascii="宋体" w:hAnsi="宋体" w:eastAsia="宋体"/>
                <w:color w:val="auto"/>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2332" w:type="dxa"/>
            <w:shd w:val="clear" w:color="auto" w:fill="FFFFFF"/>
            <w:vAlign w:val="center"/>
          </w:tcPr>
          <w:p>
            <w:pPr>
              <w:spacing w:line="360" w:lineRule="exact"/>
              <w:ind w:left="142" w:leftChars="59" w:right="194" w:rightChars="81" w:firstLine="140" w:firstLineChars="67"/>
              <w:jc w:val="both"/>
              <w:rPr>
                <w:rFonts w:ascii="宋体" w:hAnsi="宋体" w:eastAsia="宋体"/>
                <w:color w:val="auto"/>
                <w:sz w:val="21"/>
                <w:szCs w:val="21"/>
              </w:rPr>
            </w:pPr>
            <w:r>
              <w:rPr>
                <w:rFonts w:ascii="宋体" w:hAnsi="宋体" w:eastAsia="宋体"/>
                <w:color w:val="auto"/>
                <w:sz w:val="21"/>
                <w:szCs w:val="21"/>
              </w:rPr>
              <w:t>2、安全生产条件符合情况</w:t>
            </w:r>
          </w:p>
        </w:tc>
        <w:tc>
          <w:tcPr>
            <w:tcW w:w="4954" w:type="dxa"/>
            <w:shd w:val="clear" w:color="auto" w:fill="FFFFFF"/>
            <w:vAlign w:val="center"/>
          </w:tcPr>
          <w:p>
            <w:pPr>
              <w:spacing w:line="360" w:lineRule="exact"/>
              <w:ind w:left="142" w:leftChars="59" w:right="194" w:rightChars="81" w:firstLine="140" w:firstLineChars="67"/>
              <w:jc w:val="both"/>
              <w:rPr>
                <w:rFonts w:ascii="宋体" w:hAnsi="宋体" w:eastAsia="宋体"/>
                <w:color w:val="auto"/>
                <w:sz w:val="21"/>
                <w:szCs w:val="21"/>
              </w:rPr>
            </w:pPr>
            <w:r>
              <w:rPr>
                <w:rFonts w:ascii="宋体" w:hAnsi="宋体" w:eastAsia="宋体"/>
                <w:color w:val="auto"/>
                <w:sz w:val="21"/>
                <w:szCs w:val="21"/>
              </w:rPr>
              <w:t>该公司安全生产条件均符合《危险化学品生产企业安全生产许可证实施办法》规定的安全生产条件。</w:t>
            </w:r>
          </w:p>
        </w:tc>
        <w:tc>
          <w:tcPr>
            <w:tcW w:w="876" w:type="dxa"/>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符合</w:t>
            </w:r>
          </w:p>
        </w:tc>
        <w:tc>
          <w:tcPr>
            <w:tcW w:w="1036" w:type="dxa"/>
            <w:shd w:val="clear" w:color="auto" w:fill="FFFFFF"/>
            <w:vAlign w:val="center"/>
          </w:tcPr>
          <w:p>
            <w:pPr>
              <w:spacing w:line="360" w:lineRule="exact"/>
              <w:jc w:val="center"/>
              <w:rPr>
                <w:rFonts w:ascii="宋体" w:hAnsi="宋体" w:eastAsia="宋体"/>
                <w:color w:val="auto"/>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2332" w:type="dxa"/>
            <w:shd w:val="clear" w:color="auto" w:fill="FFFFFF"/>
            <w:vAlign w:val="center"/>
          </w:tcPr>
          <w:p>
            <w:pPr>
              <w:spacing w:line="360" w:lineRule="exact"/>
              <w:ind w:left="142" w:leftChars="59" w:right="194" w:rightChars="81" w:firstLine="140" w:firstLineChars="67"/>
              <w:jc w:val="both"/>
              <w:rPr>
                <w:rFonts w:ascii="宋体" w:hAnsi="宋体" w:eastAsia="宋体"/>
                <w:color w:val="auto"/>
                <w:sz w:val="21"/>
                <w:szCs w:val="21"/>
              </w:rPr>
            </w:pPr>
            <w:r>
              <w:rPr>
                <w:rFonts w:ascii="宋体" w:hAnsi="宋体" w:eastAsia="宋体"/>
                <w:color w:val="auto"/>
                <w:sz w:val="21"/>
                <w:szCs w:val="21"/>
              </w:rPr>
              <w:t>3、日常安全生产管理情况</w:t>
            </w:r>
          </w:p>
        </w:tc>
        <w:tc>
          <w:tcPr>
            <w:tcW w:w="4954" w:type="dxa"/>
            <w:shd w:val="clear" w:color="auto" w:fill="FFFFFF"/>
            <w:vAlign w:val="center"/>
          </w:tcPr>
          <w:p>
            <w:pPr>
              <w:spacing w:line="360" w:lineRule="exact"/>
              <w:ind w:left="142" w:leftChars="59" w:right="194" w:rightChars="81" w:firstLine="140" w:firstLineChars="67"/>
              <w:jc w:val="both"/>
              <w:rPr>
                <w:rFonts w:ascii="宋体" w:hAnsi="宋体" w:eastAsia="宋体"/>
                <w:color w:val="auto"/>
                <w:sz w:val="21"/>
                <w:szCs w:val="21"/>
              </w:rPr>
            </w:pPr>
            <w:r>
              <w:rPr>
                <w:rFonts w:ascii="宋体" w:hAnsi="宋体" w:eastAsia="宋体"/>
                <w:color w:val="auto"/>
                <w:sz w:val="21"/>
                <w:szCs w:val="21"/>
              </w:rPr>
              <w:t>该公司设置了安全生产管理机构，成立了安全生产领导小组，并配备了专职安全生产管理人员；</w:t>
            </w:r>
          </w:p>
          <w:p>
            <w:pPr>
              <w:spacing w:line="360" w:lineRule="exact"/>
              <w:ind w:left="142" w:leftChars="59" w:right="194" w:rightChars="81" w:firstLine="140" w:firstLineChars="67"/>
              <w:jc w:val="both"/>
              <w:rPr>
                <w:rFonts w:ascii="宋体" w:hAnsi="宋体" w:eastAsia="宋体"/>
                <w:color w:val="auto"/>
                <w:sz w:val="21"/>
                <w:szCs w:val="21"/>
              </w:rPr>
            </w:pPr>
            <w:r>
              <w:rPr>
                <w:rFonts w:ascii="宋体" w:hAnsi="宋体" w:eastAsia="宋体"/>
                <w:color w:val="auto"/>
                <w:sz w:val="21"/>
                <w:szCs w:val="21"/>
              </w:rPr>
              <w:t>建立了本单位安全生产责任制；</w:t>
            </w:r>
          </w:p>
          <w:p>
            <w:pPr>
              <w:spacing w:line="360" w:lineRule="exact"/>
              <w:ind w:left="142" w:leftChars="59" w:right="194" w:rightChars="81" w:firstLine="140" w:firstLineChars="67"/>
              <w:jc w:val="both"/>
              <w:rPr>
                <w:rFonts w:ascii="宋体" w:hAnsi="宋体" w:eastAsia="宋体"/>
                <w:color w:val="auto"/>
                <w:sz w:val="21"/>
                <w:szCs w:val="21"/>
              </w:rPr>
            </w:pPr>
            <w:r>
              <w:rPr>
                <w:rFonts w:ascii="宋体" w:hAnsi="宋体" w:eastAsia="宋体"/>
                <w:color w:val="auto"/>
                <w:sz w:val="21"/>
                <w:szCs w:val="21"/>
              </w:rPr>
              <w:t>制定了比较完善的安全管理制度；</w:t>
            </w:r>
          </w:p>
          <w:p>
            <w:pPr>
              <w:spacing w:line="360" w:lineRule="exact"/>
              <w:ind w:left="142" w:leftChars="59" w:right="194" w:rightChars="81" w:firstLine="140" w:firstLineChars="67"/>
              <w:jc w:val="both"/>
              <w:rPr>
                <w:rFonts w:ascii="宋体" w:hAnsi="宋体" w:eastAsia="宋体"/>
                <w:color w:val="auto"/>
                <w:sz w:val="21"/>
                <w:szCs w:val="21"/>
              </w:rPr>
            </w:pPr>
            <w:r>
              <w:rPr>
                <w:rFonts w:ascii="宋体" w:hAnsi="宋体" w:eastAsia="宋体"/>
                <w:color w:val="auto"/>
                <w:sz w:val="21"/>
                <w:szCs w:val="21"/>
              </w:rPr>
              <w:t>编制了各岗位操作安全规程、作业安全规程；</w:t>
            </w:r>
          </w:p>
          <w:p>
            <w:pPr>
              <w:spacing w:line="360" w:lineRule="exact"/>
              <w:ind w:left="142" w:leftChars="59" w:right="194" w:rightChars="81" w:firstLine="140" w:firstLineChars="67"/>
              <w:jc w:val="both"/>
              <w:rPr>
                <w:rFonts w:ascii="宋体" w:hAnsi="宋体" w:eastAsia="宋体"/>
                <w:color w:val="auto"/>
                <w:sz w:val="21"/>
                <w:szCs w:val="21"/>
              </w:rPr>
            </w:pPr>
            <w:r>
              <w:rPr>
                <w:rFonts w:ascii="宋体" w:hAnsi="宋体" w:eastAsia="宋体"/>
                <w:color w:val="auto"/>
                <w:sz w:val="21"/>
                <w:szCs w:val="21"/>
              </w:rPr>
              <w:t>加强对《安全生产法》等有关安全生产的法律、法规和安全生产知识的学习、宣传，提高从业人员的安全生产意识；</w:t>
            </w:r>
          </w:p>
          <w:p>
            <w:pPr>
              <w:spacing w:line="360" w:lineRule="exact"/>
              <w:ind w:left="142" w:leftChars="59" w:right="194" w:rightChars="81" w:firstLine="140" w:firstLineChars="67"/>
              <w:jc w:val="both"/>
              <w:rPr>
                <w:rFonts w:ascii="宋体" w:hAnsi="宋体" w:eastAsia="宋体"/>
                <w:color w:val="auto"/>
                <w:sz w:val="21"/>
                <w:szCs w:val="21"/>
              </w:rPr>
            </w:pPr>
            <w:r>
              <w:rPr>
                <w:rFonts w:ascii="宋体" w:hAnsi="宋体" w:eastAsia="宋体"/>
                <w:color w:val="auto"/>
                <w:sz w:val="21"/>
                <w:szCs w:val="21"/>
              </w:rPr>
              <w:t>该公司重视安全生产的监督检查工作发现问题及时处理，消除事故隐患。</w:t>
            </w:r>
          </w:p>
        </w:tc>
        <w:tc>
          <w:tcPr>
            <w:tcW w:w="876" w:type="dxa"/>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符合</w:t>
            </w:r>
          </w:p>
        </w:tc>
        <w:tc>
          <w:tcPr>
            <w:tcW w:w="1036" w:type="dxa"/>
            <w:shd w:val="clear" w:color="auto" w:fill="FFFFFF"/>
            <w:vAlign w:val="center"/>
          </w:tcPr>
          <w:p>
            <w:pPr>
              <w:spacing w:line="360" w:lineRule="exact"/>
              <w:jc w:val="center"/>
              <w:rPr>
                <w:rFonts w:ascii="宋体" w:hAnsi="宋体" w:eastAsia="宋体"/>
                <w:color w:val="auto"/>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2332" w:type="dxa"/>
            <w:shd w:val="clear" w:color="auto" w:fill="FFFFFF"/>
            <w:vAlign w:val="center"/>
          </w:tcPr>
          <w:p>
            <w:pPr>
              <w:spacing w:line="360" w:lineRule="exact"/>
              <w:ind w:left="142" w:leftChars="59" w:right="194" w:rightChars="81" w:firstLine="140" w:firstLineChars="67"/>
              <w:jc w:val="both"/>
              <w:rPr>
                <w:rFonts w:ascii="宋体" w:hAnsi="宋体" w:eastAsia="宋体"/>
                <w:color w:val="auto"/>
                <w:sz w:val="21"/>
                <w:szCs w:val="21"/>
              </w:rPr>
            </w:pPr>
            <w:r>
              <w:rPr>
                <w:rFonts w:ascii="宋体" w:hAnsi="宋体" w:eastAsia="宋体"/>
                <w:color w:val="auto"/>
                <w:sz w:val="21"/>
                <w:szCs w:val="21"/>
              </w:rPr>
              <w:t>4、生产安全事故情况</w:t>
            </w:r>
          </w:p>
        </w:tc>
        <w:tc>
          <w:tcPr>
            <w:tcW w:w="4954" w:type="dxa"/>
            <w:shd w:val="clear" w:color="auto" w:fill="FFFFFF"/>
            <w:vAlign w:val="center"/>
          </w:tcPr>
          <w:p>
            <w:pPr>
              <w:spacing w:line="360" w:lineRule="exact"/>
              <w:ind w:left="142" w:leftChars="59" w:right="194" w:rightChars="81" w:firstLine="140" w:firstLineChars="67"/>
              <w:jc w:val="both"/>
              <w:rPr>
                <w:rFonts w:ascii="宋体" w:hAnsi="宋体" w:eastAsia="宋体"/>
                <w:color w:val="auto"/>
                <w:sz w:val="21"/>
                <w:szCs w:val="21"/>
              </w:rPr>
            </w:pPr>
            <w:r>
              <w:rPr>
                <w:rFonts w:ascii="宋体" w:hAnsi="宋体" w:eastAsia="宋体"/>
                <w:color w:val="auto"/>
                <w:sz w:val="21"/>
                <w:szCs w:val="21"/>
              </w:rPr>
              <w:t>该公司自成立以来，没有发生过《生产安全事故报告和调查处理条例》规定情形的生产安全事故。也没有发生消防安全事故。</w:t>
            </w:r>
          </w:p>
        </w:tc>
        <w:tc>
          <w:tcPr>
            <w:tcW w:w="876" w:type="dxa"/>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符合</w:t>
            </w:r>
          </w:p>
        </w:tc>
        <w:tc>
          <w:tcPr>
            <w:tcW w:w="1036" w:type="dxa"/>
            <w:shd w:val="clear" w:color="auto" w:fill="FFFFFF"/>
            <w:vAlign w:val="center"/>
          </w:tcPr>
          <w:p>
            <w:pPr>
              <w:spacing w:line="360" w:lineRule="exact"/>
              <w:jc w:val="center"/>
              <w:rPr>
                <w:rFonts w:ascii="宋体" w:hAnsi="宋体" w:eastAsia="宋体"/>
                <w:color w:val="auto"/>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2332" w:type="dxa"/>
            <w:shd w:val="clear" w:color="auto" w:fill="FFFFFF"/>
            <w:vAlign w:val="center"/>
          </w:tcPr>
          <w:p>
            <w:pPr>
              <w:spacing w:line="360" w:lineRule="exact"/>
              <w:ind w:left="142" w:leftChars="59" w:right="194" w:rightChars="81" w:firstLine="140" w:firstLineChars="67"/>
              <w:jc w:val="both"/>
              <w:rPr>
                <w:rFonts w:ascii="宋体" w:hAnsi="宋体" w:eastAsia="宋体"/>
                <w:color w:val="auto"/>
                <w:sz w:val="21"/>
                <w:szCs w:val="21"/>
              </w:rPr>
            </w:pPr>
            <w:r>
              <w:rPr>
                <w:rFonts w:ascii="宋体" w:hAnsi="宋体" w:eastAsia="宋体"/>
                <w:color w:val="auto"/>
                <w:sz w:val="21"/>
                <w:szCs w:val="21"/>
              </w:rPr>
              <w:t>5、人员安全教育培训情况</w:t>
            </w:r>
          </w:p>
        </w:tc>
        <w:tc>
          <w:tcPr>
            <w:tcW w:w="4954" w:type="dxa"/>
            <w:shd w:val="clear" w:color="auto" w:fill="FFFFFF"/>
            <w:vAlign w:val="center"/>
          </w:tcPr>
          <w:p>
            <w:pPr>
              <w:spacing w:line="360" w:lineRule="exact"/>
              <w:ind w:left="142" w:leftChars="59" w:right="194" w:rightChars="81" w:firstLine="140" w:firstLineChars="67"/>
              <w:jc w:val="both"/>
              <w:rPr>
                <w:rFonts w:ascii="宋体" w:hAnsi="宋体" w:eastAsia="宋体"/>
                <w:color w:val="auto"/>
                <w:sz w:val="21"/>
                <w:szCs w:val="21"/>
              </w:rPr>
            </w:pPr>
            <w:r>
              <w:rPr>
                <w:rFonts w:ascii="宋体" w:hAnsi="宋体" w:eastAsia="宋体"/>
                <w:color w:val="auto"/>
                <w:sz w:val="21"/>
                <w:szCs w:val="21"/>
              </w:rPr>
              <w:t>该公司主要负责人、安全生产管理人员、其他从业人员经培训考核合格持证上岗，安全培训符合要求。</w:t>
            </w:r>
          </w:p>
        </w:tc>
        <w:tc>
          <w:tcPr>
            <w:tcW w:w="876" w:type="dxa"/>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符合</w:t>
            </w:r>
          </w:p>
        </w:tc>
        <w:tc>
          <w:tcPr>
            <w:tcW w:w="1036" w:type="dxa"/>
            <w:shd w:val="clear" w:color="auto" w:fill="FFFFFF"/>
            <w:vAlign w:val="center"/>
          </w:tcPr>
          <w:p>
            <w:pPr>
              <w:spacing w:line="360" w:lineRule="exact"/>
              <w:jc w:val="center"/>
              <w:rPr>
                <w:rFonts w:ascii="宋体" w:hAnsi="宋体" w:eastAsia="宋体"/>
                <w:color w:val="auto"/>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2332" w:type="dxa"/>
            <w:shd w:val="clear" w:color="auto" w:fill="FFFFFF"/>
            <w:vAlign w:val="center"/>
          </w:tcPr>
          <w:p>
            <w:pPr>
              <w:spacing w:line="360" w:lineRule="exact"/>
              <w:ind w:left="142" w:leftChars="59" w:right="194" w:rightChars="81" w:firstLine="140" w:firstLineChars="67"/>
              <w:jc w:val="both"/>
              <w:rPr>
                <w:rFonts w:ascii="宋体" w:hAnsi="宋体" w:eastAsia="宋体"/>
                <w:color w:val="auto"/>
                <w:sz w:val="21"/>
                <w:szCs w:val="21"/>
              </w:rPr>
            </w:pPr>
            <w:r>
              <w:rPr>
                <w:rFonts w:ascii="宋体" w:hAnsi="宋体" w:eastAsia="宋体"/>
                <w:color w:val="auto"/>
                <w:sz w:val="21"/>
                <w:szCs w:val="21"/>
              </w:rPr>
              <w:t>6、重大危险源监控情况</w:t>
            </w:r>
          </w:p>
        </w:tc>
        <w:tc>
          <w:tcPr>
            <w:tcW w:w="4954" w:type="dxa"/>
            <w:shd w:val="clear" w:color="auto" w:fill="FFFFFF"/>
            <w:vAlign w:val="center"/>
          </w:tcPr>
          <w:p>
            <w:pPr>
              <w:spacing w:line="360" w:lineRule="exact"/>
              <w:ind w:left="142" w:leftChars="59" w:right="194" w:rightChars="81" w:firstLine="140" w:firstLineChars="67"/>
              <w:jc w:val="both"/>
              <w:rPr>
                <w:rFonts w:ascii="宋体" w:hAnsi="宋体" w:eastAsia="宋体"/>
                <w:color w:val="auto"/>
                <w:sz w:val="21"/>
                <w:szCs w:val="21"/>
              </w:rPr>
            </w:pPr>
            <w:r>
              <w:rPr>
                <w:rFonts w:ascii="宋体" w:hAnsi="宋体" w:eastAsia="宋体"/>
                <w:color w:val="auto"/>
                <w:sz w:val="21"/>
                <w:szCs w:val="21"/>
              </w:rPr>
              <w:t>该公司</w:t>
            </w:r>
            <w:r>
              <w:rPr>
                <w:rFonts w:hint="eastAsia" w:ascii="宋体" w:hAnsi="宋体" w:eastAsia="宋体"/>
                <w:color w:val="auto"/>
                <w:sz w:val="21"/>
                <w:szCs w:val="21"/>
                <w:lang w:eastAsia="zh-CN"/>
              </w:rPr>
              <w:t>危险化学品</w:t>
            </w:r>
            <w:r>
              <w:rPr>
                <w:rFonts w:ascii="宋体" w:hAnsi="宋体" w:eastAsia="宋体"/>
                <w:color w:val="auto"/>
                <w:sz w:val="21"/>
                <w:szCs w:val="21"/>
              </w:rPr>
              <w:t>不构成重大危险源。</w:t>
            </w:r>
          </w:p>
        </w:tc>
        <w:tc>
          <w:tcPr>
            <w:tcW w:w="876" w:type="dxa"/>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符合</w:t>
            </w:r>
          </w:p>
        </w:tc>
        <w:tc>
          <w:tcPr>
            <w:tcW w:w="1036" w:type="dxa"/>
            <w:shd w:val="clear" w:color="auto" w:fill="FFFFFF"/>
            <w:vAlign w:val="center"/>
          </w:tcPr>
          <w:p>
            <w:pPr>
              <w:spacing w:line="360" w:lineRule="exact"/>
              <w:jc w:val="center"/>
              <w:rPr>
                <w:rFonts w:ascii="宋体" w:hAnsi="宋体" w:eastAsia="宋体"/>
                <w:color w:val="auto"/>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2332" w:type="dxa"/>
            <w:shd w:val="clear" w:color="auto" w:fill="FFFFFF"/>
            <w:vAlign w:val="center"/>
          </w:tcPr>
          <w:p>
            <w:pPr>
              <w:spacing w:line="360" w:lineRule="exact"/>
              <w:ind w:left="142" w:leftChars="59" w:right="194" w:rightChars="81" w:firstLine="140" w:firstLineChars="67"/>
              <w:jc w:val="both"/>
              <w:rPr>
                <w:rFonts w:ascii="宋体" w:hAnsi="宋体" w:eastAsia="宋体"/>
                <w:color w:val="auto"/>
                <w:sz w:val="21"/>
                <w:szCs w:val="21"/>
              </w:rPr>
            </w:pPr>
            <w:r>
              <w:rPr>
                <w:rFonts w:ascii="宋体" w:hAnsi="宋体" w:eastAsia="宋体"/>
                <w:color w:val="auto"/>
                <w:sz w:val="21"/>
                <w:szCs w:val="21"/>
              </w:rPr>
              <w:t>7、事故应急救援预案培训和演练情况</w:t>
            </w:r>
          </w:p>
        </w:tc>
        <w:tc>
          <w:tcPr>
            <w:tcW w:w="4954" w:type="dxa"/>
            <w:shd w:val="clear" w:color="auto" w:fill="FFFFFF"/>
            <w:vAlign w:val="center"/>
          </w:tcPr>
          <w:p>
            <w:pPr>
              <w:spacing w:line="360" w:lineRule="exact"/>
              <w:ind w:left="142" w:leftChars="59" w:right="194" w:rightChars="81" w:firstLine="140" w:firstLineChars="67"/>
              <w:jc w:val="both"/>
              <w:rPr>
                <w:rFonts w:ascii="宋体" w:hAnsi="宋体" w:eastAsia="宋体"/>
                <w:color w:val="auto"/>
                <w:sz w:val="21"/>
                <w:szCs w:val="21"/>
              </w:rPr>
            </w:pPr>
            <w:r>
              <w:rPr>
                <w:rFonts w:ascii="宋体" w:hAnsi="宋体" w:eastAsia="宋体"/>
                <w:color w:val="auto"/>
                <w:sz w:val="21"/>
                <w:szCs w:val="21"/>
              </w:rPr>
              <w:t>该公司按照导则编制了较为完善的《生产安全事故应急救援预案》，并通过了专家评审，己经报安监局备案，取得备案登记证明。</w:t>
            </w:r>
          </w:p>
        </w:tc>
        <w:tc>
          <w:tcPr>
            <w:tcW w:w="876" w:type="dxa"/>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符合</w:t>
            </w:r>
          </w:p>
        </w:tc>
        <w:tc>
          <w:tcPr>
            <w:tcW w:w="1036" w:type="dxa"/>
            <w:shd w:val="clear" w:color="auto" w:fill="FFFFFF"/>
            <w:vAlign w:val="center"/>
          </w:tcPr>
          <w:p>
            <w:pPr>
              <w:spacing w:line="360" w:lineRule="exact"/>
              <w:jc w:val="center"/>
              <w:rPr>
                <w:rFonts w:ascii="宋体" w:hAnsi="宋体" w:eastAsia="宋体"/>
                <w:color w:val="auto"/>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2332" w:type="dxa"/>
            <w:shd w:val="clear" w:color="auto" w:fill="FFFFFF"/>
            <w:vAlign w:val="center"/>
          </w:tcPr>
          <w:p>
            <w:pPr>
              <w:spacing w:line="360" w:lineRule="exact"/>
              <w:ind w:left="142" w:leftChars="59" w:right="194" w:rightChars="81" w:firstLine="140" w:firstLineChars="67"/>
              <w:jc w:val="both"/>
              <w:rPr>
                <w:rFonts w:ascii="宋体" w:hAnsi="宋体" w:eastAsia="宋体"/>
                <w:color w:val="auto"/>
                <w:sz w:val="21"/>
                <w:szCs w:val="21"/>
                <w:lang w:eastAsia="zh-CN"/>
              </w:rPr>
            </w:pPr>
            <w:r>
              <w:rPr>
                <w:rFonts w:hint="eastAsia" w:ascii="宋体" w:hAnsi="宋体" w:eastAsia="宋体"/>
                <w:color w:val="auto"/>
                <w:sz w:val="21"/>
                <w:szCs w:val="21"/>
                <w:lang w:eastAsia="zh-CN"/>
              </w:rPr>
              <w:t>8、生产范围、生产场</w:t>
            </w:r>
            <w:r>
              <w:rPr>
                <w:rFonts w:ascii="宋体" w:hAnsi="宋体" w:eastAsia="宋体"/>
                <w:color w:val="auto"/>
                <w:sz w:val="21"/>
                <w:szCs w:val="21"/>
                <w:lang w:eastAsia="zh-CN"/>
              </w:rPr>
              <w:t xml:space="preserve"> 所、生</w:t>
            </w:r>
            <w:r>
              <w:rPr>
                <w:rFonts w:hint="eastAsia" w:ascii="宋体" w:hAnsi="宋体" w:eastAsia="宋体"/>
                <w:color w:val="auto"/>
                <w:sz w:val="21"/>
                <w:szCs w:val="21"/>
                <w:lang w:eastAsia="zh-CN"/>
              </w:rPr>
              <w:t>产装置、储存设</w:t>
            </w:r>
            <w:r>
              <w:rPr>
                <w:rFonts w:ascii="宋体" w:hAnsi="宋体" w:eastAsia="宋体"/>
                <w:color w:val="auto"/>
                <w:sz w:val="21"/>
                <w:szCs w:val="21"/>
                <w:lang w:eastAsia="zh-CN"/>
              </w:rPr>
              <w:t xml:space="preserve"> 施等</w:t>
            </w:r>
            <w:r>
              <w:rPr>
                <w:rFonts w:hint="eastAsia" w:ascii="宋体" w:hAnsi="宋体" w:eastAsia="宋体"/>
                <w:color w:val="auto"/>
                <w:sz w:val="21"/>
                <w:szCs w:val="21"/>
                <w:lang w:eastAsia="zh-CN"/>
              </w:rPr>
              <w:t>发生变化情况。</w:t>
            </w:r>
          </w:p>
        </w:tc>
        <w:tc>
          <w:tcPr>
            <w:tcW w:w="4954" w:type="dxa"/>
            <w:shd w:val="clear" w:color="auto" w:fill="FFFFFF"/>
            <w:vAlign w:val="center"/>
          </w:tcPr>
          <w:p>
            <w:pPr>
              <w:spacing w:line="360" w:lineRule="exact"/>
              <w:ind w:left="142" w:leftChars="59" w:right="194" w:rightChars="81" w:firstLine="140" w:firstLineChars="67"/>
              <w:jc w:val="both"/>
              <w:rPr>
                <w:rFonts w:ascii="宋体" w:hAnsi="宋体" w:eastAsia="宋体"/>
                <w:color w:val="auto"/>
                <w:sz w:val="21"/>
                <w:szCs w:val="21"/>
              </w:rPr>
            </w:pPr>
            <w:r>
              <w:rPr>
                <w:rFonts w:hint="eastAsia" w:ascii="宋体" w:hAnsi="宋体" w:eastAsia="宋体"/>
                <w:color w:val="auto"/>
                <w:sz w:val="21"/>
                <w:szCs w:val="21"/>
              </w:rPr>
              <w:t>该公司自取得生产许可证以来，生产范围、生产场所、生产装置、储存设施等未发生变化。</w:t>
            </w:r>
          </w:p>
        </w:tc>
        <w:tc>
          <w:tcPr>
            <w:tcW w:w="876" w:type="dxa"/>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符合</w:t>
            </w:r>
          </w:p>
        </w:tc>
        <w:tc>
          <w:tcPr>
            <w:tcW w:w="1036" w:type="dxa"/>
            <w:shd w:val="clear" w:color="auto" w:fill="FFFFFF"/>
            <w:vAlign w:val="center"/>
          </w:tcPr>
          <w:p>
            <w:pPr>
              <w:spacing w:line="360" w:lineRule="exact"/>
              <w:jc w:val="center"/>
              <w:rPr>
                <w:rFonts w:ascii="宋体" w:hAnsi="宋体" w:eastAsia="宋体"/>
                <w:color w:val="auto"/>
                <w:sz w:val="21"/>
                <w:szCs w:val="21"/>
              </w:rPr>
            </w:pPr>
          </w:p>
        </w:tc>
      </w:tr>
    </w:tbl>
    <w:p>
      <w:pPr>
        <w:spacing w:line="560" w:lineRule="exact"/>
        <w:ind w:firstLine="425" w:firstLineChars="152"/>
        <w:rPr>
          <w:rFonts w:ascii="宋体" w:hAnsi="宋体" w:eastAsia="宋体"/>
          <w:color w:val="auto"/>
          <w:sz w:val="28"/>
          <w:szCs w:val="28"/>
        </w:rPr>
      </w:pPr>
      <w:bookmarkStart w:id="118" w:name="bookmark87"/>
    </w:p>
    <w:p>
      <w:pPr>
        <w:spacing w:line="560" w:lineRule="exact"/>
        <w:jc w:val="both"/>
        <w:outlineLvl w:val="1"/>
        <w:rPr>
          <w:rFonts w:ascii="楷体_GB2312" w:hAnsi="Times New Roman" w:eastAsia="楷体_GB2312" w:cs="Times New Roman"/>
          <w:bCs/>
          <w:color w:val="auto"/>
          <w:kern w:val="2"/>
          <w:sz w:val="32"/>
          <w:lang w:val="en-US" w:eastAsia="zh-CN" w:bidi="ar-SA"/>
        </w:rPr>
      </w:pPr>
      <w:bookmarkStart w:id="119" w:name="_Toc40045920"/>
      <w:r>
        <w:rPr>
          <w:rFonts w:ascii="楷体_GB2312" w:hAnsi="Times New Roman" w:eastAsia="楷体_GB2312" w:cs="Times New Roman"/>
          <w:bCs/>
          <w:color w:val="auto"/>
          <w:kern w:val="2"/>
          <w:sz w:val="32"/>
          <w:lang w:val="en-US" w:eastAsia="zh-CN" w:bidi="ar-SA"/>
        </w:rPr>
        <w:t>9.3日常安全生产管理情况</w:t>
      </w:r>
      <w:bookmarkEnd w:id="118"/>
      <w:bookmarkEnd w:id="119"/>
    </w:p>
    <w:p>
      <w:pPr>
        <w:spacing w:line="560" w:lineRule="exact"/>
        <w:ind w:firstLine="425" w:firstLineChars="152"/>
        <w:rPr>
          <w:rFonts w:ascii="宋体" w:hAnsi="宋体" w:eastAsia="宋体"/>
          <w:color w:val="auto"/>
          <w:sz w:val="28"/>
          <w:szCs w:val="28"/>
          <w:lang w:eastAsia="zh-CN"/>
        </w:rPr>
      </w:pPr>
      <w:r>
        <w:rPr>
          <w:rFonts w:ascii="宋体" w:hAnsi="宋体" w:eastAsia="宋体"/>
          <w:color w:val="auto"/>
          <w:sz w:val="28"/>
          <w:szCs w:val="28"/>
          <w:lang w:eastAsia="zh-CN"/>
        </w:rPr>
        <w:t>华龙公司自201</w:t>
      </w:r>
      <w:r>
        <w:rPr>
          <w:rFonts w:hint="eastAsia" w:ascii="宋体" w:hAnsi="宋体" w:eastAsia="宋体"/>
          <w:color w:val="auto"/>
          <w:sz w:val="28"/>
          <w:szCs w:val="28"/>
          <w:lang w:eastAsia="zh-CN"/>
        </w:rPr>
        <w:t>7</w:t>
      </w:r>
      <w:r>
        <w:rPr>
          <w:rFonts w:ascii="宋体" w:hAnsi="宋体" w:eastAsia="宋体"/>
          <w:color w:val="auto"/>
          <w:sz w:val="28"/>
          <w:szCs w:val="28"/>
          <w:lang w:eastAsia="zh-CN"/>
        </w:rPr>
        <w:t>年</w:t>
      </w:r>
      <w:r>
        <w:rPr>
          <w:rFonts w:hint="eastAsia" w:ascii="宋体" w:hAnsi="宋体" w:eastAsia="宋体"/>
          <w:color w:val="auto"/>
          <w:sz w:val="28"/>
          <w:szCs w:val="28"/>
          <w:lang w:eastAsia="zh-CN"/>
        </w:rPr>
        <w:t>6</w:t>
      </w:r>
      <w:r>
        <w:rPr>
          <w:rFonts w:ascii="宋体" w:hAnsi="宋体" w:eastAsia="宋体"/>
          <w:color w:val="auto"/>
          <w:sz w:val="28"/>
          <w:szCs w:val="28"/>
          <w:lang w:eastAsia="zh-CN"/>
        </w:rPr>
        <w:t>月</w:t>
      </w:r>
      <w:r>
        <w:rPr>
          <w:rFonts w:hint="eastAsia" w:ascii="宋体" w:hAnsi="宋体" w:eastAsia="宋体"/>
          <w:color w:val="auto"/>
          <w:sz w:val="28"/>
          <w:szCs w:val="28"/>
          <w:lang w:eastAsia="zh-CN"/>
        </w:rPr>
        <w:t>30</w:t>
      </w:r>
      <w:r>
        <w:rPr>
          <w:rFonts w:ascii="宋体" w:hAnsi="宋体" w:eastAsia="宋体"/>
          <w:color w:val="auto"/>
          <w:sz w:val="28"/>
          <w:szCs w:val="28"/>
          <w:lang w:eastAsia="zh-CN"/>
        </w:rPr>
        <w:t>日取得《安全生产许可证》以来，一直按照国家有关《危险化学品安全管理条例》、《安全生产许可证条例》严格遵照执行，认真执行省、市各级安全管理部门的各种实施办法、规定、通知等公告文件，全公司十分重视强化安全生产管理，在保障安全生产方面采取的是重点倾斜投入，按省市安监规定和要求，落实并符合《危险化学品安全管理条例》规定的安全生产条件。</w:t>
      </w:r>
    </w:p>
    <w:p>
      <w:pPr>
        <w:spacing w:line="560" w:lineRule="exact"/>
        <w:ind w:firstLine="425" w:firstLineChars="152"/>
        <w:rPr>
          <w:rFonts w:ascii="宋体" w:hAnsi="宋体" w:eastAsia="宋体"/>
          <w:color w:val="auto"/>
          <w:sz w:val="28"/>
          <w:szCs w:val="28"/>
          <w:lang w:eastAsia="zh-CN"/>
        </w:rPr>
      </w:pPr>
      <w:r>
        <w:rPr>
          <w:rFonts w:ascii="宋体" w:hAnsi="宋体" w:eastAsia="宋体"/>
          <w:color w:val="auto"/>
          <w:sz w:val="28"/>
          <w:szCs w:val="28"/>
          <w:lang w:eastAsia="zh-CN"/>
        </w:rPr>
        <w:t>华龙公司建立有安全生产管理机构，配备了安全生产管理人员，安全生产委员会由公司主要负责人、</w:t>
      </w:r>
      <w:r>
        <w:rPr>
          <w:rFonts w:hint="eastAsia" w:ascii="宋体" w:hAnsi="宋体" w:eastAsia="宋体"/>
          <w:color w:val="auto"/>
          <w:sz w:val="28"/>
          <w:szCs w:val="28"/>
          <w:lang w:eastAsia="zh-CN"/>
        </w:rPr>
        <w:t>安全管理人员</w:t>
      </w:r>
      <w:r>
        <w:rPr>
          <w:rFonts w:ascii="宋体" w:hAnsi="宋体" w:eastAsia="宋体"/>
          <w:color w:val="auto"/>
          <w:sz w:val="28"/>
          <w:szCs w:val="28"/>
          <w:lang w:eastAsia="zh-CN"/>
        </w:rPr>
        <w:t>和各部门主要负责人组成。其主要职能是负责全公司各项安全计划的制订、落实，各项安全管理制度的审核，各部门责任人的考核等安全生产管理工作。主要负责人对公司的安全生产工作负全面责任，安全管理人员协助公司安全生产主要负责人做好公司安全生产工作。各部门的主要职责是负责本部门各项安全管理制度的落实，负责对本部门职工进行安全生产教育的工作。</w:t>
      </w:r>
    </w:p>
    <w:p>
      <w:pPr>
        <w:spacing w:line="560" w:lineRule="exact"/>
        <w:ind w:firstLine="425" w:firstLineChars="152"/>
        <w:rPr>
          <w:rFonts w:ascii="宋体" w:hAnsi="宋体" w:eastAsia="宋体"/>
          <w:color w:val="auto"/>
          <w:sz w:val="28"/>
          <w:szCs w:val="28"/>
          <w:lang w:eastAsia="zh-CN"/>
        </w:rPr>
      </w:pPr>
      <w:r>
        <w:rPr>
          <w:rFonts w:ascii="宋体" w:hAnsi="宋体" w:eastAsia="宋体"/>
          <w:color w:val="auto"/>
          <w:sz w:val="28"/>
          <w:szCs w:val="28"/>
          <w:lang w:eastAsia="zh-CN"/>
        </w:rPr>
        <w:t>依照国家法律、法规和安全生产方针政策，结合本单位实际情况，华龙公司制定了各项安全生产管理制度。</w:t>
      </w:r>
    </w:p>
    <w:p>
      <w:pPr>
        <w:spacing w:line="560" w:lineRule="exact"/>
        <w:ind w:firstLine="425" w:firstLineChars="152"/>
        <w:rPr>
          <w:rFonts w:ascii="宋体" w:hAnsi="宋体" w:eastAsia="宋体"/>
          <w:color w:val="auto"/>
          <w:sz w:val="28"/>
          <w:szCs w:val="28"/>
          <w:lang w:eastAsia="zh-CN"/>
        </w:rPr>
      </w:pPr>
      <w:r>
        <w:rPr>
          <w:rFonts w:ascii="宋体" w:hAnsi="宋体" w:eastAsia="宋体"/>
          <w:color w:val="auto"/>
          <w:sz w:val="28"/>
          <w:szCs w:val="28"/>
          <w:lang w:eastAsia="zh-CN"/>
        </w:rPr>
        <w:t>经辨识，该公司</w:t>
      </w:r>
      <w:r>
        <w:rPr>
          <w:rFonts w:hint="eastAsia" w:ascii="宋体" w:hAnsi="宋体" w:eastAsia="宋体"/>
          <w:color w:val="auto"/>
          <w:sz w:val="28"/>
          <w:szCs w:val="28"/>
          <w:lang w:eastAsia="zh-CN"/>
        </w:rPr>
        <w:t>危险化学品</w:t>
      </w:r>
      <w:r>
        <w:rPr>
          <w:rFonts w:ascii="宋体" w:hAnsi="宋体" w:eastAsia="宋体"/>
          <w:color w:val="auto"/>
          <w:sz w:val="28"/>
          <w:szCs w:val="28"/>
          <w:lang w:eastAsia="zh-CN"/>
        </w:rPr>
        <w:t>不构成重大危险源。公司重点对危甲类仓库、甲类车间加以监控，为此建立了相应的安全管理制度及操作规程，通过层层签定责任状来落实，此外还设定专职安全员重点巡视关键点，负责人定期查阅《安全检查记录表》。</w:t>
      </w:r>
    </w:p>
    <w:p>
      <w:pPr>
        <w:spacing w:line="560" w:lineRule="exact"/>
        <w:ind w:firstLine="425" w:firstLineChars="152"/>
        <w:rPr>
          <w:rFonts w:ascii="宋体" w:hAnsi="宋体" w:eastAsia="宋体"/>
          <w:color w:val="auto"/>
          <w:sz w:val="28"/>
          <w:szCs w:val="28"/>
          <w:lang w:eastAsia="zh-CN"/>
        </w:rPr>
      </w:pPr>
      <w:r>
        <w:rPr>
          <w:rFonts w:ascii="宋体" w:hAnsi="宋体" w:eastAsia="宋体"/>
          <w:color w:val="auto"/>
          <w:sz w:val="28"/>
          <w:szCs w:val="28"/>
          <w:lang w:eastAsia="zh-CN"/>
        </w:rPr>
        <w:t>综上所述，华龙公司自取得安全生产许可证以来，日常安全生产管理情况符合要求。</w:t>
      </w:r>
    </w:p>
    <w:p>
      <w:pPr>
        <w:spacing w:line="560" w:lineRule="exact"/>
        <w:jc w:val="both"/>
        <w:outlineLvl w:val="1"/>
        <w:rPr>
          <w:rFonts w:ascii="楷体_GB2312" w:hAnsi="Times New Roman" w:eastAsia="楷体_GB2312" w:cs="Times New Roman"/>
          <w:bCs/>
          <w:color w:val="auto"/>
          <w:kern w:val="2"/>
          <w:sz w:val="32"/>
          <w:lang w:val="en-US" w:eastAsia="zh-CN" w:bidi="ar-SA"/>
        </w:rPr>
      </w:pPr>
      <w:bookmarkStart w:id="120" w:name="_Toc40045921"/>
      <w:r>
        <w:rPr>
          <w:rFonts w:ascii="楷体_GB2312" w:hAnsi="Times New Roman" w:eastAsia="楷体_GB2312" w:cs="Times New Roman"/>
          <w:bCs/>
          <w:color w:val="auto"/>
          <w:kern w:val="2"/>
          <w:sz w:val="32"/>
          <w:lang w:val="en-US" w:eastAsia="zh-CN" w:bidi="ar-SA"/>
        </w:rPr>
        <w:t>9.4生产安全事故情况</w:t>
      </w:r>
      <w:bookmarkEnd w:id="120"/>
    </w:p>
    <w:p>
      <w:pPr>
        <w:spacing w:line="560" w:lineRule="exact"/>
        <w:ind w:firstLine="425" w:firstLineChars="152"/>
        <w:rPr>
          <w:rFonts w:ascii="宋体" w:hAnsi="宋体" w:eastAsia="宋体"/>
          <w:color w:val="auto"/>
          <w:sz w:val="28"/>
          <w:szCs w:val="28"/>
          <w:lang w:eastAsia="zh-CN"/>
        </w:rPr>
      </w:pPr>
      <w:r>
        <w:rPr>
          <w:rFonts w:ascii="宋体" w:hAnsi="宋体" w:eastAsia="宋体"/>
          <w:color w:val="auto"/>
          <w:sz w:val="28"/>
          <w:szCs w:val="28"/>
          <w:lang w:eastAsia="zh-CN"/>
        </w:rPr>
        <w:t>华龙公司制定有事故管理制度，内容包括：事故的分类、事故的抢</w:t>
      </w:r>
      <w:bookmarkStart w:id="121" w:name="bookmark88"/>
      <w:r>
        <w:rPr>
          <w:rFonts w:ascii="宋体" w:hAnsi="宋体" w:eastAsia="宋体"/>
          <w:color w:val="auto"/>
          <w:sz w:val="28"/>
          <w:szCs w:val="28"/>
          <w:lang w:eastAsia="zh-CN"/>
        </w:rPr>
        <w:t>救、事故的报告、事故的调查、事故的处理、资料归档等；还制定有事故隐患整改制度，内容包括：事故隐患范围、事故隐患分类、隐患整改原则及要求、事故隐患的管理等；并制定有事故应急救援预案，配备了相应的应急救援设备，在发生事故时，能及时进行抢救。通过严格执行以上安全管理制度，能查出安全隐患并及时进行处理，有效预防事故的发生。</w:t>
      </w:r>
      <w:bookmarkEnd w:id="121"/>
    </w:p>
    <w:p>
      <w:pPr>
        <w:spacing w:line="560" w:lineRule="exact"/>
        <w:ind w:firstLine="425" w:firstLineChars="152"/>
        <w:rPr>
          <w:rFonts w:ascii="宋体" w:hAnsi="宋体" w:eastAsia="宋体"/>
          <w:color w:val="auto"/>
          <w:sz w:val="28"/>
          <w:szCs w:val="28"/>
          <w:lang w:eastAsia="zh-CN"/>
        </w:rPr>
      </w:pPr>
      <w:r>
        <w:rPr>
          <w:rFonts w:ascii="宋体" w:hAnsi="宋体" w:eastAsia="宋体"/>
          <w:color w:val="auto"/>
          <w:sz w:val="28"/>
          <w:szCs w:val="28"/>
          <w:lang w:eastAsia="zh-CN"/>
        </w:rPr>
        <w:t>在安全生产方面，公司建立三级管理责任制并设立安全奖励考核制度，严格执行安全生产责任制、管理制度及操作规程，保证劳动保护措施制度到位、执行到位，取证至今从未发生过生产安全事故，也没有发生过消防安全事故。</w:t>
      </w:r>
    </w:p>
    <w:p>
      <w:pPr>
        <w:spacing w:line="560" w:lineRule="exact"/>
        <w:ind w:firstLine="425" w:firstLineChars="152"/>
        <w:rPr>
          <w:rFonts w:ascii="宋体" w:hAnsi="宋体" w:eastAsia="宋体"/>
          <w:color w:val="auto"/>
          <w:sz w:val="28"/>
          <w:szCs w:val="28"/>
          <w:lang w:eastAsia="zh-CN"/>
        </w:rPr>
      </w:pPr>
      <w:r>
        <w:rPr>
          <w:rFonts w:ascii="宋体" w:hAnsi="宋体" w:eastAsia="宋体"/>
          <w:color w:val="auto"/>
          <w:sz w:val="28"/>
          <w:szCs w:val="28"/>
          <w:lang w:eastAsia="zh-CN"/>
        </w:rPr>
        <w:t>综上所述，华龙公司自取得安全生产许可证以来，从未发生过任何事故，安全状况良好。</w:t>
      </w:r>
    </w:p>
    <w:p>
      <w:pPr>
        <w:spacing w:line="560" w:lineRule="exact"/>
        <w:jc w:val="both"/>
        <w:outlineLvl w:val="1"/>
        <w:rPr>
          <w:rFonts w:ascii="楷体_GB2312" w:hAnsi="Times New Roman" w:eastAsia="楷体_GB2312" w:cs="Times New Roman"/>
          <w:bCs/>
          <w:color w:val="auto"/>
          <w:kern w:val="2"/>
          <w:sz w:val="32"/>
          <w:lang w:val="en-US" w:eastAsia="zh-CN" w:bidi="ar-SA"/>
        </w:rPr>
      </w:pPr>
      <w:bookmarkStart w:id="122" w:name="_Toc40045922"/>
      <w:bookmarkStart w:id="123" w:name="bookmark89"/>
      <w:r>
        <w:rPr>
          <w:rFonts w:ascii="楷体_GB2312" w:hAnsi="Times New Roman" w:eastAsia="楷体_GB2312" w:cs="Times New Roman"/>
          <w:bCs/>
          <w:color w:val="auto"/>
          <w:kern w:val="2"/>
          <w:sz w:val="32"/>
          <w:lang w:val="en-US" w:eastAsia="zh-CN" w:bidi="ar-SA"/>
        </w:rPr>
        <w:t>9.5从业人员安全条件(安全教育培训)情况</w:t>
      </w:r>
      <w:bookmarkEnd w:id="122"/>
      <w:bookmarkEnd w:id="123"/>
    </w:p>
    <w:p>
      <w:pPr>
        <w:spacing w:line="560" w:lineRule="exact"/>
        <w:ind w:firstLine="425" w:firstLineChars="152"/>
        <w:rPr>
          <w:rFonts w:ascii="宋体" w:hAnsi="宋体" w:eastAsia="宋体"/>
          <w:color w:val="auto"/>
          <w:sz w:val="28"/>
          <w:szCs w:val="28"/>
          <w:lang w:eastAsia="zh-CN"/>
        </w:rPr>
      </w:pPr>
      <w:r>
        <w:rPr>
          <w:rFonts w:ascii="宋体" w:hAnsi="宋体" w:eastAsia="宋体"/>
          <w:color w:val="auto"/>
          <w:sz w:val="28"/>
          <w:szCs w:val="28"/>
          <w:lang w:eastAsia="zh-CN"/>
        </w:rPr>
        <w:t>依据《危险化学品生产企业安全生产许可证实施办法》(安监总局令第41号，安监总局令第79号修改)、《关于认真贯彻危险化学品生产企业安全生产许可证实施办法的补充通知》(粤安监〔2012〕56号)、《关于规范危险化学品生产企业从业人员从业条件的指导意见》(粤安监〔2009〕374号)等的要求，本节对该公司人员进行安全条件专项分析，分级结果见表9-2。</w:t>
      </w:r>
    </w:p>
    <w:p>
      <w:pPr>
        <w:spacing w:line="560" w:lineRule="exact"/>
        <w:jc w:val="center"/>
        <w:rPr>
          <w:rFonts w:ascii="宋体" w:hAnsi="宋体" w:eastAsia="宋体"/>
          <w:b/>
          <w:color w:val="auto"/>
          <w:lang w:eastAsia="zh-CN"/>
        </w:rPr>
      </w:pPr>
      <w:r>
        <w:rPr>
          <w:rFonts w:ascii="宋体" w:hAnsi="宋体" w:eastAsia="宋体"/>
          <w:b/>
          <w:color w:val="auto"/>
          <w:lang w:eastAsia="zh-CN"/>
        </w:rPr>
        <w:t>表9</w:t>
      </w:r>
      <w:r>
        <w:rPr>
          <w:rFonts w:ascii="宋体" w:hAnsi="宋体" w:eastAsia="PMingLiU"/>
          <w:b/>
          <w:color w:val="auto"/>
        </w:rPr>
        <w:t>-</w:t>
      </w:r>
      <w:r>
        <w:rPr>
          <w:rFonts w:ascii="宋体" w:hAnsi="宋体" w:eastAsia="宋体"/>
          <w:b/>
          <w:color w:val="auto"/>
          <w:lang w:eastAsia="zh-CN"/>
        </w:rPr>
        <w:t>2从业人员安全条件分析表</w:t>
      </w:r>
    </w:p>
    <w:tbl>
      <w:tblPr>
        <w:tblStyle w:val="45"/>
        <w:tblW w:w="5000" w:type="pct"/>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 w:type="dxa"/>
          <w:bottom w:w="0" w:type="dxa"/>
          <w:right w:w="10" w:type="dxa"/>
        </w:tblCellMar>
      </w:tblPr>
      <w:tblGrid>
        <w:gridCol w:w="3625"/>
        <w:gridCol w:w="2448"/>
        <w:gridCol w:w="3125"/>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tblHeader/>
          <w:jc w:val="center"/>
        </w:trPr>
        <w:tc>
          <w:tcPr>
            <w:tcW w:w="3576" w:type="dxa"/>
            <w:shd w:val="clear" w:color="auto" w:fill="FFFFFF"/>
            <w:vAlign w:val="center"/>
          </w:tcPr>
          <w:p>
            <w:pPr>
              <w:spacing w:line="360" w:lineRule="exact"/>
              <w:jc w:val="center"/>
              <w:rPr>
                <w:rFonts w:ascii="宋体" w:hAnsi="宋体" w:eastAsia="宋体"/>
                <w:b/>
                <w:color w:val="auto"/>
                <w:sz w:val="21"/>
                <w:szCs w:val="21"/>
              </w:rPr>
            </w:pPr>
            <w:r>
              <w:rPr>
                <w:rFonts w:ascii="宋体" w:hAnsi="宋体" w:eastAsia="宋体"/>
                <w:b/>
                <w:color w:val="auto"/>
                <w:sz w:val="21"/>
                <w:szCs w:val="21"/>
              </w:rPr>
              <w:t>检查项目</w:t>
            </w:r>
          </w:p>
        </w:tc>
        <w:tc>
          <w:tcPr>
            <w:tcW w:w="2414" w:type="dxa"/>
            <w:shd w:val="clear" w:color="auto" w:fill="FFFFFF"/>
            <w:vAlign w:val="center"/>
          </w:tcPr>
          <w:p>
            <w:pPr>
              <w:spacing w:line="360" w:lineRule="exact"/>
              <w:jc w:val="center"/>
              <w:rPr>
                <w:rFonts w:ascii="宋体" w:hAnsi="宋体" w:eastAsia="宋体"/>
                <w:b/>
                <w:color w:val="auto"/>
                <w:sz w:val="21"/>
                <w:szCs w:val="21"/>
              </w:rPr>
            </w:pPr>
            <w:r>
              <w:rPr>
                <w:rFonts w:ascii="宋体" w:hAnsi="宋体" w:eastAsia="宋体"/>
                <w:b/>
                <w:color w:val="auto"/>
                <w:sz w:val="21"/>
                <w:szCs w:val="21"/>
              </w:rPr>
              <w:t>法律依据</w:t>
            </w:r>
          </w:p>
        </w:tc>
        <w:tc>
          <w:tcPr>
            <w:tcW w:w="3082" w:type="dxa"/>
            <w:shd w:val="clear" w:color="auto" w:fill="FFFFFF"/>
            <w:vAlign w:val="center"/>
          </w:tcPr>
          <w:p>
            <w:pPr>
              <w:spacing w:line="360" w:lineRule="exact"/>
              <w:jc w:val="center"/>
              <w:rPr>
                <w:rFonts w:ascii="宋体" w:hAnsi="宋体" w:eastAsia="宋体"/>
                <w:b/>
                <w:color w:val="auto"/>
                <w:sz w:val="21"/>
                <w:szCs w:val="21"/>
              </w:rPr>
            </w:pPr>
            <w:r>
              <w:rPr>
                <w:rFonts w:ascii="宋体" w:hAnsi="宋体" w:eastAsia="宋体"/>
                <w:b/>
                <w:color w:val="auto"/>
                <w:sz w:val="21"/>
                <w:szCs w:val="21"/>
              </w:rPr>
              <w:t>实际情况</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3576" w:type="dxa"/>
            <w:shd w:val="clear" w:color="auto" w:fill="FFFFFF"/>
            <w:vAlign w:val="center"/>
          </w:tcPr>
          <w:p>
            <w:pPr>
              <w:spacing w:line="360" w:lineRule="exact"/>
              <w:ind w:left="143" w:leftChars="59" w:right="62" w:rightChars="26" w:hanging="1"/>
              <w:rPr>
                <w:rFonts w:ascii="宋体" w:hAnsi="宋体" w:eastAsia="宋体"/>
                <w:color w:val="auto"/>
                <w:sz w:val="21"/>
                <w:szCs w:val="21"/>
              </w:rPr>
            </w:pPr>
            <w:r>
              <w:rPr>
                <w:rFonts w:ascii="宋体" w:hAnsi="宋体" w:eastAsia="宋体"/>
                <w:color w:val="auto"/>
                <w:sz w:val="21"/>
                <w:szCs w:val="21"/>
              </w:rPr>
              <w:t>1.企业主要负责人、分管安全负责人和安全生产管理人员必须具备与其从事的生产经营活动相适应的安全生产知识和管理能力，依法参加安全生产培训，并经考核合格，取得安全资格证书。</w:t>
            </w:r>
          </w:p>
        </w:tc>
        <w:tc>
          <w:tcPr>
            <w:tcW w:w="2414" w:type="dxa"/>
            <w:shd w:val="clear" w:color="auto" w:fill="FFFFFF"/>
            <w:vAlign w:val="center"/>
          </w:tcPr>
          <w:p>
            <w:pPr>
              <w:spacing w:line="360" w:lineRule="exact"/>
              <w:ind w:left="143" w:leftChars="59" w:right="62" w:rightChars="26" w:hanging="1"/>
              <w:rPr>
                <w:rFonts w:ascii="宋体" w:hAnsi="宋体" w:eastAsia="宋体"/>
                <w:color w:val="auto"/>
                <w:sz w:val="21"/>
                <w:szCs w:val="21"/>
              </w:rPr>
            </w:pPr>
            <w:r>
              <w:rPr>
                <w:rFonts w:ascii="宋体" w:hAnsi="宋体" w:eastAsia="宋体"/>
                <w:color w:val="auto"/>
                <w:sz w:val="21"/>
                <w:szCs w:val="21"/>
              </w:rPr>
              <w:t>《危险化学品生产企业安全生产许可证实施办法》(安监总局令第41号，安监总局令第79号修改)</w:t>
            </w:r>
          </w:p>
        </w:tc>
        <w:tc>
          <w:tcPr>
            <w:tcW w:w="3082" w:type="dxa"/>
            <w:shd w:val="clear" w:color="auto" w:fill="FFFFFF"/>
            <w:vAlign w:val="center"/>
          </w:tcPr>
          <w:p>
            <w:pPr>
              <w:spacing w:line="360" w:lineRule="exact"/>
              <w:ind w:left="143" w:leftChars="59" w:right="62" w:rightChars="26" w:hanging="1"/>
              <w:rPr>
                <w:rFonts w:ascii="宋体" w:hAnsi="宋体" w:eastAsia="宋体"/>
                <w:color w:val="auto"/>
                <w:sz w:val="21"/>
                <w:szCs w:val="21"/>
              </w:rPr>
            </w:pPr>
            <w:r>
              <w:rPr>
                <w:rFonts w:hint="eastAsia" w:ascii="宋体" w:hAnsi="宋体" w:eastAsia="宋体"/>
                <w:color w:val="auto"/>
                <w:sz w:val="21"/>
                <w:szCs w:val="21"/>
                <w:lang w:eastAsia="zh-CN"/>
              </w:rPr>
              <w:t>1.</w:t>
            </w:r>
            <w:r>
              <w:rPr>
                <w:rFonts w:ascii="宋体" w:hAnsi="宋体" w:eastAsia="宋体"/>
                <w:color w:val="auto"/>
                <w:sz w:val="21"/>
                <w:szCs w:val="21"/>
              </w:rPr>
              <w:t>企业主要负责人</w:t>
            </w:r>
            <w:r>
              <w:rPr>
                <w:rFonts w:hint="eastAsia" w:ascii="宋体" w:hAnsi="宋体" w:eastAsia="宋体"/>
                <w:color w:val="auto"/>
                <w:sz w:val="21"/>
                <w:szCs w:val="21"/>
                <w:lang w:eastAsia="zh-CN"/>
              </w:rPr>
              <w:t>、</w:t>
            </w:r>
            <w:r>
              <w:rPr>
                <w:rFonts w:ascii="宋体" w:hAnsi="宋体" w:eastAsia="宋体"/>
                <w:color w:val="auto"/>
                <w:sz w:val="21"/>
                <w:szCs w:val="21"/>
              </w:rPr>
              <w:t>安全</w:t>
            </w:r>
            <w:r>
              <w:rPr>
                <w:rFonts w:hint="eastAsia" w:ascii="宋体" w:hAnsi="宋体" w:eastAsia="宋体"/>
                <w:color w:val="auto"/>
                <w:sz w:val="21"/>
                <w:szCs w:val="21"/>
                <w:lang w:eastAsia="zh-CN"/>
              </w:rPr>
              <w:t>管理人员均有培训合格证</w:t>
            </w:r>
            <w:r>
              <w:rPr>
                <w:rFonts w:ascii="宋体" w:hAnsi="宋体" w:eastAsia="宋体"/>
                <w:color w:val="auto"/>
                <w:sz w:val="21"/>
                <w:szCs w:val="21"/>
              </w:rPr>
              <w:t>，主要负责人和</w:t>
            </w:r>
            <w:r>
              <w:rPr>
                <w:rFonts w:hint="eastAsia" w:ascii="宋体" w:hAnsi="宋体" w:eastAsia="宋体"/>
                <w:color w:val="auto"/>
                <w:sz w:val="21"/>
                <w:szCs w:val="21"/>
                <w:lang w:eastAsia="zh-CN"/>
              </w:rPr>
              <w:t>安全管理人员</w:t>
            </w:r>
            <w:r>
              <w:rPr>
                <w:rFonts w:ascii="宋体" w:hAnsi="宋体" w:eastAsia="宋体"/>
                <w:color w:val="auto"/>
                <w:sz w:val="21"/>
                <w:szCs w:val="21"/>
              </w:rPr>
              <w:t>具备与其从事的生产经营活动相适应的安全生产知识和管理能力；</w:t>
            </w:r>
          </w:p>
          <w:p>
            <w:pPr>
              <w:spacing w:line="360" w:lineRule="exact"/>
              <w:ind w:left="143" w:leftChars="59" w:right="62" w:rightChars="26" w:hanging="1"/>
              <w:rPr>
                <w:rFonts w:ascii="宋体" w:hAnsi="宋体" w:eastAsia="宋体"/>
                <w:color w:val="auto"/>
                <w:sz w:val="21"/>
                <w:szCs w:val="21"/>
              </w:rPr>
            </w:pPr>
            <w:r>
              <w:rPr>
                <w:rFonts w:hint="eastAsia" w:ascii="宋体" w:hAnsi="宋体" w:eastAsia="宋体"/>
                <w:color w:val="auto"/>
                <w:sz w:val="21"/>
                <w:szCs w:val="21"/>
                <w:lang w:eastAsia="zh-CN"/>
              </w:rPr>
              <w:t>2.</w:t>
            </w:r>
            <w:r>
              <w:rPr>
                <w:rFonts w:ascii="宋体" w:hAnsi="宋体" w:eastAsia="宋体"/>
                <w:color w:val="auto"/>
                <w:sz w:val="21"/>
                <w:szCs w:val="21"/>
              </w:rPr>
              <w:t>专职安全管理经过培训，并考核合格。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3576" w:type="dxa"/>
            <w:shd w:val="clear" w:color="auto" w:fill="FFFFFF"/>
            <w:vAlign w:val="center"/>
          </w:tcPr>
          <w:p>
            <w:pPr>
              <w:spacing w:line="360" w:lineRule="exact"/>
              <w:ind w:left="143" w:leftChars="59" w:right="62" w:rightChars="26" w:hanging="1"/>
              <w:rPr>
                <w:rFonts w:ascii="宋体" w:hAnsi="宋体" w:eastAsia="宋体"/>
                <w:color w:val="auto"/>
                <w:sz w:val="21"/>
                <w:szCs w:val="21"/>
              </w:rPr>
            </w:pPr>
            <w:bookmarkStart w:id="124" w:name="bookmark90"/>
            <w:r>
              <w:rPr>
                <w:rFonts w:ascii="宋体" w:hAnsi="宋体" w:eastAsia="宋体"/>
                <w:color w:val="auto"/>
                <w:sz w:val="21"/>
                <w:szCs w:val="21"/>
              </w:rPr>
              <w:t>2.企业分管安全负责人、分管生产负责人、分管技术负责人应当具有一定的化工专业知识或者相应的专业学历，专职安全生产管理人员应当具备国民教育化工化学类(或安全工程)中等职业教育以上学历或者化工化学类中级以上专业技术职称，或者具备危险物品安全类注册安全工程师资格。</w:t>
            </w:r>
            <w:bookmarkEnd w:id="124"/>
          </w:p>
        </w:tc>
        <w:tc>
          <w:tcPr>
            <w:tcW w:w="2414" w:type="dxa"/>
            <w:shd w:val="clear" w:color="auto" w:fill="FFFFFF"/>
            <w:vAlign w:val="center"/>
          </w:tcPr>
          <w:p>
            <w:pPr>
              <w:spacing w:line="360" w:lineRule="exact"/>
              <w:ind w:left="143" w:leftChars="59" w:right="62" w:rightChars="26" w:hanging="1"/>
              <w:rPr>
                <w:rFonts w:ascii="宋体" w:hAnsi="宋体" w:eastAsia="宋体"/>
                <w:color w:val="auto"/>
                <w:sz w:val="21"/>
                <w:szCs w:val="21"/>
              </w:rPr>
            </w:pPr>
            <w:r>
              <w:rPr>
                <w:rFonts w:ascii="宋体" w:hAnsi="宋体" w:eastAsia="宋体"/>
                <w:color w:val="auto"/>
                <w:sz w:val="21"/>
                <w:szCs w:val="21"/>
              </w:rPr>
              <w:t>《危险化学品生产企业安全生产许可证实施办法》(安监总局令第41号，安监总局令第79号修改)</w:t>
            </w:r>
          </w:p>
        </w:tc>
        <w:tc>
          <w:tcPr>
            <w:tcW w:w="3082" w:type="dxa"/>
            <w:shd w:val="clear" w:color="auto" w:fill="FFFFFF"/>
            <w:vAlign w:val="center"/>
          </w:tcPr>
          <w:p>
            <w:pPr>
              <w:spacing w:line="360" w:lineRule="exact"/>
              <w:ind w:left="143" w:leftChars="59" w:right="62" w:rightChars="26" w:hanging="1"/>
              <w:rPr>
                <w:rFonts w:ascii="宋体" w:hAnsi="宋体" w:eastAsia="宋体"/>
                <w:color w:val="auto"/>
                <w:sz w:val="21"/>
                <w:szCs w:val="21"/>
              </w:rPr>
            </w:pPr>
            <w:r>
              <w:rPr>
                <w:rFonts w:ascii="宋体" w:hAnsi="宋体" w:eastAsia="宋体"/>
                <w:color w:val="auto"/>
                <w:sz w:val="21"/>
                <w:szCs w:val="21"/>
              </w:rPr>
              <w:t>该公司主要负责人、</w:t>
            </w:r>
            <w:r>
              <w:rPr>
                <w:rFonts w:hint="eastAsia" w:ascii="宋体" w:hAnsi="宋体" w:eastAsia="宋体"/>
                <w:color w:val="auto"/>
                <w:sz w:val="21"/>
                <w:szCs w:val="21"/>
                <w:lang w:eastAsia="zh-CN"/>
              </w:rPr>
              <w:t>安全管理人员</w:t>
            </w:r>
            <w:r>
              <w:rPr>
                <w:rFonts w:ascii="宋体" w:hAnsi="宋体" w:eastAsia="宋体"/>
                <w:color w:val="auto"/>
                <w:sz w:val="21"/>
                <w:szCs w:val="21"/>
              </w:rPr>
              <w:t>具有从事化工生产行业多年生产经验，具有相关的化工专业知识。专职安全管理人员具备注册安全工程师资格。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3576" w:type="dxa"/>
            <w:shd w:val="clear" w:color="auto" w:fill="FFFFFF"/>
            <w:vAlign w:val="center"/>
          </w:tcPr>
          <w:p>
            <w:pPr>
              <w:spacing w:line="360" w:lineRule="exact"/>
              <w:ind w:left="143" w:leftChars="59" w:right="62" w:rightChars="26" w:hanging="1"/>
              <w:rPr>
                <w:rFonts w:ascii="宋体" w:hAnsi="宋体" w:eastAsia="宋体"/>
                <w:color w:val="auto"/>
                <w:sz w:val="21"/>
                <w:szCs w:val="21"/>
              </w:rPr>
            </w:pPr>
            <w:r>
              <w:rPr>
                <w:rFonts w:ascii="宋体" w:hAnsi="宋体" w:eastAsia="宋体"/>
                <w:color w:val="auto"/>
                <w:sz w:val="21"/>
                <w:szCs w:val="21"/>
              </w:rPr>
              <w:t>3.作业人员应当依照《特种作业人员安全技术培训考核管理规定》，经专门的安全技术培训并考核合格，取得特种作业操作证书。</w:t>
            </w:r>
          </w:p>
        </w:tc>
        <w:tc>
          <w:tcPr>
            <w:tcW w:w="2414" w:type="dxa"/>
            <w:shd w:val="clear" w:color="auto" w:fill="FFFFFF"/>
            <w:vAlign w:val="center"/>
          </w:tcPr>
          <w:p>
            <w:pPr>
              <w:spacing w:line="360" w:lineRule="exact"/>
              <w:ind w:left="143" w:leftChars="59" w:right="62" w:rightChars="26" w:hanging="1"/>
              <w:rPr>
                <w:rFonts w:ascii="宋体" w:hAnsi="宋体" w:eastAsia="宋体"/>
                <w:color w:val="auto"/>
                <w:sz w:val="21"/>
                <w:szCs w:val="21"/>
              </w:rPr>
            </w:pPr>
            <w:r>
              <w:rPr>
                <w:rFonts w:ascii="宋体" w:hAnsi="宋体" w:eastAsia="宋体"/>
                <w:color w:val="auto"/>
                <w:sz w:val="21"/>
                <w:szCs w:val="21"/>
              </w:rPr>
              <w:t>《危险化学品生产企业安全生产许可证实施办法》(安监总局令第41号，安监总局令第79号修改)</w:t>
            </w:r>
          </w:p>
        </w:tc>
        <w:tc>
          <w:tcPr>
            <w:tcW w:w="3082" w:type="dxa"/>
            <w:shd w:val="clear" w:color="auto" w:fill="FFFFFF"/>
            <w:vAlign w:val="center"/>
          </w:tcPr>
          <w:p>
            <w:pPr>
              <w:spacing w:line="360" w:lineRule="exact"/>
              <w:ind w:left="143" w:leftChars="59" w:right="62" w:rightChars="26" w:hanging="1"/>
              <w:rPr>
                <w:rFonts w:ascii="宋体" w:hAnsi="宋体" w:eastAsia="宋体"/>
                <w:color w:val="auto"/>
                <w:sz w:val="21"/>
                <w:szCs w:val="21"/>
              </w:rPr>
            </w:pPr>
            <w:r>
              <w:rPr>
                <w:rFonts w:ascii="宋体" w:hAnsi="宋体" w:eastAsia="宋体"/>
                <w:color w:val="auto"/>
                <w:sz w:val="21"/>
                <w:szCs w:val="21"/>
              </w:rPr>
              <w:t>该公司特种作业人员有资格证书。</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3576" w:type="dxa"/>
            <w:shd w:val="clear" w:color="auto" w:fill="FFFFFF"/>
            <w:vAlign w:val="center"/>
          </w:tcPr>
          <w:p>
            <w:pPr>
              <w:spacing w:line="360" w:lineRule="exact"/>
              <w:ind w:left="143" w:leftChars="59" w:right="62" w:rightChars="26" w:hanging="1"/>
              <w:rPr>
                <w:rFonts w:ascii="宋体" w:hAnsi="宋体" w:eastAsia="宋体"/>
                <w:color w:val="auto"/>
                <w:sz w:val="21"/>
                <w:szCs w:val="21"/>
              </w:rPr>
            </w:pPr>
            <w:r>
              <w:rPr>
                <w:rFonts w:ascii="宋体" w:hAnsi="宋体" w:eastAsia="宋体"/>
                <w:color w:val="auto"/>
                <w:sz w:val="21"/>
                <w:szCs w:val="21"/>
              </w:rPr>
              <w:t>4.从业人员应当按照国家有关规定，经安全教育培训合格。</w:t>
            </w:r>
          </w:p>
        </w:tc>
        <w:tc>
          <w:tcPr>
            <w:tcW w:w="2414" w:type="dxa"/>
            <w:shd w:val="clear" w:color="auto" w:fill="FFFFFF"/>
            <w:vAlign w:val="center"/>
          </w:tcPr>
          <w:p>
            <w:pPr>
              <w:spacing w:line="360" w:lineRule="exact"/>
              <w:ind w:left="143" w:leftChars="59" w:right="62" w:rightChars="26" w:hanging="1"/>
              <w:rPr>
                <w:rFonts w:ascii="宋体" w:hAnsi="宋体" w:eastAsia="宋体"/>
                <w:color w:val="auto"/>
                <w:sz w:val="21"/>
                <w:szCs w:val="21"/>
              </w:rPr>
            </w:pPr>
            <w:r>
              <w:rPr>
                <w:rFonts w:ascii="宋体" w:hAnsi="宋体" w:eastAsia="宋体"/>
                <w:color w:val="auto"/>
                <w:sz w:val="21"/>
                <w:szCs w:val="21"/>
              </w:rPr>
              <w:t>《关于规范危险化学品生产企业从业人员从业条件的指导意见》(粤安监〔2009〕374号)</w:t>
            </w:r>
          </w:p>
        </w:tc>
        <w:tc>
          <w:tcPr>
            <w:tcW w:w="3082" w:type="dxa"/>
            <w:shd w:val="clear" w:color="auto" w:fill="FFFFFF"/>
            <w:vAlign w:val="center"/>
          </w:tcPr>
          <w:p>
            <w:pPr>
              <w:spacing w:line="360" w:lineRule="exact"/>
              <w:ind w:left="143" w:leftChars="59" w:right="62" w:rightChars="26" w:hanging="1"/>
              <w:rPr>
                <w:rFonts w:ascii="宋体" w:hAnsi="宋体" w:eastAsia="宋体"/>
                <w:color w:val="auto"/>
                <w:sz w:val="21"/>
                <w:szCs w:val="21"/>
              </w:rPr>
            </w:pPr>
            <w:r>
              <w:rPr>
                <w:rFonts w:ascii="宋体" w:hAnsi="宋体" w:eastAsia="宋体"/>
                <w:color w:val="auto"/>
                <w:sz w:val="21"/>
                <w:szCs w:val="21"/>
              </w:rPr>
              <w:t>该公司员工全部经过公司培训合格。</w:t>
            </w:r>
          </w:p>
        </w:tc>
      </w:tr>
    </w:tbl>
    <w:p>
      <w:pPr>
        <w:spacing w:line="550" w:lineRule="exact"/>
        <w:ind w:firstLine="425" w:firstLineChars="152"/>
        <w:rPr>
          <w:rFonts w:ascii="宋体" w:hAnsi="宋体" w:eastAsia="宋体"/>
          <w:color w:val="auto"/>
          <w:sz w:val="28"/>
          <w:szCs w:val="28"/>
          <w:lang w:eastAsia="zh-CN"/>
        </w:rPr>
      </w:pPr>
      <w:r>
        <w:rPr>
          <w:rFonts w:ascii="宋体" w:hAnsi="宋体" w:eastAsia="宋体"/>
          <w:color w:val="auto"/>
          <w:sz w:val="28"/>
          <w:szCs w:val="28"/>
          <w:lang w:eastAsia="zh-CN"/>
        </w:rPr>
        <w:t>通过上述核对检查该公司从业人员基本情况，该公司主要负责人、安全管理人员、特种作业人员都持有相关证书。专职安全管理人员具备注册安全工程师资格，满足国家、省市安监部门对安全管理人员资质的要求。</w:t>
      </w:r>
    </w:p>
    <w:p>
      <w:pPr>
        <w:spacing w:line="550" w:lineRule="exact"/>
        <w:ind w:firstLine="425" w:firstLineChars="152"/>
        <w:rPr>
          <w:rFonts w:ascii="宋体" w:hAnsi="宋体" w:eastAsia="宋体"/>
          <w:color w:val="auto"/>
          <w:sz w:val="28"/>
          <w:szCs w:val="28"/>
          <w:lang w:eastAsia="zh-CN"/>
        </w:rPr>
      </w:pPr>
      <w:r>
        <w:rPr>
          <w:rFonts w:ascii="宋体" w:hAnsi="宋体" w:eastAsia="宋体"/>
          <w:color w:val="auto"/>
          <w:sz w:val="28"/>
          <w:szCs w:val="28"/>
          <w:lang w:eastAsia="zh-CN"/>
        </w:rPr>
        <w:t>综上所述，华龙公司自领安全生产许可证以来，从业人员的安全教育培训符合要求。</w:t>
      </w:r>
    </w:p>
    <w:p>
      <w:pPr>
        <w:spacing w:line="550" w:lineRule="exact"/>
        <w:jc w:val="both"/>
        <w:outlineLvl w:val="1"/>
        <w:rPr>
          <w:rFonts w:ascii="楷体_GB2312" w:hAnsi="Times New Roman" w:eastAsia="楷体_GB2312" w:cs="Times New Roman"/>
          <w:bCs/>
          <w:color w:val="auto"/>
          <w:kern w:val="2"/>
          <w:sz w:val="32"/>
          <w:lang w:val="en-US" w:eastAsia="zh-CN" w:bidi="ar-SA"/>
        </w:rPr>
      </w:pPr>
      <w:bookmarkStart w:id="125" w:name="_Toc40045923"/>
      <w:bookmarkStart w:id="126" w:name="bookmark91"/>
      <w:r>
        <w:rPr>
          <w:rFonts w:ascii="楷体_GB2312" w:hAnsi="Times New Roman" w:eastAsia="楷体_GB2312" w:cs="Times New Roman"/>
          <w:bCs/>
          <w:color w:val="auto"/>
          <w:kern w:val="2"/>
          <w:sz w:val="32"/>
          <w:lang w:val="en-US" w:eastAsia="zh-CN" w:bidi="ar-SA"/>
        </w:rPr>
        <w:t>9.6事故应急救援预案培训和演练情况</w:t>
      </w:r>
      <w:bookmarkEnd w:id="125"/>
      <w:bookmarkEnd w:id="126"/>
    </w:p>
    <w:p>
      <w:pPr>
        <w:spacing w:line="550" w:lineRule="exact"/>
        <w:ind w:firstLine="425" w:firstLineChars="152"/>
        <w:rPr>
          <w:rFonts w:ascii="宋体" w:hAnsi="宋体" w:eastAsia="宋体"/>
          <w:color w:val="auto"/>
          <w:sz w:val="28"/>
          <w:szCs w:val="28"/>
          <w:lang w:eastAsia="zh-CN"/>
        </w:rPr>
      </w:pPr>
      <w:r>
        <w:rPr>
          <w:rFonts w:ascii="宋体" w:hAnsi="宋体" w:eastAsia="宋体"/>
          <w:color w:val="auto"/>
          <w:sz w:val="28"/>
          <w:szCs w:val="28"/>
          <w:lang w:eastAsia="zh-CN"/>
        </w:rPr>
        <w:t>华龙公司按照《生产经营单位安全生产事故应急预案编制导则》(GB/T29639-2013)的要求编制了《华龙公司生产安全事故应急预案》，预案经审查通过，取得了《生产经营单位生产安全事故应急预案备案登记表》。</w:t>
      </w:r>
    </w:p>
    <w:p>
      <w:pPr>
        <w:spacing w:line="550" w:lineRule="exact"/>
        <w:ind w:firstLine="425" w:firstLineChars="152"/>
        <w:rPr>
          <w:rFonts w:ascii="宋体" w:hAnsi="宋体" w:eastAsia="宋体"/>
          <w:color w:val="auto"/>
          <w:sz w:val="28"/>
          <w:szCs w:val="28"/>
          <w:lang w:eastAsia="zh-CN"/>
        </w:rPr>
      </w:pPr>
      <w:r>
        <w:rPr>
          <w:rFonts w:ascii="宋体" w:hAnsi="宋体" w:eastAsia="宋体"/>
          <w:color w:val="auto"/>
          <w:sz w:val="28"/>
          <w:szCs w:val="28"/>
          <w:lang w:eastAsia="zh-CN"/>
        </w:rPr>
        <w:t>华龙公司成立了应急救援组织，设置了应急救援人员，确定了各应</w:t>
      </w:r>
      <w:bookmarkStart w:id="127" w:name="bookmark92"/>
      <w:r>
        <w:rPr>
          <w:rFonts w:ascii="宋体" w:hAnsi="宋体" w:eastAsia="宋体"/>
          <w:color w:val="auto"/>
          <w:sz w:val="28"/>
          <w:szCs w:val="28"/>
          <w:lang w:eastAsia="zh-CN"/>
        </w:rPr>
        <w:t>急救援人员的职责。公司成立了以公司主要负责人为总指挥的事故应急救援指挥机构。</w:t>
      </w:r>
      <w:bookmarkEnd w:id="127"/>
      <w:r>
        <w:rPr>
          <w:rFonts w:ascii="宋体" w:hAnsi="宋体" w:eastAsia="宋体"/>
          <w:color w:val="auto"/>
          <w:sz w:val="28"/>
          <w:szCs w:val="28"/>
          <w:lang w:eastAsia="zh-CN"/>
        </w:rPr>
        <w:t>公司按计划对综合应急预案每年演练一次，现场处置方案每半年演练一次。演练结束后，对演练过程进行总结评估，提出改进意见。有相关演练记录。</w:t>
      </w:r>
    </w:p>
    <w:p>
      <w:pPr>
        <w:spacing w:line="550" w:lineRule="exact"/>
        <w:ind w:firstLine="425" w:firstLineChars="152"/>
        <w:rPr>
          <w:rFonts w:ascii="宋体" w:hAnsi="宋体" w:eastAsia="宋体"/>
          <w:color w:val="auto"/>
          <w:sz w:val="28"/>
          <w:szCs w:val="28"/>
          <w:lang w:eastAsia="zh-CN"/>
        </w:rPr>
      </w:pPr>
      <w:r>
        <w:rPr>
          <w:rFonts w:ascii="宋体" w:hAnsi="宋体" w:eastAsia="宋体"/>
          <w:color w:val="auto"/>
          <w:sz w:val="28"/>
          <w:szCs w:val="28"/>
          <w:lang w:eastAsia="zh-CN"/>
        </w:rPr>
        <w:t>综上所述，华龙公司根据自己的实际情况，制定了事故应急救援预案，并组织员工学习，定期进行演练，其自取得安全生产许可证以来，事故应急救援预案培训及演练情况符合华龙公司应急救援的实际要求。</w:t>
      </w:r>
    </w:p>
    <w:p>
      <w:pPr>
        <w:spacing w:line="550" w:lineRule="exact"/>
        <w:ind w:firstLine="425" w:firstLineChars="152"/>
        <w:rPr>
          <w:rFonts w:ascii="宋体" w:hAnsi="宋体" w:eastAsia="宋体"/>
          <w:color w:val="auto"/>
          <w:sz w:val="28"/>
          <w:szCs w:val="28"/>
          <w:lang w:eastAsia="zh-CN"/>
        </w:rPr>
      </w:pPr>
      <w:r>
        <w:rPr>
          <w:rFonts w:ascii="宋体" w:hAnsi="宋体" w:eastAsia="宋体"/>
          <w:color w:val="auto"/>
          <w:sz w:val="28"/>
          <w:szCs w:val="28"/>
          <w:lang w:eastAsia="zh-CN"/>
        </w:rPr>
        <w:t>在事故应急救援预案培训和演练方面，严格执行预案各项基础工作。公司每年举行两次全员参加的消防大演习，并对演习效果进行评价。</w:t>
      </w:r>
    </w:p>
    <w:p>
      <w:pPr>
        <w:spacing w:line="550" w:lineRule="exact"/>
        <w:jc w:val="both"/>
        <w:outlineLvl w:val="1"/>
        <w:rPr>
          <w:rFonts w:ascii="楷体_GB2312" w:hAnsi="Times New Roman" w:eastAsia="楷体_GB2312" w:cs="Times New Roman"/>
          <w:bCs/>
          <w:color w:val="auto"/>
          <w:kern w:val="2"/>
          <w:sz w:val="32"/>
          <w:lang w:val="en-US" w:eastAsia="zh-CN" w:bidi="ar-SA"/>
        </w:rPr>
      </w:pPr>
      <w:bookmarkStart w:id="128" w:name="_Toc40045924"/>
      <w:r>
        <w:rPr>
          <w:rFonts w:ascii="楷体_GB2312" w:hAnsi="Times New Roman" w:eastAsia="楷体_GB2312" w:cs="Times New Roman"/>
          <w:bCs/>
          <w:color w:val="auto"/>
          <w:kern w:val="2"/>
          <w:sz w:val="32"/>
          <w:lang w:val="en-US" w:eastAsia="zh-CN" w:bidi="ar-SA"/>
        </w:rPr>
        <w:t>9.7生产范围、生产场所、生产装置、储存设施等发生变化情况</w:t>
      </w:r>
      <w:bookmarkEnd w:id="128"/>
    </w:p>
    <w:p>
      <w:pPr>
        <w:spacing w:line="550" w:lineRule="exact"/>
        <w:ind w:firstLine="425" w:firstLineChars="152"/>
        <w:rPr>
          <w:rFonts w:ascii="宋体" w:hAnsi="宋体" w:eastAsia="宋体"/>
          <w:color w:val="auto"/>
          <w:sz w:val="28"/>
          <w:szCs w:val="28"/>
          <w:lang w:eastAsia="zh-CN"/>
        </w:rPr>
      </w:pPr>
      <w:r>
        <w:rPr>
          <w:rFonts w:ascii="宋体" w:hAnsi="宋体" w:eastAsia="宋体"/>
          <w:color w:val="auto"/>
          <w:sz w:val="28"/>
          <w:szCs w:val="28"/>
          <w:lang w:eastAsia="zh-CN"/>
        </w:rPr>
        <w:t>华龙公司严格按照生产许可证核准的范围进行生产，没有擅自改变生产工艺流程，没有擅自扩大生产规模，生产作业场所、储存场所保持领取安全生产许可证时的状态。</w:t>
      </w:r>
    </w:p>
    <w:p>
      <w:pPr>
        <w:spacing w:line="550" w:lineRule="exact"/>
        <w:ind w:firstLine="425" w:firstLineChars="152"/>
        <w:rPr>
          <w:rFonts w:ascii="宋体" w:hAnsi="宋体" w:eastAsia="宋体"/>
          <w:color w:val="auto"/>
          <w:sz w:val="28"/>
          <w:szCs w:val="28"/>
          <w:lang w:eastAsia="zh-CN"/>
        </w:rPr>
      </w:pPr>
      <w:r>
        <w:rPr>
          <w:rFonts w:ascii="宋体" w:hAnsi="宋体" w:eastAsia="宋体"/>
          <w:color w:val="auto"/>
          <w:sz w:val="28"/>
          <w:szCs w:val="28"/>
          <w:lang w:eastAsia="zh-CN"/>
        </w:rPr>
        <w:t>在本次换证评价阶段，单位主要负责人为覃国振，保持原有的生产设备和工艺。其生产设备满足安全生产条件。</w:t>
      </w:r>
    </w:p>
    <w:p>
      <w:pPr>
        <w:spacing w:line="550" w:lineRule="exact"/>
        <w:jc w:val="both"/>
        <w:outlineLvl w:val="1"/>
        <w:rPr>
          <w:rFonts w:ascii="楷体_GB2312" w:hAnsi="Times New Roman" w:eastAsia="楷体_GB2312" w:cs="Times New Roman"/>
          <w:bCs/>
          <w:color w:val="auto"/>
          <w:kern w:val="2"/>
          <w:sz w:val="32"/>
          <w:lang w:val="en-US" w:eastAsia="zh-CN" w:bidi="ar-SA"/>
        </w:rPr>
      </w:pPr>
      <w:bookmarkStart w:id="129" w:name="_Toc40045925"/>
      <w:r>
        <w:rPr>
          <w:rFonts w:ascii="楷体_GB2312" w:hAnsi="Times New Roman" w:eastAsia="楷体_GB2312" w:cs="Times New Roman"/>
          <w:bCs/>
          <w:color w:val="auto"/>
          <w:kern w:val="2"/>
          <w:sz w:val="32"/>
          <w:lang w:val="en-US" w:eastAsia="zh-CN" w:bidi="ar-SA"/>
        </w:rPr>
        <w:t>9.8重点监管的危险化学品采取的安全监控措施情况</w:t>
      </w:r>
      <w:bookmarkEnd w:id="129"/>
    </w:p>
    <w:p>
      <w:pPr>
        <w:spacing w:line="550" w:lineRule="exact"/>
        <w:ind w:firstLine="425" w:firstLineChars="152"/>
        <w:rPr>
          <w:rFonts w:ascii="宋体" w:hAnsi="宋体" w:eastAsia="宋体"/>
          <w:color w:val="auto"/>
          <w:sz w:val="28"/>
          <w:szCs w:val="28"/>
          <w:lang w:eastAsia="zh-CN"/>
        </w:rPr>
      </w:pPr>
      <w:r>
        <w:rPr>
          <w:rFonts w:ascii="宋体" w:hAnsi="宋体" w:eastAsia="宋体"/>
          <w:color w:val="auto"/>
          <w:sz w:val="28"/>
          <w:szCs w:val="28"/>
          <w:lang w:eastAsia="zh-CN"/>
        </w:rPr>
        <w:t>华龙公司原料中</w:t>
      </w:r>
      <w:r>
        <w:rPr>
          <w:rFonts w:hint="eastAsia" w:ascii="宋体" w:hAnsi="宋体" w:eastAsia="宋体"/>
          <w:color w:val="auto"/>
          <w:sz w:val="28"/>
          <w:szCs w:val="28"/>
          <w:lang w:eastAsia="zh-CN"/>
        </w:rPr>
        <w:t>苯乙烯[抑制了的]（358）、乙酸乙酯（2651）、硝化纤维素溶液</w:t>
      </w:r>
      <w:r>
        <w:rPr>
          <w:rFonts w:ascii="宋体" w:hAnsi="宋体" w:eastAsia="宋体"/>
          <w:color w:val="auto"/>
          <w:sz w:val="28"/>
          <w:szCs w:val="28"/>
          <w:lang w:eastAsia="zh-CN"/>
        </w:rPr>
        <w:t>[</w:t>
      </w:r>
      <w:r>
        <w:rPr>
          <w:rFonts w:hint="eastAsia" w:ascii="宋体" w:hAnsi="宋体" w:eastAsia="宋体"/>
          <w:color w:val="auto"/>
          <w:sz w:val="28"/>
          <w:szCs w:val="28"/>
          <w:lang w:eastAsia="zh-CN"/>
        </w:rPr>
        <w:t>含氮量≤</w:t>
      </w:r>
      <w:r>
        <w:rPr>
          <w:rFonts w:ascii="宋体" w:hAnsi="宋体" w:eastAsia="宋体"/>
          <w:color w:val="auto"/>
          <w:sz w:val="28"/>
          <w:szCs w:val="28"/>
          <w:lang w:eastAsia="zh-CN"/>
        </w:rPr>
        <w:t>12.6%</w:t>
      </w:r>
      <w:r>
        <w:rPr>
          <w:rFonts w:hint="eastAsia" w:ascii="宋体" w:hAnsi="宋体" w:eastAsia="宋体"/>
          <w:color w:val="auto"/>
          <w:sz w:val="28"/>
          <w:szCs w:val="28"/>
          <w:lang w:eastAsia="zh-CN"/>
        </w:rPr>
        <w:t>，含硝化纤维素≤</w:t>
      </w:r>
      <w:r>
        <w:rPr>
          <w:rFonts w:ascii="宋体" w:hAnsi="宋体" w:eastAsia="宋体"/>
          <w:color w:val="auto"/>
          <w:sz w:val="28"/>
          <w:szCs w:val="28"/>
          <w:lang w:eastAsia="zh-CN"/>
        </w:rPr>
        <w:t>55%]</w:t>
      </w:r>
      <w:r>
        <w:rPr>
          <w:rFonts w:hint="eastAsia" w:ascii="宋体" w:hAnsi="宋体" w:eastAsia="宋体"/>
          <w:color w:val="auto"/>
          <w:sz w:val="28"/>
          <w:szCs w:val="28"/>
          <w:lang w:eastAsia="zh-CN"/>
        </w:rPr>
        <w:t>（2</w:t>
      </w:r>
      <w:r>
        <w:rPr>
          <w:rFonts w:hint="eastAsia" w:ascii="宋体" w:hAnsi="宋体" w:eastAsia="宋体"/>
          <w:color w:val="auto"/>
          <w:sz w:val="28"/>
          <w:szCs w:val="28"/>
          <w:lang w:val="en-US" w:eastAsia="zh-CN"/>
        </w:rPr>
        <w:t>2</w:t>
      </w:r>
      <w:r>
        <w:rPr>
          <w:rFonts w:hint="eastAsia" w:ascii="宋体" w:hAnsi="宋体" w:eastAsia="宋体"/>
          <w:color w:val="auto"/>
          <w:sz w:val="28"/>
          <w:szCs w:val="28"/>
          <w:lang w:eastAsia="zh-CN"/>
        </w:rPr>
        <w:t>08）属于</w:t>
      </w:r>
      <w:r>
        <w:rPr>
          <w:rFonts w:ascii="宋体" w:hAnsi="宋体" w:eastAsia="宋体"/>
          <w:color w:val="auto"/>
          <w:sz w:val="28"/>
          <w:szCs w:val="28"/>
          <w:lang w:eastAsia="zh-CN"/>
        </w:rPr>
        <w:t>《重点监管的危险化学品名录》中</w:t>
      </w:r>
      <w:r>
        <w:rPr>
          <w:rFonts w:hint="eastAsia" w:ascii="宋体" w:hAnsi="宋体" w:eastAsia="宋体"/>
          <w:color w:val="auto"/>
          <w:sz w:val="28"/>
          <w:szCs w:val="28"/>
          <w:lang w:eastAsia="zh-CN"/>
        </w:rPr>
        <w:t>重点监管危险化学品</w:t>
      </w:r>
      <w:r>
        <w:rPr>
          <w:rFonts w:ascii="宋体" w:hAnsi="宋体" w:eastAsia="宋体"/>
          <w:color w:val="auto"/>
          <w:sz w:val="28"/>
          <w:szCs w:val="28"/>
          <w:lang w:eastAsia="zh-CN"/>
        </w:rPr>
        <w:t>，产品不属于首批重点监管的危险化学品。</w:t>
      </w:r>
    </w:p>
    <w:p>
      <w:pPr>
        <w:spacing w:line="550" w:lineRule="exact"/>
        <w:ind w:firstLine="425" w:firstLineChars="152"/>
        <w:rPr>
          <w:rFonts w:ascii="宋体" w:hAnsi="宋体" w:eastAsia="宋体"/>
          <w:color w:val="auto"/>
          <w:sz w:val="28"/>
          <w:szCs w:val="28"/>
          <w:lang w:eastAsia="zh-CN"/>
        </w:rPr>
      </w:pPr>
      <w:r>
        <w:rPr>
          <w:rFonts w:ascii="宋体" w:hAnsi="宋体" w:eastAsia="宋体"/>
          <w:color w:val="auto"/>
          <w:sz w:val="28"/>
          <w:szCs w:val="28"/>
          <w:lang w:eastAsia="zh-CN"/>
        </w:rPr>
        <w:t>经评价，重点监管的危险化学品采取的安全监控措施符合要求。采取的安全措施为：1)重点监管的危险化学品采用200L包桶装储存于仓库。仓库通风较好，远离火种、热源。仓库有温湿度计，炎热季节采取通风等降温措施；2)没有与氧化剂、酸类、碱类等混存混放；3)仓库采</w:t>
      </w:r>
      <w:bookmarkStart w:id="130" w:name="bookmark93"/>
      <w:r>
        <w:rPr>
          <w:rFonts w:hint="eastAsia" w:ascii="宋体" w:hAnsi="宋体" w:eastAsia="宋体"/>
          <w:color w:val="auto"/>
          <w:sz w:val="28"/>
          <w:szCs w:val="28"/>
          <w:lang w:eastAsia="zh-CN"/>
        </w:rPr>
        <w:t>取全面通风</w:t>
      </w:r>
      <w:r>
        <w:rPr>
          <w:rFonts w:ascii="宋体" w:hAnsi="宋体" w:eastAsia="宋体"/>
          <w:color w:val="auto"/>
          <w:sz w:val="28"/>
          <w:szCs w:val="28"/>
          <w:lang w:eastAsia="zh-CN"/>
        </w:rPr>
        <w:t>，没有使用易产生火花的机械设备和开启工具；4)储存仓库备有泄漏应急处理设备，仓库门口处有防止液体流散的墁坡；5)仓库设置固定式可燃气体报警器，并经检测合格；6)储存仓库设置有安全警示标志以及危险化学品安全周知卡；7)仓库门口设置有人体静电触摸器，可以去除身体携带的静电；8)配备消防器材；9)设置有安全淋浴和洗眼设备；10)从业人员经过专门培训，按操作规程作业，具备相应的应急处置知识；11)搬运时轻装轻卸，有专人负责管理，防止损坏包装桶导致物料泄漏。</w:t>
      </w:r>
      <w:bookmarkEnd w:id="130"/>
    </w:p>
    <w:p>
      <w:pPr>
        <w:spacing w:line="550" w:lineRule="exact"/>
        <w:jc w:val="both"/>
        <w:outlineLvl w:val="1"/>
        <w:rPr>
          <w:rFonts w:ascii="楷体_GB2312" w:hAnsi="Times New Roman" w:eastAsia="楷体_GB2312" w:cs="Times New Roman"/>
          <w:bCs/>
          <w:color w:val="auto"/>
          <w:kern w:val="2"/>
          <w:sz w:val="32"/>
          <w:lang w:val="en-US" w:eastAsia="zh-CN" w:bidi="ar-SA"/>
        </w:rPr>
      </w:pPr>
      <w:bookmarkStart w:id="131" w:name="_Toc40045926"/>
      <w:r>
        <w:rPr>
          <w:rFonts w:ascii="楷体_GB2312" w:hAnsi="Times New Roman" w:eastAsia="楷体_GB2312" w:cs="Times New Roman"/>
          <w:bCs/>
          <w:color w:val="auto"/>
          <w:kern w:val="2"/>
          <w:sz w:val="32"/>
          <w:lang w:val="en-US" w:eastAsia="zh-CN" w:bidi="ar-SA"/>
        </w:rPr>
        <w:t>9.</w:t>
      </w:r>
      <w:r>
        <w:rPr>
          <w:rFonts w:hint="eastAsia" w:ascii="楷体_GB2312" w:hAnsi="Times New Roman" w:eastAsia="楷体_GB2312" w:cs="Times New Roman"/>
          <w:bCs/>
          <w:color w:val="auto"/>
          <w:kern w:val="2"/>
          <w:sz w:val="32"/>
          <w:lang w:val="en-US" w:eastAsia="zh-CN" w:bidi="ar-SA"/>
        </w:rPr>
        <w:t>9</w:t>
      </w:r>
      <w:r>
        <w:rPr>
          <w:rFonts w:ascii="楷体_GB2312" w:hAnsi="Times New Roman" w:eastAsia="楷体_GB2312" w:cs="Times New Roman"/>
          <w:bCs/>
          <w:color w:val="auto"/>
          <w:kern w:val="2"/>
          <w:sz w:val="32"/>
          <w:lang w:val="en-US" w:eastAsia="zh-CN" w:bidi="ar-SA"/>
        </w:rPr>
        <w:t>安全设施设备合规性专项评价</w:t>
      </w:r>
      <w:bookmarkEnd w:id="131"/>
    </w:p>
    <w:p>
      <w:pPr>
        <w:spacing w:line="550" w:lineRule="exact"/>
        <w:ind w:firstLine="425" w:firstLineChars="152"/>
        <w:rPr>
          <w:rFonts w:ascii="宋体" w:hAnsi="宋体" w:eastAsia="宋体"/>
          <w:color w:val="auto"/>
          <w:sz w:val="28"/>
          <w:szCs w:val="28"/>
        </w:rPr>
      </w:pPr>
      <w:r>
        <w:rPr>
          <w:rFonts w:hint="eastAsia" w:ascii="宋体" w:hAnsi="宋体" w:eastAsia="宋体"/>
          <w:color w:val="auto"/>
          <w:sz w:val="28"/>
          <w:szCs w:val="28"/>
          <w:lang w:eastAsia="zh-CN"/>
        </w:rPr>
        <w:t>1)</w:t>
      </w:r>
      <w:r>
        <w:rPr>
          <w:rFonts w:ascii="宋体" w:hAnsi="宋体" w:eastAsia="宋体"/>
          <w:color w:val="auto"/>
          <w:sz w:val="28"/>
          <w:szCs w:val="28"/>
        </w:rPr>
        <w:t>安全警示标志、标识</w:t>
      </w:r>
    </w:p>
    <w:p>
      <w:pPr>
        <w:spacing w:line="550" w:lineRule="exact"/>
        <w:ind w:firstLine="425" w:firstLineChars="152"/>
        <w:rPr>
          <w:rFonts w:ascii="宋体" w:hAnsi="宋体" w:eastAsia="宋体"/>
          <w:color w:val="auto"/>
          <w:sz w:val="28"/>
          <w:szCs w:val="28"/>
        </w:rPr>
      </w:pPr>
      <w:r>
        <w:rPr>
          <w:rFonts w:hint="eastAsia" w:ascii="宋体" w:hAnsi="宋体" w:eastAsia="宋体"/>
          <w:color w:val="auto"/>
          <w:sz w:val="28"/>
          <w:szCs w:val="28"/>
          <w:lang w:eastAsia="zh-CN"/>
        </w:rPr>
        <w:t>(</w:t>
      </w:r>
      <w:r>
        <w:rPr>
          <w:rFonts w:ascii="宋体" w:hAnsi="宋体" w:eastAsia="宋体"/>
          <w:color w:val="auto"/>
          <w:sz w:val="28"/>
          <w:szCs w:val="28"/>
        </w:rPr>
        <w:t>1</w:t>
      </w:r>
      <w:r>
        <w:rPr>
          <w:rFonts w:hint="eastAsia" w:ascii="宋体" w:hAnsi="宋体" w:eastAsia="宋体"/>
          <w:color w:val="auto"/>
          <w:sz w:val="28"/>
          <w:szCs w:val="28"/>
          <w:lang w:eastAsia="zh-CN"/>
        </w:rPr>
        <w:t>)</w:t>
      </w:r>
      <w:r>
        <w:rPr>
          <w:rFonts w:ascii="宋体" w:hAnsi="宋体" w:eastAsia="宋体"/>
          <w:color w:val="auto"/>
          <w:sz w:val="28"/>
          <w:szCs w:val="28"/>
        </w:rPr>
        <w:t>生产车间、仓库实行定置管理，划定定置管理标线。</w:t>
      </w:r>
    </w:p>
    <w:p>
      <w:pPr>
        <w:spacing w:line="550" w:lineRule="exact"/>
        <w:ind w:firstLine="425" w:firstLineChars="152"/>
        <w:rPr>
          <w:rFonts w:ascii="宋体" w:hAnsi="宋体" w:eastAsia="宋体"/>
          <w:color w:val="auto"/>
          <w:sz w:val="28"/>
          <w:szCs w:val="28"/>
        </w:rPr>
      </w:pPr>
      <w:r>
        <w:rPr>
          <w:rFonts w:hint="eastAsia" w:ascii="宋体" w:hAnsi="宋体" w:eastAsia="宋体"/>
          <w:color w:val="auto"/>
          <w:sz w:val="28"/>
          <w:szCs w:val="28"/>
          <w:lang w:eastAsia="zh-CN"/>
        </w:rPr>
        <w:t>(</w:t>
      </w:r>
      <w:r>
        <w:rPr>
          <w:rFonts w:ascii="宋体" w:hAnsi="宋体" w:eastAsia="宋体"/>
          <w:color w:val="auto"/>
          <w:sz w:val="28"/>
          <w:szCs w:val="28"/>
        </w:rPr>
        <w:t>2</w:t>
      </w:r>
      <w:r>
        <w:rPr>
          <w:rFonts w:hint="eastAsia" w:ascii="宋体" w:hAnsi="宋体" w:eastAsia="宋体"/>
          <w:color w:val="auto"/>
          <w:sz w:val="28"/>
          <w:szCs w:val="28"/>
          <w:lang w:eastAsia="zh-CN"/>
        </w:rPr>
        <w:t>)</w:t>
      </w:r>
      <w:r>
        <w:rPr>
          <w:rFonts w:ascii="宋体" w:hAnsi="宋体" w:eastAsia="宋体"/>
          <w:color w:val="auto"/>
          <w:sz w:val="28"/>
          <w:szCs w:val="28"/>
        </w:rPr>
        <w:t>在作业岗位的醒目位置，设置了危险化学品安全周知牌(卡)。</w:t>
      </w:r>
    </w:p>
    <w:p>
      <w:pPr>
        <w:spacing w:line="550" w:lineRule="exact"/>
        <w:ind w:firstLine="425" w:firstLineChars="152"/>
        <w:rPr>
          <w:rFonts w:ascii="宋体" w:hAnsi="宋体" w:eastAsia="宋体"/>
          <w:color w:val="auto"/>
          <w:sz w:val="28"/>
          <w:szCs w:val="28"/>
        </w:rPr>
      </w:pPr>
      <w:r>
        <w:rPr>
          <w:rFonts w:hint="eastAsia" w:ascii="宋体" w:hAnsi="宋体" w:eastAsia="宋体"/>
          <w:color w:val="auto"/>
          <w:sz w:val="28"/>
          <w:szCs w:val="28"/>
          <w:lang w:eastAsia="zh-CN"/>
        </w:rPr>
        <w:t>(</w:t>
      </w:r>
      <w:r>
        <w:rPr>
          <w:rFonts w:ascii="宋体" w:hAnsi="宋体" w:eastAsia="宋体"/>
          <w:color w:val="auto"/>
          <w:sz w:val="28"/>
          <w:szCs w:val="28"/>
        </w:rPr>
        <w:t>3</w:t>
      </w:r>
      <w:r>
        <w:rPr>
          <w:rFonts w:hint="eastAsia" w:ascii="宋体" w:hAnsi="宋体" w:eastAsia="宋体"/>
          <w:color w:val="auto"/>
          <w:sz w:val="28"/>
          <w:szCs w:val="28"/>
          <w:lang w:eastAsia="zh-CN"/>
        </w:rPr>
        <w:t>)</w:t>
      </w:r>
      <w:r>
        <w:rPr>
          <w:rFonts w:ascii="宋体" w:hAnsi="宋体" w:eastAsia="宋体"/>
          <w:color w:val="auto"/>
          <w:sz w:val="28"/>
          <w:szCs w:val="28"/>
        </w:rPr>
        <w:t>在作业场所的显著位置，设置了“禁止烟火”、“必须戴口罩”、“必须戴防护手套”、“注意通风”等安全标识。</w:t>
      </w:r>
    </w:p>
    <w:p>
      <w:pPr>
        <w:spacing w:line="550" w:lineRule="exact"/>
        <w:ind w:firstLine="425" w:firstLineChars="152"/>
        <w:rPr>
          <w:rFonts w:ascii="宋体" w:hAnsi="宋体" w:eastAsia="宋体"/>
          <w:color w:val="auto"/>
          <w:sz w:val="28"/>
          <w:szCs w:val="28"/>
        </w:rPr>
      </w:pPr>
      <w:r>
        <w:rPr>
          <w:rFonts w:hint="eastAsia" w:ascii="宋体" w:hAnsi="宋体" w:eastAsia="宋体"/>
          <w:color w:val="auto"/>
          <w:sz w:val="28"/>
          <w:szCs w:val="28"/>
          <w:lang w:eastAsia="zh-CN"/>
        </w:rPr>
        <w:t>(</w:t>
      </w:r>
      <w:r>
        <w:rPr>
          <w:rFonts w:ascii="宋体" w:hAnsi="宋体" w:eastAsia="宋体"/>
          <w:color w:val="auto"/>
          <w:sz w:val="28"/>
          <w:szCs w:val="28"/>
        </w:rPr>
        <w:t>4</w:t>
      </w:r>
      <w:r>
        <w:rPr>
          <w:rFonts w:hint="eastAsia" w:ascii="宋体" w:hAnsi="宋体" w:eastAsia="宋体"/>
          <w:color w:val="auto"/>
          <w:sz w:val="28"/>
          <w:szCs w:val="28"/>
          <w:lang w:eastAsia="zh-CN"/>
        </w:rPr>
        <w:t>)</w:t>
      </w:r>
      <w:r>
        <w:rPr>
          <w:rFonts w:ascii="宋体" w:hAnsi="宋体" w:eastAsia="宋体"/>
          <w:color w:val="auto"/>
          <w:sz w:val="28"/>
          <w:szCs w:val="28"/>
        </w:rPr>
        <w:t>可能产生职业病危害的化学品，产品包装设置了醒目的相应的警示标识和简明中文警示说明。警示说明载明产品特性、存在的有害因素、可能产生的危害后果，安全使用注意事项以及应急救治措施内容。</w:t>
      </w:r>
    </w:p>
    <w:p>
      <w:pPr>
        <w:spacing w:line="550" w:lineRule="exact"/>
        <w:ind w:firstLine="425" w:firstLineChars="152"/>
        <w:rPr>
          <w:rFonts w:ascii="宋体" w:hAnsi="宋体" w:eastAsia="宋体"/>
          <w:color w:val="auto"/>
          <w:sz w:val="28"/>
          <w:szCs w:val="28"/>
        </w:rPr>
      </w:pPr>
      <w:r>
        <w:rPr>
          <w:rFonts w:hint="eastAsia" w:ascii="宋体" w:hAnsi="宋体" w:eastAsia="宋体"/>
          <w:color w:val="auto"/>
          <w:sz w:val="28"/>
          <w:szCs w:val="28"/>
          <w:lang w:eastAsia="zh-CN"/>
        </w:rPr>
        <w:t>(</w:t>
      </w:r>
      <w:r>
        <w:rPr>
          <w:rFonts w:ascii="宋体" w:hAnsi="宋体" w:eastAsia="宋体"/>
          <w:color w:val="auto"/>
          <w:sz w:val="28"/>
          <w:szCs w:val="28"/>
        </w:rPr>
        <w:t>5</w:t>
      </w:r>
      <w:r>
        <w:rPr>
          <w:rFonts w:hint="eastAsia" w:ascii="宋体" w:hAnsi="宋体" w:eastAsia="宋体"/>
          <w:color w:val="auto"/>
          <w:sz w:val="28"/>
          <w:szCs w:val="28"/>
          <w:lang w:eastAsia="zh-CN"/>
        </w:rPr>
        <w:t>)</w:t>
      </w:r>
      <w:r>
        <w:rPr>
          <w:rFonts w:ascii="宋体" w:hAnsi="宋体" w:eastAsia="宋体"/>
          <w:color w:val="auto"/>
          <w:sz w:val="28"/>
          <w:szCs w:val="28"/>
        </w:rPr>
        <w:t>仓库设置了相应的警示标识以及简明中文警示说明。</w:t>
      </w:r>
    </w:p>
    <w:p>
      <w:pPr>
        <w:spacing w:line="550" w:lineRule="exact"/>
        <w:ind w:firstLine="425" w:firstLineChars="152"/>
        <w:rPr>
          <w:rFonts w:ascii="宋体" w:hAnsi="宋体" w:eastAsia="宋体"/>
          <w:color w:val="auto"/>
          <w:sz w:val="28"/>
          <w:szCs w:val="28"/>
        </w:rPr>
      </w:pPr>
      <w:r>
        <w:rPr>
          <w:rFonts w:hint="eastAsia" w:ascii="宋体" w:hAnsi="宋体" w:eastAsia="宋体"/>
          <w:color w:val="auto"/>
          <w:sz w:val="28"/>
          <w:szCs w:val="28"/>
          <w:lang w:eastAsia="zh-CN"/>
        </w:rPr>
        <w:t>(</w:t>
      </w:r>
      <w:r>
        <w:rPr>
          <w:rFonts w:ascii="宋体" w:hAnsi="宋体" w:eastAsia="宋体"/>
          <w:color w:val="auto"/>
          <w:sz w:val="28"/>
          <w:szCs w:val="28"/>
        </w:rPr>
        <w:t>6</w:t>
      </w:r>
      <w:r>
        <w:rPr>
          <w:rFonts w:hint="eastAsia" w:ascii="宋体" w:hAnsi="宋体" w:eastAsia="宋体"/>
          <w:color w:val="auto"/>
          <w:sz w:val="28"/>
          <w:szCs w:val="28"/>
          <w:lang w:eastAsia="zh-CN"/>
        </w:rPr>
        <w:t>)</w:t>
      </w:r>
      <w:r>
        <w:rPr>
          <w:rFonts w:ascii="宋体" w:hAnsi="宋体" w:eastAsia="宋体"/>
          <w:color w:val="auto"/>
          <w:sz w:val="28"/>
          <w:szCs w:val="28"/>
        </w:rPr>
        <w:t>该公司有按照《关于规范危险化学品生产、储存企业作业场所安全标志标识的通知》(粤安监管三〔2011〕50号)的要求在主大门内的醒目、显要处设置“厂区总平面布置图”。</w:t>
      </w:r>
    </w:p>
    <w:p>
      <w:pPr>
        <w:spacing w:line="550" w:lineRule="exact"/>
        <w:ind w:firstLine="425" w:firstLineChars="152"/>
        <w:rPr>
          <w:rFonts w:ascii="宋体" w:hAnsi="宋体" w:eastAsia="宋体"/>
          <w:color w:val="auto"/>
          <w:sz w:val="28"/>
          <w:szCs w:val="28"/>
        </w:rPr>
      </w:pPr>
      <w:r>
        <w:rPr>
          <w:rFonts w:hint="eastAsia" w:ascii="宋体" w:hAnsi="宋体" w:eastAsia="宋体"/>
          <w:color w:val="auto"/>
          <w:sz w:val="28"/>
          <w:szCs w:val="28"/>
          <w:lang w:eastAsia="zh-CN"/>
        </w:rPr>
        <w:t>(</w:t>
      </w:r>
      <w:r>
        <w:rPr>
          <w:rFonts w:ascii="宋体" w:hAnsi="宋体" w:eastAsia="宋体"/>
          <w:color w:val="auto"/>
          <w:sz w:val="28"/>
          <w:szCs w:val="28"/>
        </w:rPr>
        <w:t>7</w:t>
      </w:r>
      <w:r>
        <w:rPr>
          <w:rFonts w:hint="eastAsia" w:ascii="宋体" w:hAnsi="宋体" w:eastAsia="宋体"/>
          <w:color w:val="auto"/>
          <w:sz w:val="28"/>
          <w:szCs w:val="28"/>
          <w:lang w:eastAsia="zh-CN"/>
        </w:rPr>
        <w:t>)</w:t>
      </w:r>
      <w:r>
        <w:rPr>
          <w:rFonts w:ascii="宋体" w:hAnsi="宋体" w:eastAsia="宋体"/>
          <w:color w:val="auto"/>
          <w:sz w:val="28"/>
          <w:szCs w:val="28"/>
        </w:rPr>
        <w:t>在作业场所设置急救箱、冲洗设施，一旦有害物料接触皮肤或溅入眼睛时，能及时冲洗和进行急救。</w:t>
      </w:r>
    </w:p>
    <w:p>
      <w:pPr>
        <w:spacing w:line="550" w:lineRule="exact"/>
        <w:ind w:firstLine="425" w:firstLineChars="152"/>
        <w:rPr>
          <w:rFonts w:ascii="宋体" w:hAnsi="宋体" w:eastAsia="宋体"/>
          <w:color w:val="auto"/>
          <w:sz w:val="28"/>
          <w:szCs w:val="28"/>
        </w:rPr>
      </w:pPr>
      <w:r>
        <w:rPr>
          <w:rFonts w:ascii="宋体" w:hAnsi="宋体" w:eastAsia="宋体"/>
          <w:color w:val="auto"/>
          <w:sz w:val="28"/>
          <w:szCs w:val="28"/>
        </w:rPr>
        <w:t>该单位的安全警示标志、标识符合《化学品分类和危险性公示通则》(GB13690-2009)、《工业场所职业病危害警示标识》(GBZ158-2003)和《安全标志及其使用导则》(GB2894-2008)的有关要求。</w:t>
      </w:r>
    </w:p>
    <w:p>
      <w:pPr>
        <w:spacing w:line="550" w:lineRule="exact"/>
        <w:ind w:firstLine="425" w:firstLineChars="152"/>
        <w:rPr>
          <w:rFonts w:ascii="宋体" w:hAnsi="宋体" w:eastAsia="宋体"/>
          <w:color w:val="auto"/>
          <w:sz w:val="28"/>
          <w:szCs w:val="28"/>
        </w:rPr>
      </w:pPr>
      <w:r>
        <w:rPr>
          <w:rFonts w:hint="eastAsia" w:ascii="宋体" w:hAnsi="宋体" w:eastAsia="宋体"/>
          <w:color w:val="auto"/>
          <w:sz w:val="28"/>
          <w:szCs w:val="28"/>
          <w:lang w:eastAsia="zh-CN"/>
        </w:rPr>
        <w:t>2)</w:t>
      </w:r>
      <w:r>
        <w:rPr>
          <w:rFonts w:ascii="宋体" w:hAnsi="宋体" w:eastAsia="宋体"/>
          <w:color w:val="auto"/>
          <w:sz w:val="28"/>
          <w:szCs w:val="28"/>
        </w:rPr>
        <w:t>防雷</w:t>
      </w:r>
    </w:p>
    <w:p>
      <w:pPr>
        <w:spacing w:line="550" w:lineRule="exact"/>
        <w:ind w:firstLine="425" w:firstLineChars="152"/>
        <w:rPr>
          <w:rFonts w:ascii="宋体" w:hAnsi="宋体" w:eastAsia="宋体"/>
          <w:color w:val="auto"/>
          <w:sz w:val="28"/>
          <w:szCs w:val="28"/>
        </w:rPr>
      </w:pPr>
      <w:r>
        <w:rPr>
          <w:rFonts w:ascii="宋体" w:hAnsi="宋体" w:eastAsia="宋体"/>
          <w:color w:val="auto"/>
          <w:sz w:val="28"/>
          <w:szCs w:val="28"/>
        </w:rPr>
        <w:t>防雷设施经防雷设施检测所检测合格，取得《广东省防雷设施合格证》及检测报告。</w:t>
      </w:r>
    </w:p>
    <w:p>
      <w:pPr>
        <w:spacing w:line="550" w:lineRule="exact"/>
        <w:ind w:firstLine="425" w:firstLineChars="152"/>
        <w:rPr>
          <w:rFonts w:ascii="宋体" w:hAnsi="宋体" w:eastAsia="宋体"/>
          <w:color w:val="auto"/>
          <w:sz w:val="28"/>
          <w:szCs w:val="28"/>
        </w:rPr>
      </w:pPr>
      <w:r>
        <w:rPr>
          <w:rFonts w:ascii="宋体" w:hAnsi="宋体" w:eastAsia="宋体"/>
          <w:color w:val="auto"/>
          <w:sz w:val="28"/>
          <w:szCs w:val="28"/>
        </w:rPr>
        <w:t>3</w:t>
      </w:r>
      <w:r>
        <w:rPr>
          <w:rFonts w:hint="eastAsia" w:ascii="宋体" w:hAnsi="宋体" w:eastAsia="宋体"/>
          <w:color w:val="auto"/>
          <w:sz w:val="28"/>
          <w:szCs w:val="28"/>
          <w:lang w:eastAsia="zh-CN"/>
        </w:rPr>
        <w:t>)</w:t>
      </w:r>
      <w:r>
        <w:rPr>
          <w:rFonts w:ascii="宋体" w:hAnsi="宋体" w:eastAsia="宋体"/>
          <w:color w:val="auto"/>
          <w:sz w:val="28"/>
          <w:szCs w:val="28"/>
        </w:rPr>
        <w:t>可燃气体报警</w:t>
      </w:r>
    </w:p>
    <w:p>
      <w:pPr>
        <w:spacing w:line="550" w:lineRule="exact"/>
        <w:ind w:firstLine="425" w:firstLineChars="152"/>
        <w:rPr>
          <w:rFonts w:ascii="宋体" w:hAnsi="宋体" w:eastAsia="宋体"/>
          <w:color w:val="auto"/>
          <w:sz w:val="28"/>
          <w:szCs w:val="28"/>
        </w:rPr>
      </w:pPr>
      <w:r>
        <w:rPr>
          <w:rFonts w:ascii="宋体" w:hAnsi="宋体" w:eastAsia="宋体"/>
          <w:color w:val="auto"/>
          <w:sz w:val="28"/>
          <w:szCs w:val="28"/>
        </w:rPr>
        <w:t>该公司车间、仓库内设置了可燃气体浓度检测报警装置，检测有效半径</w:t>
      </w:r>
      <w:r>
        <w:rPr>
          <w:rFonts w:hint="eastAsia" w:ascii="宋体" w:hAnsi="宋体" w:eastAsia="宋体"/>
          <w:color w:val="auto"/>
          <w:sz w:val="28"/>
          <w:szCs w:val="28"/>
          <w:lang w:eastAsia="zh-CN"/>
        </w:rPr>
        <w:t>不大于5</w:t>
      </w:r>
      <w:r>
        <w:rPr>
          <w:rFonts w:ascii="宋体" w:hAnsi="宋体" w:eastAsia="宋体"/>
          <w:color w:val="auto"/>
          <w:sz w:val="28"/>
          <w:szCs w:val="28"/>
        </w:rPr>
        <w:t>m，安装高度在0.3-0.6m之间。</w:t>
      </w:r>
    </w:p>
    <w:p>
      <w:pPr>
        <w:spacing w:line="550" w:lineRule="exact"/>
        <w:ind w:firstLine="425" w:firstLineChars="152"/>
        <w:rPr>
          <w:rFonts w:ascii="宋体" w:hAnsi="宋体" w:eastAsia="宋体"/>
          <w:color w:val="auto"/>
          <w:sz w:val="28"/>
          <w:szCs w:val="28"/>
        </w:rPr>
      </w:pPr>
      <w:r>
        <w:rPr>
          <w:rFonts w:ascii="宋体" w:hAnsi="宋体" w:eastAsia="宋体"/>
          <w:color w:val="auto"/>
          <w:sz w:val="28"/>
          <w:szCs w:val="28"/>
        </w:rPr>
        <w:t>4</w:t>
      </w:r>
      <w:r>
        <w:rPr>
          <w:rFonts w:hint="eastAsia" w:ascii="宋体" w:hAnsi="宋体" w:eastAsia="宋体"/>
          <w:color w:val="auto"/>
          <w:sz w:val="28"/>
          <w:szCs w:val="28"/>
          <w:lang w:eastAsia="zh-CN"/>
        </w:rPr>
        <w:t>)</w:t>
      </w:r>
      <w:r>
        <w:rPr>
          <w:rFonts w:ascii="宋体" w:hAnsi="宋体" w:eastAsia="宋体"/>
          <w:color w:val="auto"/>
          <w:sz w:val="28"/>
          <w:szCs w:val="28"/>
        </w:rPr>
        <w:t>电气安全</w:t>
      </w:r>
    </w:p>
    <w:p>
      <w:pPr>
        <w:spacing w:line="550" w:lineRule="exact"/>
        <w:ind w:firstLine="425" w:firstLineChars="152"/>
        <w:rPr>
          <w:rFonts w:ascii="宋体" w:hAnsi="宋体" w:eastAsia="宋体"/>
          <w:color w:val="auto"/>
          <w:sz w:val="28"/>
          <w:szCs w:val="28"/>
        </w:rPr>
      </w:pPr>
      <w:r>
        <w:rPr>
          <w:rFonts w:ascii="宋体" w:hAnsi="宋体" w:eastAsia="宋体"/>
          <w:color w:val="auto"/>
          <w:sz w:val="28"/>
          <w:szCs w:val="28"/>
        </w:rPr>
        <w:t>企业甲类车间和甲类仓库内采用防爆电气，电气线路套钢管保护，并定期对电气设备进行检查，确保其处于良好运行状态。</w:t>
      </w:r>
    </w:p>
    <w:p>
      <w:pPr>
        <w:spacing w:line="550" w:lineRule="exact"/>
        <w:ind w:firstLine="425" w:firstLineChars="152"/>
        <w:rPr>
          <w:rFonts w:ascii="宋体" w:hAnsi="宋体" w:eastAsia="宋体"/>
          <w:color w:val="auto"/>
          <w:sz w:val="28"/>
          <w:szCs w:val="28"/>
        </w:rPr>
      </w:pPr>
      <w:r>
        <w:rPr>
          <w:rFonts w:ascii="宋体" w:hAnsi="宋体" w:eastAsia="宋体"/>
          <w:color w:val="auto"/>
          <w:sz w:val="28"/>
          <w:szCs w:val="28"/>
        </w:rPr>
        <w:t>5</w:t>
      </w:r>
      <w:r>
        <w:rPr>
          <w:rFonts w:hint="eastAsia" w:ascii="宋体" w:hAnsi="宋体" w:eastAsia="宋体"/>
          <w:color w:val="auto"/>
          <w:sz w:val="28"/>
          <w:szCs w:val="28"/>
          <w:lang w:eastAsia="zh-CN"/>
        </w:rPr>
        <w:t>)</w:t>
      </w:r>
      <w:r>
        <w:rPr>
          <w:rFonts w:ascii="宋体" w:hAnsi="宋体" w:eastAsia="宋体"/>
          <w:color w:val="auto"/>
          <w:sz w:val="28"/>
          <w:szCs w:val="28"/>
        </w:rPr>
        <w:t>防静电</w:t>
      </w:r>
    </w:p>
    <w:p>
      <w:pPr>
        <w:spacing w:line="550" w:lineRule="exact"/>
        <w:ind w:firstLine="425" w:firstLineChars="152"/>
        <w:rPr>
          <w:rFonts w:ascii="宋体" w:hAnsi="宋体" w:eastAsia="宋体"/>
          <w:color w:val="auto"/>
          <w:sz w:val="28"/>
          <w:szCs w:val="28"/>
        </w:rPr>
      </w:pPr>
      <w:r>
        <w:rPr>
          <w:rFonts w:ascii="宋体" w:hAnsi="宋体" w:eastAsia="宋体"/>
          <w:color w:val="auto"/>
          <w:sz w:val="28"/>
          <w:szCs w:val="28"/>
        </w:rPr>
        <w:t>该项目甲类车间和甲类仓库设置了防静电设施，经现场检查，防静电设施能导出静电。</w:t>
      </w:r>
    </w:p>
    <w:p>
      <w:pPr>
        <w:spacing w:line="550" w:lineRule="exact"/>
        <w:ind w:firstLine="425" w:firstLineChars="152"/>
        <w:rPr>
          <w:rFonts w:ascii="宋体" w:hAnsi="宋体" w:eastAsia="宋体"/>
          <w:color w:val="auto"/>
          <w:sz w:val="28"/>
          <w:szCs w:val="28"/>
        </w:rPr>
      </w:pPr>
      <w:r>
        <w:rPr>
          <w:rFonts w:ascii="宋体" w:hAnsi="宋体" w:eastAsia="宋体"/>
          <w:color w:val="auto"/>
          <w:sz w:val="28"/>
          <w:szCs w:val="28"/>
        </w:rPr>
        <w:t>6</w:t>
      </w:r>
      <w:r>
        <w:rPr>
          <w:rFonts w:hint="eastAsia" w:ascii="宋体" w:hAnsi="宋体" w:eastAsia="宋体"/>
          <w:color w:val="auto"/>
          <w:sz w:val="28"/>
          <w:szCs w:val="28"/>
          <w:lang w:eastAsia="zh-CN"/>
        </w:rPr>
        <w:t>)</w:t>
      </w:r>
      <w:r>
        <w:rPr>
          <w:rFonts w:ascii="宋体" w:hAnsi="宋体" w:eastAsia="宋体"/>
          <w:color w:val="auto"/>
          <w:sz w:val="28"/>
          <w:szCs w:val="28"/>
        </w:rPr>
        <w:t>消防设施</w:t>
      </w:r>
    </w:p>
    <w:p>
      <w:pPr>
        <w:spacing w:line="550" w:lineRule="exact"/>
        <w:ind w:firstLine="425" w:firstLineChars="152"/>
        <w:rPr>
          <w:rFonts w:ascii="宋体" w:hAnsi="宋体" w:eastAsia="宋体"/>
          <w:color w:val="auto"/>
          <w:sz w:val="28"/>
          <w:szCs w:val="28"/>
        </w:rPr>
      </w:pPr>
      <w:r>
        <w:rPr>
          <w:rFonts w:ascii="宋体" w:hAnsi="宋体" w:eastAsia="宋体"/>
          <w:color w:val="auto"/>
          <w:sz w:val="28"/>
          <w:szCs w:val="28"/>
        </w:rPr>
        <w:t>消防系统包括</w:t>
      </w:r>
      <w:r>
        <w:rPr>
          <w:rFonts w:hint="eastAsia" w:ascii="宋体" w:hAnsi="宋体" w:eastAsia="宋体"/>
          <w:color w:val="auto"/>
          <w:sz w:val="28"/>
          <w:szCs w:val="28"/>
          <w:lang w:eastAsia="zh-CN"/>
        </w:rPr>
        <w:t>消防水栓系统、泡沫喷淋系统以及</w:t>
      </w:r>
      <w:r>
        <w:rPr>
          <w:rFonts w:ascii="宋体" w:hAnsi="宋体" w:eastAsia="宋体"/>
          <w:color w:val="auto"/>
          <w:sz w:val="28"/>
          <w:szCs w:val="28"/>
        </w:rPr>
        <w:t>移动式灭火器系统。消防水源为市政自来水，配备消防水池和专用消防泵，消防水池容积为</w:t>
      </w:r>
      <w:r>
        <w:rPr>
          <w:rFonts w:hint="eastAsia" w:ascii="宋体" w:hAnsi="宋体" w:eastAsia="宋体"/>
          <w:color w:val="auto"/>
          <w:sz w:val="28"/>
          <w:szCs w:val="28"/>
          <w:lang w:eastAsia="zh-CN"/>
        </w:rPr>
        <w:t>450</w:t>
      </w:r>
      <w:r>
        <w:rPr>
          <w:rFonts w:ascii="宋体" w:hAnsi="宋体" w:eastAsia="宋体"/>
          <w:color w:val="auto"/>
          <w:sz w:val="28"/>
          <w:szCs w:val="28"/>
        </w:rPr>
        <w:t>㎡。</w:t>
      </w:r>
    </w:p>
    <w:p>
      <w:pPr>
        <w:spacing w:line="550" w:lineRule="exact"/>
        <w:ind w:firstLine="425" w:firstLineChars="152"/>
        <w:rPr>
          <w:rFonts w:ascii="宋体" w:hAnsi="宋体" w:eastAsia="宋体"/>
          <w:color w:val="auto"/>
          <w:sz w:val="28"/>
          <w:szCs w:val="28"/>
        </w:rPr>
      </w:pPr>
      <w:r>
        <w:rPr>
          <w:rFonts w:ascii="宋体" w:hAnsi="宋体" w:eastAsia="宋体"/>
          <w:color w:val="auto"/>
          <w:sz w:val="28"/>
          <w:szCs w:val="28"/>
        </w:rPr>
        <w:t>企业已按照《建筑灭火器配置设计规范》的要求，各建、构筑物均配备了相应的灭火器材。车间、仓库均安装了可燃气体探测系统。</w:t>
      </w:r>
    </w:p>
    <w:p>
      <w:pPr>
        <w:spacing w:line="550" w:lineRule="exact"/>
        <w:ind w:firstLine="425" w:firstLineChars="152"/>
        <w:rPr>
          <w:rFonts w:ascii="宋体" w:hAnsi="宋体" w:eastAsia="宋体"/>
          <w:color w:val="auto"/>
          <w:sz w:val="28"/>
          <w:szCs w:val="28"/>
        </w:rPr>
      </w:pPr>
      <w:r>
        <w:rPr>
          <w:rFonts w:ascii="宋体" w:hAnsi="宋体" w:eastAsia="宋体"/>
          <w:color w:val="auto"/>
          <w:sz w:val="28"/>
          <w:szCs w:val="28"/>
        </w:rPr>
        <w:t>厂区消防设施经东莞市公安消防局验收合格，持有《建设工程消防验收意见书》，编号：东公消验[201</w:t>
      </w:r>
      <w:r>
        <w:rPr>
          <w:rFonts w:hint="eastAsia" w:ascii="宋体" w:hAnsi="宋体" w:eastAsia="宋体"/>
          <w:color w:val="auto"/>
          <w:sz w:val="28"/>
          <w:szCs w:val="28"/>
          <w:lang w:eastAsia="zh-CN"/>
        </w:rPr>
        <w:t>0</w:t>
      </w:r>
      <w:r>
        <w:rPr>
          <w:rFonts w:ascii="宋体" w:hAnsi="宋体" w:eastAsia="宋体"/>
          <w:color w:val="auto"/>
          <w:sz w:val="28"/>
          <w:szCs w:val="28"/>
        </w:rPr>
        <w:t>]第</w:t>
      </w:r>
      <w:r>
        <w:rPr>
          <w:rFonts w:hint="eastAsia" w:ascii="宋体" w:hAnsi="宋体" w:eastAsia="宋体"/>
          <w:color w:val="auto"/>
          <w:sz w:val="28"/>
          <w:szCs w:val="28"/>
          <w:lang w:eastAsia="zh-CN"/>
        </w:rPr>
        <w:t>114</w:t>
      </w:r>
      <w:r>
        <w:rPr>
          <w:rFonts w:ascii="宋体" w:hAnsi="宋体" w:eastAsia="宋体"/>
          <w:color w:val="auto"/>
          <w:sz w:val="28"/>
          <w:szCs w:val="28"/>
        </w:rPr>
        <w:t>号。</w:t>
      </w:r>
    </w:p>
    <w:p>
      <w:pPr>
        <w:spacing w:line="550" w:lineRule="exact"/>
        <w:ind w:firstLine="425" w:firstLineChars="152"/>
        <w:rPr>
          <w:rFonts w:ascii="宋体" w:hAnsi="宋体" w:eastAsia="PMingLiU"/>
          <w:color w:val="auto"/>
          <w:sz w:val="28"/>
          <w:szCs w:val="28"/>
        </w:rPr>
      </w:pPr>
      <w:r>
        <w:rPr>
          <w:rFonts w:ascii="宋体" w:hAnsi="宋体" w:eastAsia="宋体"/>
          <w:color w:val="auto"/>
          <w:sz w:val="28"/>
          <w:szCs w:val="28"/>
        </w:rPr>
        <w:t>综上所述，该项目的安全设施、设备符合国家法律法规、标准规范要求，处于正常使用状态。</w:t>
      </w:r>
      <w:bookmarkStart w:id="132" w:name="bookmark95"/>
      <w:bookmarkStart w:id="133" w:name="bookmark94"/>
    </w:p>
    <w:p>
      <w:pPr>
        <w:spacing w:line="550" w:lineRule="exact"/>
        <w:ind w:firstLine="425" w:firstLineChars="152"/>
        <w:rPr>
          <w:rFonts w:ascii="宋体" w:hAnsi="宋体" w:eastAsia="PMingLiU"/>
          <w:color w:val="auto"/>
          <w:sz w:val="28"/>
          <w:szCs w:val="28"/>
        </w:rPr>
      </w:pPr>
    </w:p>
    <w:p>
      <w:pPr>
        <w:pStyle w:val="3"/>
        <w:spacing w:after="120"/>
        <w:rPr>
          <w:snapToGrid/>
          <w:color w:val="auto"/>
        </w:rPr>
      </w:pPr>
      <w:r>
        <w:rPr>
          <w:snapToGrid/>
          <w:color w:val="auto"/>
        </w:rPr>
        <w:br w:type="page"/>
      </w:r>
    </w:p>
    <w:p>
      <w:pPr>
        <w:pStyle w:val="3"/>
        <w:spacing w:after="120"/>
        <w:rPr>
          <w:snapToGrid/>
          <w:color w:val="auto"/>
        </w:rPr>
      </w:pPr>
      <w:bookmarkStart w:id="134" w:name="_Toc40045927"/>
      <w:r>
        <w:rPr>
          <w:snapToGrid/>
          <w:color w:val="auto"/>
        </w:rPr>
        <w:t>10企业清净下水措施</w:t>
      </w:r>
      <w:bookmarkEnd w:id="132"/>
      <w:bookmarkEnd w:id="133"/>
      <w:bookmarkEnd w:id="134"/>
    </w:p>
    <w:p>
      <w:pPr>
        <w:spacing w:line="560" w:lineRule="exact"/>
        <w:ind w:firstLine="425" w:firstLineChars="152"/>
        <w:rPr>
          <w:rFonts w:ascii="宋体" w:hAnsi="宋体" w:eastAsia="宋体"/>
          <w:color w:val="auto"/>
          <w:sz w:val="28"/>
          <w:szCs w:val="28"/>
        </w:rPr>
      </w:pPr>
      <w:r>
        <w:rPr>
          <w:rFonts w:ascii="宋体" w:hAnsi="宋体" w:eastAsia="宋体"/>
          <w:color w:val="auto"/>
          <w:sz w:val="28"/>
          <w:szCs w:val="28"/>
        </w:rPr>
        <w:t>根据《关于督促化工企业切实做好几项安全环保重点工作的紧急通知》(安监总危化[2006]10号)的要求，为提高公司在突发性化学品泄漏事故和火灾爆炸事故发生后的“清净下水”处置工作，减少环境污染，及时、有效进行污染现场处置和环境救治，最大限度地减少事故对人员、财产及环境造成的危害。根据国家和省、市有关环境污染事故应急处理的规定和有关要求，结合公司实际情况，制定了符合公司实际情况的“清净下水”处理措施。</w:t>
      </w:r>
    </w:p>
    <w:p>
      <w:pPr>
        <w:spacing w:line="560" w:lineRule="exact"/>
        <w:ind w:firstLine="425" w:firstLineChars="152"/>
        <w:rPr>
          <w:rFonts w:ascii="宋体" w:hAnsi="宋体" w:eastAsia="宋体"/>
          <w:color w:val="auto"/>
          <w:sz w:val="28"/>
          <w:szCs w:val="28"/>
        </w:rPr>
      </w:pPr>
      <w:r>
        <w:rPr>
          <w:rFonts w:ascii="宋体" w:hAnsi="宋体" w:eastAsia="宋体"/>
          <w:color w:val="auto"/>
          <w:sz w:val="28"/>
          <w:szCs w:val="28"/>
        </w:rPr>
        <w:t>对于事故状态下的“清净下水”，该公司在</w:t>
      </w:r>
      <w:r>
        <w:rPr>
          <w:rFonts w:hint="eastAsia" w:ascii="宋体" w:hAnsi="宋体" w:eastAsia="宋体"/>
          <w:color w:val="auto"/>
          <w:sz w:val="28"/>
          <w:szCs w:val="28"/>
          <w:lang w:eastAsia="zh-CN"/>
        </w:rPr>
        <w:t>东</w:t>
      </w:r>
      <w:r>
        <w:rPr>
          <w:rFonts w:ascii="宋体" w:hAnsi="宋体" w:eastAsia="宋体"/>
          <w:color w:val="auto"/>
          <w:sz w:val="28"/>
          <w:szCs w:val="28"/>
        </w:rPr>
        <w:t>北</w:t>
      </w:r>
      <w:r>
        <w:rPr>
          <w:rFonts w:hint="eastAsia" w:ascii="宋体" w:hAnsi="宋体" w:eastAsia="宋体"/>
          <w:color w:val="auto"/>
          <w:sz w:val="28"/>
          <w:szCs w:val="28"/>
          <w:lang w:eastAsia="zh-CN"/>
        </w:rPr>
        <w:t>面</w:t>
      </w:r>
      <w:r>
        <w:rPr>
          <w:rFonts w:ascii="宋体" w:hAnsi="宋体" w:eastAsia="宋体"/>
          <w:color w:val="auto"/>
          <w:sz w:val="28"/>
          <w:szCs w:val="28"/>
        </w:rPr>
        <w:t>(靠近消防水池处)设置有1个</w:t>
      </w:r>
      <w:r>
        <w:rPr>
          <w:rFonts w:hint="eastAsia" w:ascii="宋体" w:hAnsi="宋体" w:eastAsia="宋体"/>
          <w:color w:val="auto"/>
          <w:sz w:val="28"/>
          <w:szCs w:val="28"/>
          <w:lang w:eastAsia="zh-CN"/>
        </w:rPr>
        <w:t>328</w:t>
      </w:r>
      <w:r>
        <w:rPr>
          <w:rFonts w:ascii="宋体" w:hAnsi="宋体" w:eastAsia="宋体"/>
          <w:color w:val="auto"/>
          <w:sz w:val="28"/>
          <w:szCs w:val="28"/>
        </w:rPr>
        <w:t>m</w:t>
      </w:r>
      <w:r>
        <w:rPr>
          <w:rFonts w:ascii="宋体" w:hAnsi="宋体" w:eastAsia="宋体"/>
          <w:color w:val="auto"/>
          <w:sz w:val="28"/>
          <w:szCs w:val="28"/>
          <w:vertAlign w:val="superscript"/>
        </w:rPr>
        <w:t>3</w:t>
      </w:r>
      <w:r>
        <w:rPr>
          <w:rFonts w:ascii="宋体" w:hAnsi="宋体" w:eastAsia="宋体"/>
          <w:color w:val="auto"/>
          <w:sz w:val="28"/>
          <w:szCs w:val="28"/>
        </w:rPr>
        <w:t>的“</w:t>
      </w:r>
      <w:r>
        <w:rPr>
          <w:rFonts w:hint="eastAsia" w:ascii="宋体" w:hAnsi="宋体" w:eastAsia="宋体"/>
          <w:color w:val="auto"/>
          <w:sz w:val="28"/>
          <w:szCs w:val="28"/>
          <w:lang w:eastAsia="zh-CN"/>
        </w:rPr>
        <w:t>事故应急池</w:t>
      </w:r>
      <w:r>
        <w:rPr>
          <w:rFonts w:ascii="宋体" w:hAnsi="宋体" w:eastAsia="宋体"/>
          <w:color w:val="auto"/>
          <w:sz w:val="28"/>
          <w:szCs w:val="28"/>
        </w:rPr>
        <w:t>”，一旦发生大面积泄漏或者发生火灾事故产生大量的消防水，则可以通过设置的暗沟排到收集池集中收集。另外，在车间和仓库还配备有消防沙，如有少量泄漏，采用消防沙覆盖吸收，公司已通过环境应急预案评审及备案。</w:t>
      </w:r>
    </w:p>
    <w:p>
      <w:pPr>
        <w:spacing w:line="560" w:lineRule="exact"/>
        <w:ind w:firstLine="425" w:firstLineChars="152"/>
        <w:rPr>
          <w:rFonts w:ascii="宋体" w:hAnsi="宋体" w:eastAsia="宋体"/>
          <w:color w:val="auto"/>
          <w:sz w:val="28"/>
          <w:szCs w:val="28"/>
        </w:rPr>
      </w:pPr>
      <w:r>
        <w:rPr>
          <w:rFonts w:ascii="宋体" w:hAnsi="宋体" w:eastAsia="宋体"/>
          <w:color w:val="auto"/>
          <w:sz w:val="28"/>
          <w:szCs w:val="28"/>
        </w:rPr>
        <w:t>公司每年定期对员工进行应急响应的培训，培训通过集中上课的方式进行，学习事故处理措施、化学防护用品的使用及堵漏、污染预防与消除等基本知识。并将事故应急措施、基本防护知识印发给员工，让员工学习掌握。</w:t>
      </w:r>
    </w:p>
    <w:p>
      <w:pPr>
        <w:spacing w:line="560" w:lineRule="exact"/>
        <w:ind w:firstLine="425" w:firstLineChars="152"/>
        <w:rPr>
          <w:rFonts w:ascii="宋体" w:hAnsi="宋体" w:eastAsia="宋体"/>
          <w:color w:val="auto"/>
          <w:sz w:val="28"/>
          <w:szCs w:val="28"/>
        </w:rPr>
      </w:pPr>
      <w:r>
        <w:rPr>
          <w:rFonts w:ascii="宋体" w:hAnsi="宋体" w:eastAsia="宋体"/>
          <w:color w:val="auto"/>
          <w:sz w:val="28"/>
          <w:szCs w:val="28"/>
        </w:rPr>
        <w:t>通过以上的各种措施，评价组认为该公司在落实事故状态下防止环境污染的各项措施是科学的、有效的。</w:t>
      </w:r>
    </w:p>
    <w:p>
      <w:pPr>
        <w:spacing w:line="560" w:lineRule="exact"/>
        <w:ind w:firstLine="425" w:firstLineChars="152"/>
        <w:rPr>
          <w:rFonts w:ascii="宋体" w:hAnsi="宋体" w:eastAsia="宋体"/>
          <w:color w:val="auto"/>
          <w:sz w:val="28"/>
          <w:szCs w:val="28"/>
        </w:rPr>
      </w:pPr>
      <w:bookmarkStart w:id="135" w:name="bookmark96"/>
    </w:p>
    <w:p>
      <w:pPr>
        <w:pStyle w:val="3"/>
        <w:spacing w:after="120"/>
        <w:rPr>
          <w:snapToGrid/>
          <w:color w:val="auto"/>
        </w:rPr>
      </w:pPr>
      <w:r>
        <w:rPr>
          <w:snapToGrid/>
          <w:color w:val="auto"/>
        </w:rPr>
        <w:br w:type="page"/>
      </w:r>
    </w:p>
    <w:p>
      <w:pPr>
        <w:pStyle w:val="3"/>
        <w:spacing w:after="120" w:line="550" w:lineRule="exact"/>
        <w:rPr>
          <w:snapToGrid/>
          <w:color w:val="auto"/>
        </w:rPr>
      </w:pPr>
      <w:bookmarkStart w:id="136" w:name="_Toc40045928"/>
      <w:r>
        <w:rPr>
          <w:snapToGrid/>
          <w:color w:val="auto"/>
        </w:rPr>
        <w:t>11对策措施与建议</w:t>
      </w:r>
      <w:bookmarkEnd w:id="135"/>
      <w:bookmarkEnd w:id="136"/>
    </w:p>
    <w:p>
      <w:pPr>
        <w:spacing w:line="550" w:lineRule="exact"/>
        <w:jc w:val="both"/>
        <w:outlineLvl w:val="1"/>
        <w:rPr>
          <w:rFonts w:ascii="楷体_GB2312" w:hAnsi="Times New Roman" w:eastAsia="楷体_GB2312" w:cs="Times New Roman"/>
          <w:bCs/>
          <w:color w:val="auto"/>
          <w:kern w:val="2"/>
          <w:sz w:val="32"/>
          <w:lang w:val="en-US" w:eastAsia="zh-CN" w:bidi="ar-SA"/>
        </w:rPr>
      </w:pPr>
      <w:bookmarkStart w:id="137" w:name="bookmark98"/>
      <w:bookmarkStart w:id="138" w:name="bookmark99"/>
      <w:bookmarkStart w:id="139" w:name="_Toc40045929"/>
      <w:bookmarkStart w:id="140" w:name="bookmark97"/>
      <w:r>
        <w:rPr>
          <w:rFonts w:ascii="楷体_GB2312" w:hAnsi="Times New Roman" w:eastAsia="楷体_GB2312" w:cs="Times New Roman"/>
          <w:bCs/>
          <w:color w:val="auto"/>
          <w:kern w:val="2"/>
          <w:sz w:val="32"/>
          <w:lang w:val="en-US" w:eastAsia="zh-CN" w:bidi="ar-SA"/>
        </w:rPr>
        <w:t>11.1存在的事故隐患及整改措施</w:t>
      </w:r>
      <w:bookmarkEnd w:id="137"/>
      <w:bookmarkEnd w:id="138"/>
      <w:bookmarkEnd w:id="139"/>
      <w:bookmarkEnd w:id="140"/>
    </w:p>
    <w:p>
      <w:pPr>
        <w:spacing w:line="550" w:lineRule="exact"/>
        <w:ind w:firstLine="425" w:firstLineChars="152"/>
        <w:rPr>
          <w:rFonts w:ascii="宋体" w:hAnsi="宋体" w:eastAsia="宋体"/>
          <w:color w:val="auto"/>
          <w:sz w:val="28"/>
          <w:szCs w:val="28"/>
        </w:rPr>
      </w:pPr>
      <w:r>
        <w:rPr>
          <w:rFonts w:ascii="宋体" w:hAnsi="宋体" w:eastAsia="宋体"/>
          <w:color w:val="auto"/>
          <w:sz w:val="28"/>
          <w:szCs w:val="28"/>
        </w:rPr>
        <w:t>根据国家有关安全生产法律法规、标准，以及该公司的具体情况，评价组经现场检查对存在的事故隐患，提出如下整改意见和安全对策措施。</w:t>
      </w:r>
    </w:p>
    <w:p>
      <w:pPr>
        <w:spacing w:line="550" w:lineRule="exact"/>
        <w:jc w:val="center"/>
        <w:rPr>
          <w:rFonts w:ascii="宋体" w:hAnsi="宋体" w:eastAsia="宋体"/>
          <w:b/>
          <w:color w:val="auto"/>
        </w:rPr>
      </w:pPr>
      <w:r>
        <w:rPr>
          <w:rFonts w:ascii="宋体" w:hAnsi="宋体" w:eastAsia="宋体"/>
          <w:b/>
          <w:color w:val="auto"/>
        </w:rPr>
        <w:t>表11-1整改意见</w:t>
      </w:r>
    </w:p>
    <w:tbl>
      <w:tblPr>
        <w:tblStyle w:val="45"/>
        <w:tblW w:w="5000" w:type="pct"/>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 w:type="dxa"/>
          <w:bottom w:w="0" w:type="dxa"/>
          <w:right w:w="10" w:type="dxa"/>
        </w:tblCellMar>
      </w:tblPr>
      <w:tblGrid>
        <w:gridCol w:w="657"/>
        <w:gridCol w:w="3932"/>
        <w:gridCol w:w="4609"/>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rPr>
          <w:trHeight w:val="510" w:hRule="atLeast"/>
          <w:tblHeader/>
          <w:jc w:val="center"/>
        </w:trPr>
        <w:tc>
          <w:tcPr>
            <w:tcW w:w="657" w:type="dxa"/>
            <w:shd w:val="clear" w:color="auto" w:fill="FFFFFF"/>
            <w:vAlign w:val="center"/>
          </w:tcPr>
          <w:p>
            <w:pPr>
              <w:spacing w:line="360" w:lineRule="exact"/>
              <w:jc w:val="center"/>
              <w:rPr>
                <w:rFonts w:ascii="楷体" w:hAnsi="楷体" w:eastAsia="楷体"/>
                <w:b/>
                <w:color w:val="auto"/>
                <w:sz w:val="21"/>
                <w:szCs w:val="21"/>
              </w:rPr>
            </w:pPr>
            <w:r>
              <w:rPr>
                <w:rFonts w:ascii="楷体" w:hAnsi="楷体" w:eastAsia="楷体"/>
                <w:b/>
                <w:color w:val="auto"/>
                <w:sz w:val="21"/>
                <w:szCs w:val="21"/>
              </w:rPr>
              <w:t>序号</w:t>
            </w:r>
          </w:p>
        </w:tc>
        <w:tc>
          <w:tcPr>
            <w:tcW w:w="3932" w:type="dxa"/>
            <w:shd w:val="clear" w:color="auto" w:fill="FFFFFF"/>
            <w:vAlign w:val="center"/>
          </w:tcPr>
          <w:p>
            <w:pPr>
              <w:spacing w:line="360" w:lineRule="exact"/>
              <w:jc w:val="center"/>
              <w:rPr>
                <w:rFonts w:ascii="楷体" w:hAnsi="楷体" w:eastAsia="楷体"/>
                <w:b/>
                <w:color w:val="auto"/>
                <w:sz w:val="21"/>
                <w:szCs w:val="21"/>
              </w:rPr>
            </w:pPr>
            <w:r>
              <w:rPr>
                <w:rFonts w:ascii="楷体" w:hAnsi="楷体" w:eastAsia="楷体"/>
                <w:b/>
                <w:color w:val="auto"/>
                <w:sz w:val="21"/>
                <w:szCs w:val="21"/>
              </w:rPr>
              <w:t>存在问题</w:t>
            </w:r>
          </w:p>
        </w:tc>
        <w:tc>
          <w:tcPr>
            <w:tcW w:w="4609" w:type="dxa"/>
            <w:shd w:val="clear" w:color="auto" w:fill="FFFFFF"/>
            <w:vAlign w:val="center"/>
          </w:tcPr>
          <w:p>
            <w:pPr>
              <w:spacing w:line="360" w:lineRule="exact"/>
              <w:jc w:val="center"/>
              <w:rPr>
                <w:rFonts w:ascii="楷体" w:hAnsi="楷体" w:eastAsia="楷体"/>
                <w:b/>
                <w:color w:val="auto"/>
                <w:sz w:val="21"/>
                <w:szCs w:val="21"/>
              </w:rPr>
            </w:pPr>
            <w:r>
              <w:rPr>
                <w:rFonts w:ascii="楷体" w:hAnsi="楷体" w:eastAsia="楷体"/>
                <w:b/>
                <w:color w:val="auto"/>
                <w:sz w:val="21"/>
                <w:szCs w:val="21"/>
              </w:rPr>
              <w:t>安全对策措施</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657" w:type="dxa"/>
            <w:shd w:val="clear" w:color="auto" w:fill="FFFFFF"/>
            <w:vAlign w:val="center"/>
          </w:tcPr>
          <w:p>
            <w:pPr>
              <w:spacing w:line="360" w:lineRule="exact"/>
              <w:jc w:val="center"/>
              <w:rPr>
                <w:rFonts w:ascii="楷体" w:hAnsi="楷体" w:eastAsia="楷体"/>
                <w:color w:val="auto"/>
                <w:sz w:val="21"/>
                <w:szCs w:val="21"/>
                <w:lang w:eastAsia="zh-CN"/>
              </w:rPr>
            </w:pPr>
            <w:r>
              <w:rPr>
                <w:rFonts w:hint="eastAsia" w:ascii="楷体" w:hAnsi="楷体" w:eastAsia="楷体"/>
                <w:color w:val="auto"/>
                <w:sz w:val="21"/>
                <w:szCs w:val="21"/>
                <w:lang w:eastAsia="zh-CN"/>
              </w:rPr>
              <w:t>1</w:t>
            </w:r>
          </w:p>
        </w:tc>
        <w:tc>
          <w:tcPr>
            <w:tcW w:w="3932" w:type="dxa"/>
            <w:shd w:val="clear" w:color="auto" w:fill="FFFFFF"/>
            <w:vAlign w:val="center"/>
          </w:tcPr>
          <w:p>
            <w:pPr>
              <w:spacing w:line="360" w:lineRule="exact"/>
              <w:ind w:left="46" w:leftChars="19" w:right="31" w:rightChars="13" w:firstLine="46" w:firstLineChars="22"/>
              <w:jc w:val="both"/>
              <w:rPr>
                <w:rFonts w:ascii="楷体" w:hAnsi="楷体" w:eastAsia="楷体"/>
                <w:color w:val="auto"/>
                <w:sz w:val="21"/>
                <w:szCs w:val="21"/>
              </w:rPr>
            </w:pPr>
            <w:r>
              <w:rPr>
                <w:rFonts w:hint="eastAsia" w:ascii="楷体" w:hAnsi="楷体" w:eastAsia="楷体" w:cs="宋体"/>
                <w:color w:val="auto"/>
                <w:sz w:val="21"/>
                <w:szCs w:val="21"/>
              </w:rPr>
              <w:t>危险化学品仓1、2、3</w:t>
            </w:r>
            <w:r>
              <w:rPr>
                <w:rFonts w:hint="eastAsia" w:ascii="楷体" w:hAnsi="楷体" w:eastAsia="楷体" w:cs="宋体"/>
                <w:color w:val="auto"/>
                <w:sz w:val="21"/>
                <w:szCs w:val="21"/>
                <w:lang w:eastAsia="zh-CN"/>
              </w:rPr>
              <w:t>及生产车间</w:t>
            </w:r>
            <w:r>
              <w:rPr>
                <w:rFonts w:hint="eastAsia" w:ascii="楷体" w:hAnsi="楷体" w:eastAsia="楷体" w:cs="宋体"/>
                <w:color w:val="auto"/>
                <w:sz w:val="21"/>
                <w:szCs w:val="21"/>
              </w:rPr>
              <w:t>内物料安全周知卡不足且与现场存放情况不对应。</w:t>
            </w:r>
          </w:p>
        </w:tc>
        <w:tc>
          <w:tcPr>
            <w:tcW w:w="4609" w:type="dxa"/>
            <w:shd w:val="clear" w:color="auto" w:fill="FFFFFF"/>
            <w:vAlign w:val="center"/>
          </w:tcPr>
          <w:p>
            <w:pPr>
              <w:spacing w:line="360" w:lineRule="exact"/>
              <w:ind w:left="46" w:leftChars="19" w:right="31" w:rightChars="13" w:firstLine="46" w:firstLineChars="22"/>
              <w:jc w:val="both"/>
              <w:rPr>
                <w:rFonts w:ascii="楷体" w:hAnsi="楷体" w:eastAsia="楷体"/>
                <w:color w:val="auto"/>
                <w:sz w:val="21"/>
                <w:szCs w:val="21"/>
                <w:lang w:eastAsia="zh-CN"/>
              </w:rPr>
            </w:pPr>
            <w:r>
              <w:rPr>
                <w:rFonts w:hint="eastAsia" w:ascii="楷体" w:hAnsi="楷体" w:eastAsia="楷体"/>
                <w:color w:val="auto"/>
                <w:sz w:val="21"/>
                <w:szCs w:val="21"/>
                <w:lang w:eastAsia="zh-CN"/>
              </w:rPr>
              <w:t>应在物料、产品和使用岗位设置对应的安全周知卡。</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657" w:type="dxa"/>
            <w:shd w:val="clear" w:color="auto" w:fill="FFFFFF"/>
            <w:vAlign w:val="center"/>
          </w:tcPr>
          <w:p>
            <w:pPr>
              <w:spacing w:line="360" w:lineRule="exact"/>
              <w:jc w:val="center"/>
              <w:rPr>
                <w:rFonts w:ascii="楷体" w:hAnsi="楷体" w:eastAsia="楷体"/>
                <w:color w:val="auto"/>
                <w:sz w:val="21"/>
                <w:szCs w:val="21"/>
                <w:lang w:eastAsia="zh-CN"/>
              </w:rPr>
            </w:pPr>
            <w:r>
              <w:rPr>
                <w:rFonts w:hint="eastAsia" w:ascii="楷体" w:hAnsi="楷体" w:eastAsia="楷体"/>
                <w:color w:val="auto"/>
                <w:sz w:val="21"/>
                <w:szCs w:val="21"/>
                <w:lang w:eastAsia="zh-CN"/>
              </w:rPr>
              <w:t>2</w:t>
            </w:r>
          </w:p>
        </w:tc>
        <w:tc>
          <w:tcPr>
            <w:tcW w:w="3932" w:type="dxa"/>
            <w:shd w:val="clear" w:color="auto" w:fill="FFFFFF"/>
            <w:vAlign w:val="center"/>
          </w:tcPr>
          <w:p>
            <w:pPr>
              <w:spacing w:line="360" w:lineRule="exact"/>
              <w:ind w:left="46" w:leftChars="19" w:right="31" w:rightChars="13" w:firstLine="46" w:firstLineChars="22"/>
              <w:jc w:val="both"/>
              <w:rPr>
                <w:rFonts w:ascii="楷体" w:hAnsi="楷体" w:eastAsia="楷体"/>
                <w:color w:val="auto"/>
                <w:sz w:val="21"/>
                <w:szCs w:val="21"/>
              </w:rPr>
            </w:pPr>
            <w:r>
              <w:rPr>
                <w:rFonts w:hint="eastAsia" w:ascii="楷体" w:hAnsi="楷体" w:eastAsia="楷体" w:cs="宋体"/>
                <w:color w:val="auto"/>
                <w:sz w:val="21"/>
                <w:szCs w:val="21"/>
              </w:rPr>
              <w:t>危险化学品仓库1无洗眼器。</w:t>
            </w:r>
          </w:p>
        </w:tc>
        <w:tc>
          <w:tcPr>
            <w:tcW w:w="4609" w:type="dxa"/>
            <w:shd w:val="clear" w:color="auto" w:fill="FFFFFF"/>
            <w:vAlign w:val="center"/>
          </w:tcPr>
          <w:p>
            <w:pPr>
              <w:spacing w:line="360" w:lineRule="exact"/>
              <w:ind w:left="46" w:leftChars="19" w:right="31" w:rightChars="13" w:firstLine="46" w:firstLineChars="22"/>
              <w:jc w:val="both"/>
              <w:rPr>
                <w:rFonts w:ascii="楷体" w:hAnsi="楷体" w:eastAsia="楷体"/>
                <w:color w:val="auto"/>
                <w:sz w:val="21"/>
                <w:szCs w:val="21"/>
              </w:rPr>
            </w:pPr>
            <w:r>
              <w:rPr>
                <w:rFonts w:hint="eastAsia" w:ascii="楷体" w:hAnsi="楷体" w:eastAsia="楷体" w:cs="宋体"/>
                <w:color w:val="auto"/>
                <w:sz w:val="21"/>
                <w:szCs w:val="21"/>
              </w:rPr>
              <w:t>建议在仓库门口安装洗眼喷淋装置，服务半径应不大于15m。</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657" w:type="dxa"/>
            <w:shd w:val="clear" w:color="auto" w:fill="FFFFFF"/>
            <w:vAlign w:val="center"/>
          </w:tcPr>
          <w:p>
            <w:pPr>
              <w:spacing w:line="360" w:lineRule="exact"/>
              <w:jc w:val="center"/>
              <w:rPr>
                <w:rFonts w:ascii="楷体" w:hAnsi="楷体" w:eastAsia="楷体"/>
                <w:color w:val="auto"/>
                <w:sz w:val="21"/>
                <w:szCs w:val="21"/>
                <w:lang w:eastAsia="zh-CN"/>
              </w:rPr>
            </w:pPr>
            <w:r>
              <w:rPr>
                <w:rFonts w:hint="eastAsia" w:ascii="楷体" w:hAnsi="楷体" w:eastAsia="楷体"/>
                <w:color w:val="auto"/>
                <w:sz w:val="21"/>
                <w:szCs w:val="21"/>
                <w:lang w:eastAsia="zh-CN"/>
              </w:rPr>
              <w:t>3</w:t>
            </w:r>
          </w:p>
        </w:tc>
        <w:tc>
          <w:tcPr>
            <w:tcW w:w="3932" w:type="dxa"/>
            <w:shd w:val="clear" w:color="auto" w:fill="FFFFFF"/>
            <w:vAlign w:val="center"/>
          </w:tcPr>
          <w:p>
            <w:pPr>
              <w:spacing w:line="360" w:lineRule="exact"/>
              <w:ind w:left="46" w:leftChars="19" w:right="31" w:rightChars="13" w:firstLine="46" w:firstLineChars="22"/>
              <w:jc w:val="both"/>
              <w:rPr>
                <w:rFonts w:ascii="楷体" w:hAnsi="楷体" w:eastAsia="楷体"/>
                <w:color w:val="auto"/>
                <w:sz w:val="21"/>
                <w:szCs w:val="21"/>
              </w:rPr>
            </w:pPr>
            <w:r>
              <w:rPr>
                <w:rFonts w:hint="eastAsia" w:ascii="楷体" w:hAnsi="楷体" w:eastAsia="楷体" w:cs="宋体"/>
                <w:color w:val="auto"/>
                <w:sz w:val="21"/>
                <w:szCs w:val="21"/>
                <w:lang w:eastAsia="zh-CN"/>
              </w:rPr>
              <w:t>泡沫原液储罐</w:t>
            </w:r>
            <w:r>
              <w:rPr>
                <w:rFonts w:hint="eastAsia" w:ascii="楷体" w:hAnsi="楷体" w:eastAsia="楷体" w:cs="宋体"/>
                <w:color w:val="auto"/>
                <w:sz w:val="21"/>
                <w:szCs w:val="21"/>
              </w:rPr>
              <w:t>缺少相关的产品规格标识。</w:t>
            </w:r>
          </w:p>
        </w:tc>
        <w:tc>
          <w:tcPr>
            <w:tcW w:w="4609" w:type="dxa"/>
            <w:shd w:val="clear" w:color="auto" w:fill="FFFFFF"/>
            <w:vAlign w:val="center"/>
          </w:tcPr>
          <w:p>
            <w:pPr>
              <w:spacing w:line="360" w:lineRule="exact"/>
              <w:ind w:left="46" w:leftChars="19" w:right="31" w:rightChars="13" w:firstLine="46" w:firstLineChars="22"/>
              <w:jc w:val="both"/>
              <w:rPr>
                <w:rFonts w:ascii="楷体" w:hAnsi="楷体" w:eastAsia="楷体"/>
                <w:color w:val="auto"/>
                <w:sz w:val="21"/>
                <w:szCs w:val="21"/>
              </w:rPr>
            </w:pPr>
            <w:r>
              <w:rPr>
                <w:rFonts w:hint="eastAsia" w:ascii="楷体" w:hAnsi="楷体" w:eastAsia="楷体" w:cs="宋体"/>
                <w:color w:val="auto"/>
                <w:sz w:val="21"/>
                <w:szCs w:val="21"/>
                <w:lang w:eastAsia="zh-CN"/>
              </w:rPr>
              <w:t>在</w:t>
            </w:r>
            <w:r>
              <w:rPr>
                <w:rFonts w:hint="eastAsia" w:ascii="楷体" w:hAnsi="楷体" w:eastAsia="楷体" w:cs="宋体"/>
                <w:color w:val="auto"/>
                <w:sz w:val="21"/>
                <w:szCs w:val="21"/>
              </w:rPr>
              <w:t>泡沫</w:t>
            </w:r>
            <w:r>
              <w:rPr>
                <w:rFonts w:hint="eastAsia" w:ascii="楷体" w:hAnsi="楷体" w:eastAsia="楷体" w:cs="宋体"/>
                <w:color w:val="auto"/>
                <w:sz w:val="21"/>
                <w:szCs w:val="21"/>
                <w:lang w:eastAsia="zh-CN"/>
              </w:rPr>
              <w:t>原</w:t>
            </w:r>
            <w:r>
              <w:rPr>
                <w:rFonts w:hint="eastAsia" w:ascii="楷体" w:hAnsi="楷体" w:eastAsia="楷体" w:cs="宋体"/>
                <w:color w:val="auto"/>
                <w:sz w:val="21"/>
                <w:szCs w:val="21"/>
              </w:rPr>
              <w:t>液储罐上</w:t>
            </w:r>
            <w:r>
              <w:rPr>
                <w:rFonts w:hint="eastAsia" w:ascii="楷体" w:hAnsi="楷体" w:eastAsia="楷体" w:cs="宋体"/>
                <w:color w:val="auto"/>
                <w:sz w:val="21"/>
                <w:szCs w:val="21"/>
                <w:lang w:eastAsia="zh-CN"/>
              </w:rPr>
              <w:t>标</w:t>
            </w:r>
            <w:r>
              <w:rPr>
                <w:rFonts w:hint="eastAsia" w:ascii="楷体" w:hAnsi="楷体" w:eastAsia="楷体" w:cs="宋体"/>
                <w:color w:val="auto"/>
                <w:sz w:val="21"/>
                <w:szCs w:val="21"/>
              </w:rPr>
              <w:t>明泡沫</w:t>
            </w:r>
            <w:r>
              <w:rPr>
                <w:rFonts w:hint="eastAsia" w:ascii="楷体" w:hAnsi="楷体" w:eastAsia="楷体" w:cs="宋体"/>
                <w:color w:val="auto"/>
                <w:sz w:val="21"/>
                <w:szCs w:val="21"/>
                <w:lang w:eastAsia="zh-CN"/>
              </w:rPr>
              <w:t>原</w:t>
            </w:r>
            <w:r>
              <w:rPr>
                <w:rFonts w:hint="eastAsia" w:ascii="楷体" w:hAnsi="楷体" w:eastAsia="楷体" w:cs="宋体"/>
                <w:color w:val="auto"/>
                <w:sz w:val="21"/>
                <w:szCs w:val="21"/>
              </w:rPr>
              <w:t>液种类、灌装日期及储量的标识。</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657" w:type="dxa"/>
            <w:shd w:val="clear" w:color="auto" w:fill="FFFFFF"/>
            <w:vAlign w:val="center"/>
          </w:tcPr>
          <w:p>
            <w:pPr>
              <w:spacing w:line="360" w:lineRule="exact"/>
              <w:jc w:val="center"/>
              <w:rPr>
                <w:rFonts w:ascii="楷体" w:hAnsi="楷体" w:eastAsia="楷体"/>
                <w:color w:val="auto"/>
                <w:sz w:val="21"/>
                <w:szCs w:val="21"/>
                <w:lang w:eastAsia="zh-CN"/>
              </w:rPr>
            </w:pPr>
            <w:r>
              <w:rPr>
                <w:rFonts w:hint="eastAsia" w:ascii="楷体" w:hAnsi="楷体" w:eastAsia="楷体"/>
                <w:color w:val="auto"/>
                <w:sz w:val="21"/>
                <w:szCs w:val="21"/>
                <w:lang w:eastAsia="zh-CN"/>
              </w:rPr>
              <w:t>4</w:t>
            </w:r>
          </w:p>
        </w:tc>
        <w:tc>
          <w:tcPr>
            <w:tcW w:w="3932" w:type="dxa"/>
            <w:shd w:val="clear" w:color="auto" w:fill="FFFFFF"/>
            <w:vAlign w:val="center"/>
          </w:tcPr>
          <w:p>
            <w:pPr>
              <w:spacing w:line="360" w:lineRule="exact"/>
              <w:ind w:left="46" w:leftChars="19" w:right="31" w:rightChars="13" w:firstLine="46" w:firstLineChars="22"/>
              <w:jc w:val="both"/>
              <w:rPr>
                <w:rFonts w:ascii="楷体" w:hAnsi="楷体" w:eastAsia="楷体"/>
                <w:color w:val="auto"/>
                <w:sz w:val="21"/>
                <w:szCs w:val="21"/>
              </w:rPr>
            </w:pPr>
            <w:r>
              <w:rPr>
                <w:rFonts w:hint="eastAsia" w:ascii="楷体" w:hAnsi="楷体" w:eastAsia="楷体" w:cs="宋体"/>
                <w:color w:val="auto"/>
                <w:sz w:val="21"/>
                <w:szCs w:val="21"/>
              </w:rPr>
              <w:t>配电房门口处缺少“禁止进入”安全警示标识，配电箱上缺少“当心触电”的安全警示标识。</w:t>
            </w:r>
          </w:p>
        </w:tc>
        <w:tc>
          <w:tcPr>
            <w:tcW w:w="4609" w:type="dxa"/>
            <w:shd w:val="clear" w:color="auto" w:fill="FFFFFF"/>
            <w:vAlign w:val="center"/>
          </w:tcPr>
          <w:p>
            <w:pPr>
              <w:spacing w:line="360" w:lineRule="exact"/>
              <w:ind w:left="46" w:leftChars="19" w:right="31" w:rightChars="13" w:firstLine="46" w:firstLineChars="22"/>
              <w:jc w:val="both"/>
              <w:rPr>
                <w:rFonts w:ascii="楷体" w:hAnsi="楷体" w:eastAsia="楷体"/>
                <w:color w:val="auto"/>
                <w:sz w:val="21"/>
                <w:szCs w:val="21"/>
              </w:rPr>
            </w:pPr>
            <w:r>
              <w:rPr>
                <w:rFonts w:hint="eastAsia" w:ascii="楷体" w:hAnsi="楷体" w:eastAsia="楷体" w:cs="宋体"/>
                <w:color w:val="auto"/>
                <w:sz w:val="21"/>
                <w:szCs w:val="21"/>
              </w:rPr>
              <w:t>建议在</w:t>
            </w:r>
            <w:r>
              <w:rPr>
                <w:rFonts w:hint="eastAsia" w:ascii="楷体" w:hAnsi="楷体" w:eastAsia="楷体" w:cs="宋体"/>
                <w:color w:val="auto"/>
                <w:sz w:val="21"/>
                <w:szCs w:val="21"/>
                <w:lang w:eastAsia="zh-CN"/>
              </w:rPr>
              <w:t>门</w:t>
            </w:r>
            <w:r>
              <w:rPr>
                <w:rFonts w:hint="eastAsia" w:ascii="楷体" w:hAnsi="楷体" w:eastAsia="楷体" w:cs="宋体"/>
                <w:color w:val="auto"/>
                <w:sz w:val="21"/>
                <w:szCs w:val="21"/>
              </w:rPr>
              <w:t>口处增加“禁止进入”的警示标识，在配电柜上增加“当心触电”警示标识。</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657" w:type="dxa"/>
            <w:shd w:val="clear" w:color="auto" w:fill="FFFFFF"/>
            <w:vAlign w:val="center"/>
          </w:tcPr>
          <w:p>
            <w:pPr>
              <w:spacing w:line="360" w:lineRule="exact"/>
              <w:jc w:val="center"/>
              <w:rPr>
                <w:rFonts w:ascii="楷体" w:hAnsi="楷体" w:eastAsia="楷体"/>
                <w:color w:val="auto"/>
                <w:sz w:val="21"/>
                <w:szCs w:val="21"/>
                <w:lang w:eastAsia="zh-CN"/>
              </w:rPr>
            </w:pPr>
            <w:r>
              <w:rPr>
                <w:rFonts w:hint="eastAsia" w:ascii="楷体" w:hAnsi="楷体" w:eastAsia="楷体"/>
                <w:color w:val="auto"/>
                <w:sz w:val="21"/>
                <w:szCs w:val="21"/>
                <w:lang w:eastAsia="zh-CN"/>
              </w:rPr>
              <w:t>5</w:t>
            </w:r>
          </w:p>
        </w:tc>
        <w:tc>
          <w:tcPr>
            <w:tcW w:w="3932" w:type="dxa"/>
            <w:shd w:val="clear" w:color="auto" w:fill="FFFFFF"/>
            <w:vAlign w:val="center"/>
          </w:tcPr>
          <w:p>
            <w:pPr>
              <w:spacing w:line="360" w:lineRule="exact"/>
              <w:ind w:left="46" w:leftChars="19" w:right="31" w:rightChars="13" w:firstLine="46" w:firstLineChars="22"/>
              <w:jc w:val="both"/>
              <w:rPr>
                <w:rFonts w:ascii="楷体" w:hAnsi="楷体" w:eastAsia="楷体"/>
                <w:color w:val="auto"/>
                <w:sz w:val="21"/>
                <w:szCs w:val="21"/>
              </w:rPr>
            </w:pPr>
            <w:r>
              <w:rPr>
                <w:rFonts w:hint="eastAsia" w:ascii="楷体" w:hAnsi="楷体" w:eastAsia="楷体" w:cs="宋体"/>
                <w:color w:val="auto"/>
                <w:sz w:val="21"/>
                <w:szCs w:val="21"/>
              </w:rPr>
              <w:t>实验室出入口门内开，不符合要求。</w:t>
            </w:r>
          </w:p>
        </w:tc>
        <w:tc>
          <w:tcPr>
            <w:tcW w:w="4609" w:type="dxa"/>
            <w:shd w:val="clear" w:color="auto" w:fill="FFFFFF"/>
            <w:vAlign w:val="center"/>
          </w:tcPr>
          <w:p>
            <w:pPr>
              <w:spacing w:line="360" w:lineRule="exact"/>
              <w:ind w:left="46" w:leftChars="19" w:right="31" w:rightChars="13" w:firstLine="46" w:firstLineChars="22"/>
              <w:jc w:val="both"/>
              <w:rPr>
                <w:rFonts w:ascii="楷体" w:hAnsi="楷体" w:eastAsia="楷体"/>
                <w:color w:val="auto"/>
                <w:sz w:val="21"/>
                <w:szCs w:val="21"/>
                <w:lang w:eastAsia="zh-CN"/>
              </w:rPr>
            </w:pPr>
            <w:r>
              <w:rPr>
                <w:rFonts w:hint="eastAsia" w:ascii="楷体" w:hAnsi="楷体" w:eastAsia="楷体" w:cs="宋体"/>
                <w:color w:val="auto"/>
                <w:sz w:val="21"/>
                <w:szCs w:val="21"/>
                <w:lang w:eastAsia="zh-CN"/>
              </w:rPr>
              <w:t>实验室门应向外开启。</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657" w:type="dxa"/>
            <w:shd w:val="clear" w:color="auto" w:fill="FFFFFF"/>
            <w:vAlign w:val="center"/>
          </w:tcPr>
          <w:p>
            <w:pPr>
              <w:spacing w:line="360" w:lineRule="exact"/>
              <w:jc w:val="center"/>
              <w:rPr>
                <w:rFonts w:ascii="楷体" w:hAnsi="楷体" w:eastAsia="楷体"/>
                <w:color w:val="auto"/>
                <w:sz w:val="21"/>
                <w:szCs w:val="21"/>
                <w:lang w:eastAsia="zh-CN"/>
              </w:rPr>
            </w:pPr>
            <w:r>
              <w:rPr>
                <w:rFonts w:hint="eastAsia" w:ascii="楷体" w:hAnsi="楷体" w:eastAsia="楷体"/>
                <w:color w:val="auto"/>
                <w:sz w:val="21"/>
                <w:szCs w:val="21"/>
                <w:lang w:eastAsia="zh-CN"/>
              </w:rPr>
              <w:t>6</w:t>
            </w:r>
          </w:p>
        </w:tc>
        <w:tc>
          <w:tcPr>
            <w:tcW w:w="3932" w:type="dxa"/>
            <w:shd w:val="clear" w:color="auto" w:fill="FFFFFF"/>
            <w:vAlign w:val="center"/>
          </w:tcPr>
          <w:p>
            <w:pPr>
              <w:spacing w:line="360" w:lineRule="exact"/>
              <w:ind w:left="46" w:leftChars="19" w:right="31" w:rightChars="13" w:firstLine="46" w:firstLineChars="22"/>
              <w:jc w:val="both"/>
              <w:rPr>
                <w:rFonts w:ascii="楷体" w:hAnsi="楷体" w:eastAsia="楷体"/>
                <w:color w:val="auto"/>
                <w:sz w:val="21"/>
                <w:szCs w:val="21"/>
              </w:rPr>
            </w:pPr>
            <w:r>
              <w:rPr>
                <w:rFonts w:hint="eastAsia" w:ascii="楷体" w:hAnsi="楷体" w:eastAsia="楷体" w:cs="宋体"/>
                <w:color w:val="auto"/>
                <w:sz w:val="21"/>
                <w:szCs w:val="21"/>
              </w:rPr>
              <w:t>实验室内设备</w:t>
            </w:r>
            <w:r>
              <w:rPr>
                <w:rFonts w:hint="eastAsia" w:ascii="楷体" w:hAnsi="楷体" w:eastAsia="楷体" w:cs="宋体"/>
                <w:color w:val="auto"/>
                <w:sz w:val="21"/>
                <w:szCs w:val="21"/>
                <w:lang w:eastAsia="zh-CN"/>
              </w:rPr>
              <w:t>电气</w:t>
            </w:r>
            <w:r>
              <w:rPr>
                <w:rFonts w:hint="eastAsia" w:ascii="楷体" w:hAnsi="楷体" w:eastAsia="楷体" w:cs="宋体"/>
                <w:color w:val="auto"/>
                <w:sz w:val="21"/>
                <w:szCs w:val="21"/>
              </w:rPr>
              <w:t>线路</w:t>
            </w:r>
            <w:r>
              <w:rPr>
                <w:rFonts w:hint="eastAsia" w:ascii="楷体" w:hAnsi="楷体" w:eastAsia="楷体" w:cs="宋体"/>
                <w:color w:val="auto"/>
                <w:sz w:val="21"/>
                <w:szCs w:val="21"/>
                <w:lang w:eastAsia="zh-CN"/>
              </w:rPr>
              <w:t>接口处</w:t>
            </w:r>
            <w:r>
              <w:rPr>
                <w:rFonts w:hint="eastAsia" w:ascii="楷体" w:hAnsi="楷体" w:eastAsia="楷体" w:cs="宋体"/>
                <w:color w:val="auto"/>
                <w:sz w:val="21"/>
                <w:szCs w:val="21"/>
              </w:rPr>
              <w:t>有损坏，不符合防爆要求。</w:t>
            </w:r>
          </w:p>
        </w:tc>
        <w:tc>
          <w:tcPr>
            <w:tcW w:w="4609" w:type="dxa"/>
            <w:shd w:val="clear" w:color="auto" w:fill="FFFFFF"/>
            <w:vAlign w:val="center"/>
          </w:tcPr>
          <w:p>
            <w:pPr>
              <w:spacing w:line="360" w:lineRule="exact"/>
              <w:ind w:left="46" w:leftChars="19" w:right="31" w:rightChars="13" w:firstLine="46" w:firstLineChars="22"/>
              <w:jc w:val="both"/>
              <w:rPr>
                <w:rFonts w:ascii="楷体" w:hAnsi="楷体" w:eastAsia="楷体"/>
                <w:color w:val="auto"/>
                <w:sz w:val="21"/>
                <w:szCs w:val="21"/>
                <w:lang w:eastAsia="zh-CN"/>
              </w:rPr>
            </w:pPr>
            <w:r>
              <w:rPr>
                <w:rFonts w:hint="eastAsia" w:ascii="楷体" w:hAnsi="楷体" w:eastAsia="楷体"/>
                <w:color w:val="auto"/>
                <w:sz w:val="21"/>
                <w:szCs w:val="21"/>
                <w:lang w:eastAsia="zh-CN"/>
              </w:rPr>
              <w:t>按相关规定做好接口处线路穿管，保证其能满足防爆要求。</w:t>
            </w:r>
          </w:p>
        </w:tc>
      </w:tr>
    </w:tbl>
    <w:p>
      <w:pPr>
        <w:spacing w:line="550" w:lineRule="exact"/>
        <w:jc w:val="both"/>
        <w:outlineLvl w:val="1"/>
        <w:rPr>
          <w:rFonts w:ascii="楷体_GB2312" w:hAnsi="Times New Roman" w:eastAsia="楷体_GB2312" w:cs="Times New Roman"/>
          <w:bCs/>
          <w:color w:val="auto"/>
          <w:kern w:val="2"/>
          <w:sz w:val="32"/>
          <w:lang w:val="en-US" w:eastAsia="zh-CN" w:bidi="ar-SA"/>
        </w:rPr>
      </w:pPr>
      <w:bookmarkStart w:id="141" w:name="bookmark100"/>
      <w:bookmarkStart w:id="142" w:name="_Toc40045930"/>
      <w:r>
        <w:rPr>
          <w:rFonts w:ascii="楷体_GB2312" w:hAnsi="Times New Roman" w:eastAsia="楷体_GB2312" w:cs="Times New Roman"/>
          <w:bCs/>
          <w:color w:val="auto"/>
          <w:kern w:val="2"/>
          <w:sz w:val="32"/>
          <w:lang w:val="en-US" w:eastAsia="zh-CN" w:bidi="ar-SA"/>
        </w:rPr>
        <w:t>11.2建议补充的安全对策措施</w:t>
      </w:r>
      <w:bookmarkEnd w:id="141"/>
      <w:bookmarkEnd w:id="142"/>
    </w:p>
    <w:p>
      <w:pPr>
        <w:spacing w:line="550" w:lineRule="exact"/>
        <w:ind w:firstLine="425" w:firstLineChars="152"/>
        <w:rPr>
          <w:rFonts w:ascii="宋体" w:hAnsi="宋体" w:eastAsia="宋体"/>
          <w:color w:val="auto"/>
          <w:sz w:val="28"/>
          <w:szCs w:val="28"/>
        </w:rPr>
      </w:pPr>
      <w:r>
        <w:rPr>
          <w:rFonts w:ascii="宋体" w:hAnsi="宋体" w:eastAsia="宋体"/>
          <w:color w:val="auto"/>
          <w:sz w:val="28"/>
          <w:szCs w:val="28"/>
        </w:rPr>
        <w:t>1</w:t>
      </w:r>
      <w:r>
        <w:rPr>
          <w:rFonts w:hint="eastAsia" w:ascii="宋体" w:hAnsi="宋体" w:eastAsia="宋体"/>
          <w:color w:val="auto"/>
          <w:sz w:val="28"/>
          <w:szCs w:val="28"/>
          <w:lang w:eastAsia="zh-CN"/>
        </w:rPr>
        <w:t>)</w:t>
      </w:r>
      <w:r>
        <w:rPr>
          <w:rFonts w:ascii="宋体" w:hAnsi="宋体" w:eastAsia="宋体"/>
          <w:color w:val="auto"/>
          <w:sz w:val="28"/>
          <w:szCs w:val="28"/>
        </w:rPr>
        <w:t>安全设施的更新与改进方面应采取的对策措施</w:t>
      </w:r>
    </w:p>
    <w:p>
      <w:pPr>
        <w:spacing w:line="550" w:lineRule="exact"/>
        <w:ind w:firstLine="425" w:firstLineChars="152"/>
        <w:rPr>
          <w:rFonts w:ascii="宋体" w:hAnsi="宋体" w:eastAsia="宋体"/>
          <w:color w:val="auto"/>
          <w:sz w:val="28"/>
          <w:szCs w:val="28"/>
        </w:rPr>
      </w:pPr>
      <w:r>
        <w:rPr>
          <w:rFonts w:ascii="宋体" w:hAnsi="宋体" w:eastAsia="宋体"/>
          <w:color w:val="auto"/>
          <w:sz w:val="28"/>
          <w:szCs w:val="28"/>
        </w:rPr>
        <w:t>就目前企业的安全设施水平来看，是国内通用的，随着科学技术的发展，会有更新、更先进的安全设施出现，也有落后的安全设施被淘汰，故企业的安全管理部门要随时注意这方面的动态，随时引进更新、更先进的安全设备设施，淘汰落后的安全设备设施。</w:t>
      </w:r>
    </w:p>
    <w:p>
      <w:pPr>
        <w:spacing w:line="550" w:lineRule="exact"/>
        <w:ind w:firstLine="425" w:firstLineChars="152"/>
        <w:rPr>
          <w:rFonts w:ascii="宋体" w:hAnsi="宋体" w:eastAsia="宋体"/>
          <w:color w:val="auto"/>
          <w:sz w:val="28"/>
          <w:szCs w:val="28"/>
        </w:rPr>
      </w:pPr>
      <w:r>
        <w:rPr>
          <w:rFonts w:ascii="宋体" w:hAnsi="宋体" w:eastAsia="宋体"/>
          <w:color w:val="auto"/>
          <w:sz w:val="28"/>
          <w:szCs w:val="28"/>
        </w:rPr>
        <w:t>2</w:t>
      </w:r>
      <w:r>
        <w:rPr>
          <w:rFonts w:hint="eastAsia" w:ascii="宋体" w:hAnsi="宋体" w:eastAsia="宋体"/>
          <w:color w:val="auto"/>
          <w:sz w:val="28"/>
          <w:szCs w:val="28"/>
          <w:lang w:eastAsia="zh-CN"/>
        </w:rPr>
        <w:t>)</w:t>
      </w:r>
      <w:r>
        <w:rPr>
          <w:rFonts w:ascii="宋体" w:hAnsi="宋体" w:eastAsia="宋体"/>
          <w:color w:val="auto"/>
          <w:sz w:val="28"/>
          <w:szCs w:val="28"/>
        </w:rPr>
        <w:t>安全条件和安全生产条件的完善和维护方面应采取的对策措施</w:t>
      </w:r>
    </w:p>
    <w:p>
      <w:pPr>
        <w:spacing w:line="550" w:lineRule="exact"/>
        <w:ind w:firstLine="425" w:firstLineChars="152"/>
        <w:rPr>
          <w:rFonts w:ascii="宋体" w:hAnsi="宋体" w:eastAsia="宋体"/>
          <w:color w:val="auto"/>
          <w:sz w:val="28"/>
          <w:szCs w:val="28"/>
        </w:rPr>
      </w:pPr>
      <w:r>
        <w:rPr>
          <w:rFonts w:ascii="宋体" w:hAnsi="宋体" w:eastAsia="宋体"/>
          <w:color w:val="auto"/>
          <w:sz w:val="28"/>
          <w:szCs w:val="28"/>
        </w:rPr>
        <w:t>现阶段该公司的安全条件能满足生产要求，但是，随着企业周边的发展，该公司所在区域周边可能会建设其它的工业建筑物，因此，要考虑以后新建项目可能对该公司的影响，所以，应该与政府相关部门保持良好的沟通，以保证未来该公司周边的单位生产、经营活动不会对该公司造成影响。</w:t>
      </w:r>
    </w:p>
    <w:p>
      <w:pPr>
        <w:spacing w:line="550" w:lineRule="exact"/>
        <w:ind w:firstLine="425" w:firstLineChars="152"/>
        <w:rPr>
          <w:rFonts w:ascii="宋体" w:hAnsi="宋体" w:eastAsia="宋体"/>
          <w:color w:val="auto"/>
          <w:sz w:val="28"/>
          <w:szCs w:val="28"/>
        </w:rPr>
      </w:pPr>
      <w:r>
        <w:rPr>
          <w:rFonts w:ascii="宋体" w:hAnsi="宋体" w:eastAsia="宋体"/>
          <w:color w:val="auto"/>
          <w:sz w:val="28"/>
          <w:szCs w:val="28"/>
        </w:rPr>
        <w:t>对于技术、工艺装置、辅助设施方面，要努力提高其安全性能，如使用无毒的原料替代现有的有毒原料，提高工艺装置的本质安全性，采用机械化操作，尽量减少人员与有毒有害物品的接触机会、对老化的设备设施、淘汰的设备设施及时更新等。</w:t>
      </w:r>
    </w:p>
    <w:p>
      <w:pPr>
        <w:spacing w:line="550" w:lineRule="exact"/>
        <w:ind w:firstLine="425" w:firstLineChars="152"/>
        <w:rPr>
          <w:rFonts w:ascii="宋体" w:hAnsi="宋体" w:eastAsia="宋体"/>
          <w:color w:val="auto"/>
          <w:sz w:val="28"/>
          <w:szCs w:val="28"/>
        </w:rPr>
      </w:pPr>
      <w:r>
        <w:rPr>
          <w:rFonts w:ascii="宋体" w:hAnsi="宋体" w:eastAsia="宋体"/>
          <w:color w:val="auto"/>
          <w:sz w:val="28"/>
          <w:szCs w:val="28"/>
        </w:rPr>
        <w:t>3</w:t>
      </w:r>
      <w:r>
        <w:rPr>
          <w:rFonts w:hint="eastAsia" w:ascii="宋体" w:hAnsi="宋体" w:eastAsia="宋体"/>
          <w:color w:val="auto"/>
          <w:sz w:val="28"/>
          <w:szCs w:val="28"/>
          <w:lang w:eastAsia="zh-CN"/>
        </w:rPr>
        <w:t>)</w:t>
      </w:r>
      <w:r>
        <w:rPr>
          <w:rFonts w:ascii="宋体" w:hAnsi="宋体" w:eastAsia="宋体"/>
          <w:color w:val="auto"/>
          <w:sz w:val="28"/>
          <w:szCs w:val="28"/>
        </w:rPr>
        <w:t>主要装置、设备、设施的维护与保养方面应采取以下对策措施</w:t>
      </w:r>
    </w:p>
    <w:p>
      <w:pPr>
        <w:spacing w:line="550" w:lineRule="exact"/>
        <w:ind w:firstLine="425" w:firstLineChars="152"/>
        <w:rPr>
          <w:rFonts w:ascii="宋体" w:hAnsi="宋体" w:eastAsia="宋体"/>
          <w:color w:val="auto"/>
          <w:sz w:val="28"/>
          <w:szCs w:val="28"/>
        </w:rPr>
      </w:pPr>
      <w:r>
        <w:rPr>
          <w:rFonts w:ascii="宋体" w:hAnsi="宋体" w:eastAsia="宋体"/>
          <w:color w:val="auto"/>
          <w:sz w:val="28"/>
          <w:szCs w:val="28"/>
        </w:rPr>
        <w:t>各种装置、设备设施要有专人负责维护保养，尤其是消防、防雷、防静电等安全设施要定期进行检测，使之保持完好、有效。</w:t>
      </w:r>
    </w:p>
    <w:p>
      <w:pPr>
        <w:spacing w:line="550" w:lineRule="exact"/>
        <w:ind w:firstLine="425" w:firstLineChars="152"/>
        <w:rPr>
          <w:rFonts w:ascii="宋体" w:hAnsi="宋体" w:eastAsia="宋体"/>
          <w:color w:val="auto"/>
          <w:sz w:val="28"/>
          <w:szCs w:val="28"/>
        </w:rPr>
      </w:pPr>
      <w:r>
        <w:rPr>
          <w:rFonts w:ascii="宋体" w:hAnsi="宋体" w:eastAsia="宋体"/>
          <w:color w:val="auto"/>
          <w:sz w:val="28"/>
          <w:szCs w:val="28"/>
        </w:rPr>
        <w:t>4</w:t>
      </w:r>
      <w:r>
        <w:rPr>
          <w:rFonts w:hint="eastAsia" w:ascii="宋体" w:hAnsi="宋体" w:eastAsia="宋体"/>
          <w:color w:val="auto"/>
          <w:sz w:val="28"/>
          <w:szCs w:val="28"/>
          <w:lang w:eastAsia="zh-CN"/>
        </w:rPr>
        <w:t>)</w:t>
      </w:r>
      <w:r>
        <w:rPr>
          <w:rFonts w:ascii="宋体" w:hAnsi="宋体" w:eastAsia="宋体"/>
          <w:color w:val="auto"/>
          <w:sz w:val="28"/>
          <w:szCs w:val="28"/>
        </w:rPr>
        <w:t>在安全生产投入方面应采取的对策措施</w:t>
      </w:r>
    </w:p>
    <w:p>
      <w:pPr>
        <w:spacing w:line="550" w:lineRule="exact"/>
        <w:ind w:firstLine="425" w:firstLineChars="152"/>
        <w:rPr>
          <w:rFonts w:ascii="宋体" w:hAnsi="宋体" w:eastAsia="宋体"/>
          <w:color w:val="auto"/>
          <w:sz w:val="28"/>
          <w:szCs w:val="28"/>
        </w:rPr>
      </w:pPr>
      <w:r>
        <w:rPr>
          <w:rFonts w:ascii="宋体" w:hAnsi="宋体" w:eastAsia="宋体"/>
          <w:color w:val="auto"/>
          <w:sz w:val="28"/>
          <w:szCs w:val="28"/>
        </w:rPr>
        <w:t>企业应根据国家、当地政府的有关规定，建立安全投入保障制度，严格按照《企业安全生产费用提取和使用管理办法》(财企[2012]16号)第八条危险品生产企业安全费用的提取标准提取安全费用。并建立安全费用专用台帐，安全费用专项用于安全生产，不得挪作他用。</w:t>
      </w:r>
    </w:p>
    <w:p>
      <w:pPr>
        <w:spacing w:line="550" w:lineRule="exact"/>
        <w:ind w:firstLine="425" w:firstLineChars="152"/>
        <w:rPr>
          <w:rFonts w:ascii="宋体" w:hAnsi="宋体" w:eastAsia="宋体"/>
          <w:color w:val="auto"/>
          <w:sz w:val="28"/>
          <w:szCs w:val="28"/>
        </w:rPr>
      </w:pPr>
      <w:r>
        <w:rPr>
          <w:rFonts w:ascii="宋体" w:hAnsi="宋体" w:eastAsia="宋体"/>
          <w:color w:val="auto"/>
          <w:sz w:val="28"/>
          <w:szCs w:val="28"/>
        </w:rPr>
        <w:t>企业的决策机构、主要负责人应该明确对安全生产所必需的资金投入不足而导致的后果负责。</w:t>
      </w:r>
    </w:p>
    <w:p>
      <w:pPr>
        <w:spacing w:line="550" w:lineRule="exact"/>
        <w:ind w:firstLine="425" w:firstLineChars="152"/>
        <w:rPr>
          <w:rFonts w:ascii="宋体" w:hAnsi="宋体" w:eastAsia="宋体"/>
          <w:color w:val="auto"/>
          <w:sz w:val="28"/>
          <w:szCs w:val="28"/>
        </w:rPr>
      </w:pPr>
      <w:r>
        <w:rPr>
          <w:rFonts w:ascii="宋体" w:hAnsi="宋体" w:eastAsia="宋体"/>
          <w:color w:val="auto"/>
          <w:sz w:val="28"/>
          <w:szCs w:val="28"/>
        </w:rPr>
        <w:t>企业安全投入的重点应在防火、防爆、防中毒等安全设施以及人员的安全知识能力培训方面。</w:t>
      </w:r>
    </w:p>
    <w:p>
      <w:pPr>
        <w:spacing w:line="550" w:lineRule="exact"/>
        <w:ind w:firstLine="425" w:firstLineChars="152"/>
        <w:rPr>
          <w:rFonts w:ascii="宋体" w:hAnsi="宋体" w:eastAsia="宋体"/>
          <w:color w:val="auto"/>
          <w:sz w:val="28"/>
          <w:szCs w:val="28"/>
        </w:rPr>
      </w:pPr>
      <w:r>
        <w:rPr>
          <w:rFonts w:ascii="宋体" w:hAnsi="宋体" w:eastAsia="宋体"/>
          <w:color w:val="auto"/>
          <w:sz w:val="28"/>
          <w:szCs w:val="28"/>
        </w:rPr>
        <w:t>5</w:t>
      </w:r>
      <w:r>
        <w:rPr>
          <w:rFonts w:hint="eastAsia" w:ascii="宋体" w:hAnsi="宋体" w:eastAsia="宋体"/>
          <w:color w:val="auto"/>
          <w:sz w:val="28"/>
          <w:szCs w:val="28"/>
          <w:lang w:eastAsia="zh-CN"/>
        </w:rPr>
        <w:t>)</w:t>
      </w:r>
      <w:r>
        <w:rPr>
          <w:rFonts w:ascii="宋体" w:hAnsi="宋体" w:eastAsia="宋体"/>
          <w:color w:val="auto"/>
          <w:sz w:val="28"/>
          <w:szCs w:val="28"/>
        </w:rPr>
        <w:t>在安全管理方面的对策措施：</w:t>
      </w:r>
    </w:p>
    <w:p>
      <w:pPr>
        <w:spacing w:line="550" w:lineRule="exact"/>
        <w:ind w:firstLine="425" w:firstLineChars="152"/>
        <w:rPr>
          <w:rFonts w:ascii="宋体" w:hAnsi="宋体" w:eastAsia="宋体"/>
          <w:color w:val="auto"/>
          <w:sz w:val="28"/>
          <w:szCs w:val="28"/>
        </w:rPr>
      </w:pPr>
      <w:r>
        <w:rPr>
          <w:rFonts w:hint="eastAsia" w:ascii="宋体" w:hAnsi="宋体" w:eastAsia="宋体"/>
          <w:color w:val="auto"/>
          <w:sz w:val="28"/>
          <w:szCs w:val="28"/>
          <w:lang w:eastAsia="zh-CN"/>
        </w:rPr>
        <w:t>(</w:t>
      </w:r>
      <w:r>
        <w:rPr>
          <w:rFonts w:ascii="宋体" w:hAnsi="宋体" w:eastAsia="宋体"/>
          <w:color w:val="auto"/>
          <w:sz w:val="28"/>
          <w:szCs w:val="28"/>
        </w:rPr>
        <w:t>1</w:t>
      </w:r>
      <w:r>
        <w:rPr>
          <w:rFonts w:hint="eastAsia" w:ascii="宋体" w:hAnsi="宋体" w:eastAsia="宋体"/>
          <w:color w:val="auto"/>
          <w:sz w:val="28"/>
          <w:szCs w:val="28"/>
          <w:lang w:eastAsia="zh-CN"/>
        </w:rPr>
        <w:t>)</w:t>
      </w:r>
      <w:r>
        <w:rPr>
          <w:rFonts w:ascii="宋体" w:hAnsi="宋体" w:eastAsia="宋体"/>
          <w:color w:val="auto"/>
          <w:sz w:val="28"/>
          <w:szCs w:val="28"/>
        </w:rPr>
        <w:t>必须坚持“安全第一，预防为主、综合治理”的方针，全面加强安全管理，防止事故的发生，从而确保安全运行，实现安全，文明生产。</w:t>
      </w:r>
    </w:p>
    <w:p>
      <w:pPr>
        <w:spacing w:line="550" w:lineRule="exact"/>
        <w:ind w:firstLine="425" w:firstLineChars="152"/>
        <w:rPr>
          <w:rFonts w:ascii="宋体" w:hAnsi="宋体" w:eastAsia="宋体"/>
          <w:color w:val="auto"/>
          <w:sz w:val="28"/>
          <w:szCs w:val="28"/>
        </w:rPr>
      </w:pPr>
      <w:r>
        <w:rPr>
          <w:rFonts w:hint="eastAsia" w:ascii="宋体" w:hAnsi="宋体" w:eastAsia="宋体"/>
          <w:color w:val="auto"/>
          <w:sz w:val="28"/>
          <w:szCs w:val="28"/>
          <w:lang w:eastAsia="zh-CN"/>
        </w:rPr>
        <w:t>(</w:t>
      </w:r>
      <w:r>
        <w:rPr>
          <w:rFonts w:ascii="宋体" w:hAnsi="宋体" w:eastAsia="宋体"/>
          <w:color w:val="auto"/>
          <w:sz w:val="28"/>
          <w:szCs w:val="28"/>
        </w:rPr>
        <w:t>2</w:t>
      </w:r>
      <w:r>
        <w:rPr>
          <w:rFonts w:hint="eastAsia" w:ascii="宋体" w:hAnsi="宋体" w:eastAsia="宋体"/>
          <w:color w:val="auto"/>
          <w:sz w:val="28"/>
          <w:szCs w:val="28"/>
          <w:lang w:eastAsia="zh-CN"/>
        </w:rPr>
        <w:t>)</w:t>
      </w:r>
      <w:r>
        <w:rPr>
          <w:rFonts w:ascii="宋体" w:hAnsi="宋体" w:eastAsia="宋体"/>
          <w:color w:val="auto"/>
          <w:sz w:val="28"/>
          <w:szCs w:val="28"/>
        </w:rPr>
        <w:t>加强安全教育培训工作，提高作业人员的职业素质以及安全意识。</w:t>
      </w:r>
    </w:p>
    <w:p>
      <w:pPr>
        <w:spacing w:line="550" w:lineRule="exact"/>
        <w:ind w:firstLine="425" w:firstLineChars="152"/>
        <w:rPr>
          <w:rFonts w:ascii="宋体" w:hAnsi="宋体" w:eastAsia="宋体"/>
          <w:color w:val="auto"/>
          <w:sz w:val="28"/>
          <w:szCs w:val="28"/>
        </w:rPr>
      </w:pPr>
      <w:r>
        <w:rPr>
          <w:rFonts w:hint="eastAsia" w:ascii="宋体" w:hAnsi="宋体" w:eastAsia="宋体"/>
          <w:color w:val="auto"/>
          <w:sz w:val="28"/>
          <w:szCs w:val="28"/>
          <w:lang w:eastAsia="zh-CN"/>
        </w:rPr>
        <w:t>(</w:t>
      </w:r>
      <w:r>
        <w:rPr>
          <w:rFonts w:ascii="宋体" w:hAnsi="宋体" w:eastAsia="宋体"/>
          <w:color w:val="auto"/>
          <w:sz w:val="28"/>
          <w:szCs w:val="28"/>
        </w:rPr>
        <w:t>3</w:t>
      </w:r>
      <w:r>
        <w:rPr>
          <w:rFonts w:hint="eastAsia" w:ascii="宋体" w:hAnsi="宋体" w:eastAsia="宋体"/>
          <w:color w:val="auto"/>
          <w:sz w:val="28"/>
          <w:szCs w:val="28"/>
          <w:lang w:eastAsia="zh-CN"/>
        </w:rPr>
        <w:t>)</w:t>
      </w:r>
      <w:r>
        <w:rPr>
          <w:rFonts w:ascii="宋体" w:hAnsi="宋体" w:eastAsia="宋体"/>
          <w:color w:val="auto"/>
          <w:sz w:val="28"/>
          <w:szCs w:val="28"/>
        </w:rPr>
        <w:t>严格执行操作规程，杜绝违章行为。</w:t>
      </w:r>
    </w:p>
    <w:p>
      <w:pPr>
        <w:spacing w:line="550" w:lineRule="exact"/>
        <w:ind w:firstLine="425" w:firstLineChars="152"/>
        <w:rPr>
          <w:rFonts w:ascii="宋体" w:hAnsi="宋体" w:eastAsia="宋体"/>
          <w:color w:val="auto"/>
          <w:sz w:val="28"/>
          <w:szCs w:val="28"/>
        </w:rPr>
      </w:pPr>
      <w:r>
        <w:rPr>
          <w:rFonts w:hint="eastAsia" w:ascii="宋体" w:hAnsi="宋体" w:eastAsia="宋体"/>
          <w:color w:val="auto"/>
          <w:sz w:val="28"/>
          <w:szCs w:val="28"/>
        </w:rPr>
        <w:t>(</w:t>
      </w:r>
      <w:r>
        <w:rPr>
          <w:rFonts w:ascii="宋体" w:hAnsi="宋体" w:eastAsia="宋体"/>
          <w:color w:val="auto"/>
          <w:sz w:val="28"/>
          <w:szCs w:val="28"/>
        </w:rPr>
        <w:t>4</w:t>
      </w:r>
      <w:r>
        <w:rPr>
          <w:rFonts w:hint="eastAsia" w:ascii="宋体" w:hAnsi="宋体" w:eastAsia="宋体"/>
          <w:color w:val="auto"/>
          <w:sz w:val="28"/>
          <w:szCs w:val="28"/>
        </w:rPr>
        <w:t>)</w:t>
      </w:r>
      <w:r>
        <w:rPr>
          <w:rFonts w:ascii="宋体" w:hAnsi="宋体" w:eastAsia="宋体"/>
          <w:color w:val="auto"/>
          <w:sz w:val="28"/>
          <w:szCs w:val="28"/>
        </w:rPr>
        <w:t>做好防火、防爆管理工作。</w:t>
      </w:r>
    </w:p>
    <w:p>
      <w:pPr>
        <w:spacing w:line="550" w:lineRule="exact"/>
        <w:ind w:firstLine="425" w:firstLineChars="152"/>
        <w:rPr>
          <w:rFonts w:ascii="宋体" w:hAnsi="宋体" w:eastAsia="宋体"/>
          <w:color w:val="auto"/>
          <w:sz w:val="28"/>
          <w:szCs w:val="28"/>
        </w:rPr>
      </w:pPr>
      <w:r>
        <w:rPr>
          <w:rFonts w:hint="eastAsia" w:ascii="宋体" w:hAnsi="宋体" w:eastAsia="宋体"/>
          <w:color w:val="auto"/>
          <w:sz w:val="28"/>
          <w:szCs w:val="28"/>
        </w:rPr>
        <w:t>①</w:t>
      </w:r>
      <w:r>
        <w:rPr>
          <w:rFonts w:ascii="宋体" w:hAnsi="宋体" w:eastAsia="宋体"/>
          <w:color w:val="auto"/>
          <w:sz w:val="28"/>
          <w:szCs w:val="28"/>
        </w:rPr>
        <w:t>严格执行动火作业审批管理制度和作业程序。</w:t>
      </w:r>
    </w:p>
    <w:p>
      <w:pPr>
        <w:spacing w:line="550" w:lineRule="exact"/>
        <w:ind w:firstLine="425" w:firstLineChars="152"/>
        <w:rPr>
          <w:rFonts w:ascii="宋体" w:hAnsi="宋体" w:eastAsia="宋体"/>
          <w:color w:val="auto"/>
          <w:sz w:val="28"/>
          <w:szCs w:val="28"/>
        </w:rPr>
      </w:pPr>
      <w:r>
        <w:rPr>
          <w:rFonts w:hint="eastAsia" w:ascii="宋体" w:hAnsi="宋体" w:eastAsia="宋体"/>
          <w:color w:val="auto"/>
          <w:sz w:val="28"/>
          <w:szCs w:val="28"/>
        </w:rPr>
        <w:t>②</w:t>
      </w:r>
      <w:r>
        <w:rPr>
          <w:rFonts w:ascii="宋体" w:hAnsi="宋体" w:eastAsia="宋体"/>
          <w:color w:val="auto"/>
          <w:sz w:val="28"/>
          <w:szCs w:val="28"/>
        </w:rPr>
        <w:t>严格执行用电安全管理规定，减少或避免电气事故的发生。</w:t>
      </w:r>
    </w:p>
    <w:p>
      <w:pPr>
        <w:spacing w:line="550" w:lineRule="exact"/>
        <w:ind w:firstLine="425" w:firstLineChars="152"/>
        <w:rPr>
          <w:rFonts w:ascii="宋体" w:hAnsi="宋体" w:eastAsia="宋体"/>
          <w:color w:val="auto"/>
          <w:sz w:val="28"/>
          <w:szCs w:val="28"/>
        </w:rPr>
      </w:pPr>
      <w:r>
        <w:rPr>
          <w:rFonts w:hint="eastAsia" w:ascii="宋体" w:hAnsi="宋体" w:eastAsia="宋体"/>
          <w:color w:val="auto"/>
          <w:sz w:val="28"/>
          <w:szCs w:val="28"/>
        </w:rPr>
        <w:t>③</w:t>
      </w:r>
      <w:r>
        <w:rPr>
          <w:rFonts w:ascii="宋体" w:hAnsi="宋体" w:eastAsia="宋体"/>
          <w:color w:val="auto"/>
          <w:sz w:val="28"/>
          <w:szCs w:val="28"/>
        </w:rPr>
        <w:t>严格执行机动车辆的管理，进入工作区的所有机动车辆必须戴好防火罩并按指定路线行驶并停放于指定位置。</w:t>
      </w:r>
    </w:p>
    <w:p>
      <w:pPr>
        <w:spacing w:line="550" w:lineRule="exact"/>
        <w:ind w:firstLine="425" w:firstLineChars="152"/>
        <w:rPr>
          <w:rFonts w:ascii="宋体" w:hAnsi="宋体" w:eastAsia="宋体"/>
          <w:color w:val="auto"/>
          <w:sz w:val="28"/>
          <w:szCs w:val="28"/>
        </w:rPr>
      </w:pPr>
      <w:r>
        <w:rPr>
          <w:rFonts w:hint="eastAsia" w:ascii="宋体" w:hAnsi="宋体" w:eastAsia="宋体"/>
          <w:color w:val="auto"/>
          <w:sz w:val="28"/>
          <w:szCs w:val="28"/>
          <w:lang w:eastAsia="zh-CN"/>
        </w:rPr>
        <w:t>(</w:t>
      </w:r>
      <w:r>
        <w:rPr>
          <w:rFonts w:ascii="宋体" w:hAnsi="宋体" w:eastAsia="宋体"/>
          <w:color w:val="auto"/>
          <w:sz w:val="28"/>
          <w:szCs w:val="28"/>
        </w:rPr>
        <w:t>5</w:t>
      </w:r>
      <w:r>
        <w:rPr>
          <w:rFonts w:hint="eastAsia" w:ascii="宋体" w:hAnsi="宋体" w:eastAsia="宋体"/>
          <w:color w:val="auto"/>
          <w:sz w:val="28"/>
          <w:szCs w:val="28"/>
          <w:lang w:eastAsia="zh-CN"/>
        </w:rPr>
        <w:t>)</w:t>
      </w:r>
      <w:r>
        <w:rPr>
          <w:rFonts w:ascii="宋体" w:hAnsi="宋体" w:eastAsia="宋体"/>
          <w:color w:val="auto"/>
          <w:sz w:val="28"/>
          <w:szCs w:val="28"/>
        </w:rPr>
        <w:t>加强安全检查，包括节假日检查、日常检查、专项检查等，发现隐患，及时整改。</w:t>
      </w:r>
    </w:p>
    <w:p>
      <w:pPr>
        <w:spacing w:line="550" w:lineRule="exact"/>
        <w:ind w:firstLine="425" w:firstLineChars="152"/>
        <w:rPr>
          <w:rFonts w:ascii="宋体" w:hAnsi="宋体" w:eastAsia="宋体"/>
          <w:color w:val="auto"/>
          <w:sz w:val="28"/>
          <w:szCs w:val="28"/>
        </w:rPr>
      </w:pPr>
      <w:r>
        <w:rPr>
          <w:rFonts w:hint="eastAsia" w:ascii="宋体" w:hAnsi="宋体" w:eastAsia="宋体"/>
          <w:color w:val="auto"/>
          <w:sz w:val="28"/>
          <w:szCs w:val="28"/>
          <w:lang w:eastAsia="zh-CN"/>
        </w:rPr>
        <w:t>(</w:t>
      </w:r>
      <w:r>
        <w:rPr>
          <w:rFonts w:ascii="宋体" w:hAnsi="宋体" w:eastAsia="宋体"/>
          <w:color w:val="auto"/>
          <w:sz w:val="28"/>
          <w:szCs w:val="28"/>
        </w:rPr>
        <w:t>6</w:t>
      </w:r>
      <w:r>
        <w:rPr>
          <w:rFonts w:hint="eastAsia" w:ascii="宋体" w:hAnsi="宋体" w:eastAsia="宋体"/>
          <w:color w:val="auto"/>
          <w:sz w:val="28"/>
          <w:szCs w:val="28"/>
          <w:lang w:eastAsia="zh-CN"/>
        </w:rPr>
        <w:t>)</w:t>
      </w:r>
      <w:r>
        <w:rPr>
          <w:rFonts w:ascii="宋体" w:hAnsi="宋体" w:eastAsia="宋体"/>
          <w:color w:val="auto"/>
          <w:sz w:val="28"/>
          <w:szCs w:val="28"/>
        </w:rPr>
        <w:t>公司要定期对应急预案进行演练，并根据应急预案的演练效果，不断改进和补充，以提高应急预案的实用性和可靠性。对应急预案实行动态管理，以不断适应人员的变动和环境的变化，确保其持续有效性。</w:t>
      </w:r>
    </w:p>
    <w:p>
      <w:pPr>
        <w:spacing w:line="550" w:lineRule="exact"/>
        <w:ind w:firstLine="425" w:firstLineChars="152"/>
        <w:rPr>
          <w:rFonts w:ascii="宋体" w:hAnsi="宋体" w:eastAsia="宋体"/>
          <w:color w:val="auto"/>
          <w:sz w:val="28"/>
          <w:szCs w:val="28"/>
        </w:rPr>
      </w:pPr>
      <w:r>
        <w:rPr>
          <w:rFonts w:hint="eastAsia" w:ascii="宋体" w:hAnsi="宋体" w:eastAsia="宋体"/>
          <w:color w:val="auto"/>
          <w:sz w:val="28"/>
          <w:szCs w:val="28"/>
        </w:rPr>
        <w:t>①</w:t>
      </w:r>
      <w:r>
        <w:rPr>
          <w:rFonts w:ascii="宋体" w:hAnsi="宋体" w:eastAsia="宋体"/>
          <w:color w:val="auto"/>
          <w:sz w:val="28"/>
          <w:szCs w:val="28"/>
        </w:rPr>
        <w:t>制定更加详细的“应急救援演练计划”，按《预案》内容定期组织演练，聘请相关专家现场观摩，分析查找《预案》演练中的不符合项和不足项，不断完善《预案》。</w:t>
      </w:r>
    </w:p>
    <w:p>
      <w:pPr>
        <w:spacing w:line="550" w:lineRule="exact"/>
        <w:ind w:firstLine="425" w:firstLineChars="152"/>
        <w:rPr>
          <w:rFonts w:ascii="宋体" w:hAnsi="宋体" w:eastAsia="宋体"/>
          <w:color w:val="auto"/>
          <w:sz w:val="28"/>
          <w:szCs w:val="28"/>
        </w:rPr>
      </w:pPr>
      <w:r>
        <w:rPr>
          <w:rFonts w:hint="eastAsia" w:ascii="宋体" w:hAnsi="宋体" w:eastAsia="宋体"/>
          <w:color w:val="auto"/>
          <w:sz w:val="28"/>
          <w:szCs w:val="28"/>
        </w:rPr>
        <w:t>②</w:t>
      </w:r>
      <w:r>
        <w:rPr>
          <w:rFonts w:ascii="宋体" w:hAnsi="宋体" w:eastAsia="宋体"/>
          <w:color w:val="auto"/>
          <w:sz w:val="28"/>
          <w:szCs w:val="28"/>
        </w:rPr>
        <w:t>强化应急救援人员的培训教育，定期聘请相关专家授课，不断提高应急救援人员的实际救援能力。</w:t>
      </w:r>
    </w:p>
    <w:p>
      <w:pPr>
        <w:spacing w:line="550" w:lineRule="exact"/>
        <w:ind w:firstLine="425" w:firstLineChars="152"/>
        <w:rPr>
          <w:rFonts w:ascii="宋体" w:hAnsi="宋体" w:eastAsia="宋体"/>
          <w:color w:val="auto"/>
          <w:sz w:val="28"/>
          <w:szCs w:val="28"/>
        </w:rPr>
      </w:pPr>
      <w:r>
        <w:rPr>
          <w:rFonts w:hint="eastAsia" w:ascii="宋体" w:hAnsi="宋体" w:eastAsia="宋体"/>
          <w:color w:val="auto"/>
          <w:sz w:val="28"/>
          <w:szCs w:val="28"/>
        </w:rPr>
        <w:t>③</w:t>
      </w:r>
      <w:r>
        <w:rPr>
          <w:rFonts w:ascii="宋体" w:hAnsi="宋体" w:eastAsia="宋体"/>
          <w:color w:val="auto"/>
          <w:sz w:val="28"/>
          <w:szCs w:val="28"/>
        </w:rPr>
        <w:t>做好应急资源的储备和维护保养工作，除已有的应急设备、器材外，应储备必要的应急药物，以备急需。</w:t>
      </w:r>
    </w:p>
    <w:p>
      <w:pPr>
        <w:spacing w:line="550" w:lineRule="exact"/>
        <w:ind w:firstLine="425" w:firstLineChars="152"/>
        <w:rPr>
          <w:rFonts w:ascii="宋体" w:hAnsi="宋体" w:eastAsia="宋体"/>
          <w:color w:val="auto"/>
          <w:sz w:val="28"/>
          <w:szCs w:val="28"/>
        </w:rPr>
      </w:pPr>
      <w:r>
        <w:rPr>
          <w:rFonts w:hint="eastAsia" w:ascii="宋体" w:hAnsi="宋体" w:eastAsia="宋体"/>
          <w:color w:val="auto"/>
          <w:sz w:val="28"/>
          <w:szCs w:val="28"/>
        </w:rPr>
        <w:t>④</w:t>
      </w:r>
      <w:r>
        <w:rPr>
          <w:rFonts w:ascii="宋体" w:hAnsi="宋体" w:eastAsia="宋体"/>
          <w:color w:val="auto"/>
          <w:sz w:val="28"/>
          <w:szCs w:val="28"/>
        </w:rPr>
        <w:t>与当地医疗机构签定《医疗救护协议》，制订事故状态下的“救护预案”，储备必要的救护器材与药品，确保救护工作正确、高效。</w:t>
      </w:r>
    </w:p>
    <w:p>
      <w:pPr>
        <w:spacing w:line="550" w:lineRule="exact"/>
        <w:ind w:firstLine="425" w:firstLineChars="152"/>
        <w:rPr>
          <w:rFonts w:ascii="宋体" w:hAnsi="宋体" w:eastAsia="宋体"/>
          <w:color w:val="auto"/>
          <w:sz w:val="28"/>
          <w:szCs w:val="28"/>
        </w:rPr>
      </w:pPr>
      <w:r>
        <w:rPr>
          <w:rFonts w:hint="eastAsia" w:ascii="宋体" w:hAnsi="宋体" w:eastAsia="宋体"/>
          <w:color w:val="auto"/>
          <w:sz w:val="28"/>
          <w:szCs w:val="28"/>
        </w:rPr>
        <w:t>⑤</w:t>
      </w:r>
      <w:r>
        <w:rPr>
          <w:rFonts w:ascii="宋体" w:hAnsi="宋体" w:eastAsia="宋体"/>
          <w:color w:val="auto"/>
          <w:sz w:val="28"/>
          <w:szCs w:val="28"/>
        </w:rPr>
        <w:t>与当地环保机构进行沟通，在其指导下制订事故状态下的“清消预案”，确保事故状态下监测、清消工作及时、准确、高效。</w:t>
      </w:r>
    </w:p>
    <w:p>
      <w:pPr>
        <w:spacing w:line="550" w:lineRule="exact"/>
        <w:ind w:firstLine="425" w:firstLineChars="152"/>
        <w:rPr>
          <w:rFonts w:ascii="宋体" w:hAnsi="宋体" w:eastAsia="宋体"/>
          <w:color w:val="auto"/>
          <w:sz w:val="28"/>
          <w:szCs w:val="28"/>
        </w:rPr>
      </w:pPr>
      <w:r>
        <w:rPr>
          <w:rFonts w:hint="eastAsia" w:ascii="宋体" w:hAnsi="宋体" w:eastAsia="宋体"/>
          <w:color w:val="auto"/>
          <w:sz w:val="28"/>
          <w:szCs w:val="28"/>
        </w:rPr>
        <w:t>⑥</w:t>
      </w:r>
      <w:r>
        <w:rPr>
          <w:rFonts w:ascii="宋体" w:hAnsi="宋体" w:eastAsia="宋体"/>
          <w:color w:val="auto"/>
          <w:sz w:val="28"/>
          <w:szCs w:val="28"/>
        </w:rPr>
        <w:t>根据发展情况，适时补充人员，充实应急救援队伍。</w:t>
      </w:r>
    </w:p>
    <w:p>
      <w:pPr>
        <w:spacing w:line="550" w:lineRule="exact"/>
        <w:ind w:firstLine="425" w:firstLineChars="152"/>
        <w:rPr>
          <w:rFonts w:ascii="宋体" w:hAnsi="宋体" w:eastAsia="宋体"/>
          <w:color w:val="auto"/>
          <w:sz w:val="28"/>
          <w:szCs w:val="28"/>
        </w:rPr>
      </w:pPr>
      <w:r>
        <w:rPr>
          <w:rFonts w:hint="eastAsia" w:ascii="宋体" w:hAnsi="宋体" w:eastAsia="宋体"/>
          <w:color w:val="auto"/>
          <w:sz w:val="28"/>
          <w:szCs w:val="28"/>
        </w:rPr>
        <w:t>⑦</w:t>
      </w:r>
      <w:r>
        <w:rPr>
          <w:rFonts w:hint="eastAsia" w:ascii="宋体" w:hAnsi="宋体" w:eastAsia="宋体"/>
          <w:color w:val="auto"/>
          <w:sz w:val="28"/>
          <w:szCs w:val="28"/>
          <w:lang w:eastAsia="zh-CN"/>
        </w:rPr>
        <w:t>与</w:t>
      </w:r>
      <w:r>
        <w:rPr>
          <w:rFonts w:ascii="宋体" w:hAnsi="宋体" w:eastAsia="宋体"/>
          <w:color w:val="auto"/>
          <w:sz w:val="28"/>
          <w:szCs w:val="28"/>
        </w:rPr>
        <w:t>当地政府部门沟通，将该公司所在地周围其它相关单位联合起来，组织跨企业的联合演习，以增强企业处理防止突发事件的能力。</w:t>
      </w:r>
    </w:p>
    <w:p>
      <w:pPr>
        <w:spacing w:line="550" w:lineRule="exact"/>
        <w:ind w:firstLine="425" w:firstLineChars="152"/>
        <w:rPr>
          <w:rFonts w:ascii="宋体" w:hAnsi="宋体" w:eastAsia="宋体"/>
          <w:color w:val="auto"/>
          <w:sz w:val="28"/>
          <w:szCs w:val="28"/>
        </w:rPr>
      </w:pPr>
      <w:r>
        <w:rPr>
          <w:rFonts w:ascii="宋体" w:hAnsi="宋体" w:eastAsia="宋体"/>
          <w:color w:val="auto"/>
          <w:sz w:val="28"/>
          <w:szCs w:val="28"/>
        </w:rPr>
        <w:t>5</w:t>
      </w:r>
      <w:r>
        <w:rPr>
          <w:rFonts w:hint="eastAsia" w:ascii="宋体" w:hAnsi="宋体" w:eastAsia="宋体"/>
          <w:color w:val="auto"/>
          <w:sz w:val="28"/>
          <w:szCs w:val="28"/>
          <w:lang w:eastAsia="zh-CN"/>
        </w:rPr>
        <w:t>)</w:t>
      </w:r>
      <w:r>
        <w:rPr>
          <w:rFonts w:ascii="宋体" w:hAnsi="宋体" w:eastAsia="宋体"/>
          <w:color w:val="auto"/>
          <w:sz w:val="28"/>
          <w:szCs w:val="28"/>
        </w:rPr>
        <w:t>其它方面应采取的安全对策措施</w:t>
      </w:r>
    </w:p>
    <w:p>
      <w:pPr>
        <w:spacing w:line="550" w:lineRule="exact"/>
        <w:ind w:firstLine="425" w:firstLineChars="152"/>
        <w:rPr>
          <w:rFonts w:ascii="宋体" w:hAnsi="宋体" w:eastAsia="宋体"/>
          <w:color w:val="auto"/>
          <w:sz w:val="28"/>
          <w:szCs w:val="28"/>
        </w:rPr>
      </w:pPr>
      <w:r>
        <w:rPr>
          <w:rFonts w:hint="eastAsia" w:ascii="宋体" w:hAnsi="宋体" w:eastAsia="宋体"/>
          <w:color w:val="auto"/>
          <w:sz w:val="28"/>
          <w:szCs w:val="28"/>
          <w:lang w:eastAsia="zh-CN"/>
        </w:rPr>
        <w:t>(</w:t>
      </w:r>
      <w:r>
        <w:rPr>
          <w:rFonts w:ascii="宋体" w:hAnsi="宋体" w:eastAsia="宋体"/>
          <w:color w:val="auto"/>
          <w:sz w:val="28"/>
          <w:szCs w:val="28"/>
        </w:rPr>
        <w:t>1</w:t>
      </w:r>
      <w:r>
        <w:rPr>
          <w:rFonts w:hint="eastAsia" w:ascii="宋体" w:hAnsi="宋体" w:eastAsia="宋体"/>
          <w:color w:val="auto"/>
          <w:sz w:val="28"/>
          <w:szCs w:val="28"/>
          <w:lang w:eastAsia="zh-CN"/>
        </w:rPr>
        <w:t>)</w:t>
      </w:r>
      <w:r>
        <w:rPr>
          <w:rFonts w:ascii="宋体" w:hAnsi="宋体" w:eastAsia="宋体"/>
          <w:color w:val="auto"/>
          <w:sz w:val="28"/>
          <w:szCs w:val="28"/>
        </w:rPr>
        <w:t>化工(危险化学品)企业保障生产安全十条规定：</w:t>
      </w:r>
    </w:p>
    <w:p>
      <w:pPr>
        <w:spacing w:line="550" w:lineRule="exact"/>
        <w:ind w:firstLine="425" w:firstLineChars="152"/>
        <w:rPr>
          <w:rFonts w:ascii="宋体" w:hAnsi="宋体" w:eastAsia="宋体"/>
          <w:color w:val="auto"/>
          <w:sz w:val="28"/>
          <w:szCs w:val="28"/>
        </w:rPr>
      </w:pPr>
      <w:r>
        <w:rPr>
          <w:rFonts w:hint="eastAsia" w:ascii="宋体" w:hAnsi="宋体" w:eastAsia="宋体"/>
          <w:color w:val="auto"/>
          <w:sz w:val="28"/>
          <w:szCs w:val="28"/>
        </w:rPr>
        <w:t>①</w:t>
      </w:r>
      <w:r>
        <w:rPr>
          <w:rFonts w:ascii="宋体" w:hAnsi="宋体" w:eastAsia="宋体"/>
          <w:color w:val="auto"/>
          <w:sz w:val="28"/>
          <w:szCs w:val="28"/>
        </w:rPr>
        <w:t>必</w:t>
      </w:r>
      <w:r>
        <w:rPr>
          <w:rFonts w:hint="eastAsia" w:ascii="宋体" w:hAnsi="宋体" w:eastAsia="宋体"/>
          <w:color w:val="auto"/>
          <w:sz w:val="28"/>
          <w:szCs w:val="28"/>
        </w:rPr>
        <w:t>须依法设立、证照齐全有效。</w:t>
      </w:r>
    </w:p>
    <w:p>
      <w:pPr>
        <w:spacing w:line="550" w:lineRule="exact"/>
        <w:ind w:firstLine="425" w:firstLineChars="152"/>
        <w:rPr>
          <w:rFonts w:ascii="宋体" w:hAnsi="宋体" w:eastAsia="宋体"/>
          <w:color w:val="auto"/>
          <w:sz w:val="28"/>
          <w:szCs w:val="28"/>
        </w:rPr>
      </w:pPr>
      <w:r>
        <w:rPr>
          <w:rFonts w:hint="eastAsia" w:ascii="宋体" w:hAnsi="宋体" w:eastAsia="宋体"/>
          <w:color w:val="auto"/>
          <w:sz w:val="28"/>
          <w:szCs w:val="28"/>
        </w:rPr>
        <w:t>②</w:t>
      </w:r>
      <w:r>
        <w:rPr>
          <w:rFonts w:ascii="宋体" w:hAnsi="宋体" w:eastAsia="宋体"/>
          <w:color w:val="auto"/>
          <w:sz w:val="28"/>
          <w:szCs w:val="28"/>
        </w:rPr>
        <w:t>必</w:t>
      </w:r>
      <w:r>
        <w:rPr>
          <w:rFonts w:hint="eastAsia" w:ascii="宋体" w:hAnsi="宋体" w:eastAsia="宋体"/>
          <w:color w:val="auto"/>
          <w:sz w:val="28"/>
          <w:szCs w:val="28"/>
        </w:rPr>
        <w:t>须建立健全并严格落实全员安全生产责任制，严格执行领导带班</w:t>
      </w:r>
      <w:r>
        <w:rPr>
          <w:rFonts w:ascii="宋体" w:hAnsi="宋体" w:eastAsia="宋体"/>
          <w:color w:val="auto"/>
          <w:sz w:val="28"/>
          <w:szCs w:val="28"/>
        </w:rPr>
        <w:t xml:space="preserve"> 值班制度。</w:t>
      </w:r>
    </w:p>
    <w:p>
      <w:pPr>
        <w:spacing w:line="550" w:lineRule="exact"/>
        <w:ind w:firstLine="425" w:firstLineChars="152"/>
        <w:rPr>
          <w:rFonts w:ascii="宋体" w:hAnsi="宋体" w:eastAsia="宋体"/>
          <w:color w:val="auto"/>
          <w:sz w:val="28"/>
          <w:szCs w:val="28"/>
        </w:rPr>
      </w:pPr>
      <w:r>
        <w:rPr>
          <w:rFonts w:hint="eastAsia" w:ascii="宋体" w:hAnsi="宋体" w:eastAsia="宋体"/>
          <w:color w:val="auto"/>
          <w:sz w:val="28"/>
          <w:szCs w:val="28"/>
        </w:rPr>
        <w:t>③</w:t>
      </w:r>
      <w:r>
        <w:rPr>
          <w:rFonts w:ascii="宋体" w:hAnsi="宋体" w:eastAsia="宋体"/>
          <w:color w:val="auto"/>
          <w:sz w:val="28"/>
          <w:szCs w:val="28"/>
        </w:rPr>
        <w:t>必</w:t>
      </w:r>
      <w:r>
        <w:rPr>
          <w:rFonts w:hint="eastAsia" w:ascii="宋体" w:hAnsi="宋体" w:eastAsia="宋体"/>
          <w:color w:val="auto"/>
          <w:sz w:val="28"/>
          <w:szCs w:val="28"/>
        </w:rPr>
        <w:t>须确保从业人员符合录用条件并培训合格，依法持证上岗。</w:t>
      </w:r>
    </w:p>
    <w:p>
      <w:pPr>
        <w:spacing w:line="550" w:lineRule="exact"/>
        <w:ind w:firstLine="425" w:firstLineChars="152"/>
        <w:rPr>
          <w:rFonts w:ascii="宋体" w:hAnsi="宋体" w:eastAsia="宋体"/>
          <w:color w:val="auto"/>
          <w:sz w:val="28"/>
          <w:szCs w:val="28"/>
        </w:rPr>
      </w:pPr>
      <w:r>
        <w:rPr>
          <w:rFonts w:hint="eastAsia" w:ascii="宋体" w:hAnsi="宋体" w:eastAsia="宋体"/>
          <w:color w:val="auto"/>
          <w:sz w:val="28"/>
          <w:szCs w:val="28"/>
        </w:rPr>
        <w:t>④</w:t>
      </w:r>
      <w:r>
        <w:rPr>
          <w:rFonts w:ascii="宋体" w:hAnsi="宋体" w:eastAsia="宋体"/>
          <w:color w:val="auto"/>
          <w:sz w:val="28"/>
          <w:szCs w:val="28"/>
        </w:rPr>
        <w:t>必</w:t>
      </w:r>
      <w:r>
        <w:rPr>
          <w:rFonts w:hint="eastAsia" w:ascii="宋体" w:hAnsi="宋体" w:eastAsia="宋体"/>
          <w:color w:val="auto"/>
          <w:sz w:val="28"/>
          <w:szCs w:val="28"/>
        </w:rPr>
        <w:t>须严格管控重大危险源，严格变更管理，遇险科学施救。</w:t>
      </w:r>
    </w:p>
    <w:p>
      <w:pPr>
        <w:spacing w:line="550" w:lineRule="exact"/>
        <w:ind w:firstLine="425" w:firstLineChars="152"/>
        <w:rPr>
          <w:rFonts w:ascii="宋体" w:hAnsi="宋体" w:eastAsia="宋体"/>
          <w:color w:val="auto"/>
          <w:sz w:val="28"/>
          <w:szCs w:val="28"/>
        </w:rPr>
      </w:pPr>
      <w:r>
        <w:rPr>
          <w:rFonts w:hint="eastAsia" w:ascii="宋体" w:hAnsi="宋体" w:eastAsia="宋体"/>
          <w:color w:val="auto"/>
          <w:sz w:val="28"/>
          <w:szCs w:val="28"/>
        </w:rPr>
        <w:t>⑤</w:t>
      </w:r>
      <w:r>
        <w:rPr>
          <w:rFonts w:ascii="宋体" w:hAnsi="宋体" w:eastAsia="宋体"/>
          <w:color w:val="auto"/>
          <w:sz w:val="28"/>
          <w:szCs w:val="28"/>
        </w:rPr>
        <w:t>必</w:t>
      </w:r>
      <w:r>
        <w:rPr>
          <w:rFonts w:hint="eastAsia" w:ascii="宋体" w:hAnsi="宋体" w:eastAsia="宋体"/>
          <w:color w:val="auto"/>
          <w:sz w:val="28"/>
          <w:szCs w:val="28"/>
        </w:rPr>
        <w:t>须按照《危险化学品企业事故隐患排查治理实施导则》要求排查</w:t>
      </w:r>
      <w:r>
        <w:rPr>
          <w:rFonts w:ascii="宋体" w:hAnsi="宋体" w:eastAsia="宋体"/>
          <w:color w:val="auto"/>
          <w:sz w:val="28"/>
          <w:szCs w:val="28"/>
        </w:rPr>
        <w:t>治理</w:t>
      </w:r>
      <w:r>
        <w:rPr>
          <w:rFonts w:hint="eastAsia" w:ascii="宋体" w:hAnsi="宋体" w:eastAsia="宋体"/>
          <w:color w:val="auto"/>
          <w:sz w:val="28"/>
          <w:szCs w:val="28"/>
        </w:rPr>
        <w:t>隐患。</w:t>
      </w:r>
    </w:p>
    <w:p>
      <w:pPr>
        <w:spacing w:line="550" w:lineRule="exact"/>
        <w:ind w:firstLine="425" w:firstLineChars="152"/>
        <w:rPr>
          <w:rFonts w:ascii="宋体" w:hAnsi="宋体" w:eastAsia="宋体"/>
          <w:color w:val="auto"/>
          <w:sz w:val="28"/>
          <w:szCs w:val="28"/>
        </w:rPr>
      </w:pPr>
      <w:r>
        <w:rPr>
          <w:rFonts w:hint="eastAsia" w:ascii="宋体" w:hAnsi="宋体" w:eastAsia="宋体"/>
          <w:color w:val="auto"/>
          <w:sz w:val="28"/>
          <w:szCs w:val="28"/>
        </w:rPr>
        <w:t>⑥严禁设备设施带病运行和未经审批停用报警联锁系统。</w:t>
      </w:r>
    </w:p>
    <w:p>
      <w:pPr>
        <w:spacing w:line="550" w:lineRule="exact"/>
        <w:ind w:firstLine="425" w:firstLineChars="152"/>
        <w:rPr>
          <w:rFonts w:ascii="宋体" w:hAnsi="宋体" w:eastAsia="宋体"/>
          <w:color w:val="auto"/>
          <w:sz w:val="28"/>
          <w:szCs w:val="28"/>
        </w:rPr>
      </w:pPr>
      <w:r>
        <w:rPr>
          <w:rFonts w:hint="eastAsia" w:ascii="宋体" w:hAnsi="宋体" w:eastAsia="宋体"/>
          <w:color w:val="auto"/>
          <w:sz w:val="28"/>
          <w:szCs w:val="28"/>
        </w:rPr>
        <w:t>⑦严禁可燃和有毒气体泄漏等报警系统处于非正常状态。</w:t>
      </w:r>
    </w:p>
    <w:p>
      <w:pPr>
        <w:spacing w:line="550" w:lineRule="exact"/>
        <w:ind w:firstLine="425" w:firstLineChars="152"/>
        <w:rPr>
          <w:rFonts w:ascii="宋体" w:hAnsi="宋体" w:eastAsia="宋体"/>
          <w:color w:val="auto"/>
          <w:sz w:val="28"/>
          <w:szCs w:val="28"/>
        </w:rPr>
      </w:pPr>
      <w:r>
        <w:rPr>
          <w:rFonts w:hint="eastAsia" w:ascii="宋体" w:hAnsi="宋体" w:eastAsia="宋体"/>
          <w:color w:val="auto"/>
          <w:sz w:val="28"/>
          <w:szCs w:val="28"/>
        </w:rPr>
        <w:t>⑧严禁未经审批进行动火、高处、吊装、临时用电、动土、检维修、盲板抽堵等作业。</w:t>
      </w:r>
    </w:p>
    <w:p>
      <w:pPr>
        <w:spacing w:line="550" w:lineRule="exact"/>
        <w:ind w:firstLine="425" w:firstLineChars="152"/>
        <w:rPr>
          <w:rFonts w:ascii="宋体" w:hAnsi="宋体" w:eastAsia="宋体"/>
          <w:color w:val="auto"/>
          <w:sz w:val="28"/>
          <w:szCs w:val="28"/>
        </w:rPr>
      </w:pPr>
      <w:r>
        <w:rPr>
          <w:rFonts w:hint="eastAsia" w:ascii="宋体" w:hAnsi="宋体" w:eastAsia="宋体"/>
          <w:color w:val="auto"/>
          <w:sz w:val="28"/>
          <w:szCs w:val="28"/>
        </w:rPr>
        <w:t>⑨严禁违章指挥和强令他人冒险作业。</w:t>
      </w:r>
    </w:p>
    <w:p>
      <w:pPr>
        <w:spacing w:line="550" w:lineRule="exact"/>
        <w:ind w:firstLine="425" w:firstLineChars="152"/>
        <w:rPr>
          <w:rFonts w:ascii="宋体" w:hAnsi="宋体" w:eastAsia="宋体"/>
          <w:color w:val="auto"/>
          <w:sz w:val="28"/>
          <w:szCs w:val="28"/>
        </w:rPr>
      </w:pPr>
      <w:r>
        <w:rPr>
          <w:rFonts w:hint="eastAsia" w:ascii="宋体" w:hAnsi="宋体" w:eastAsia="宋体"/>
          <w:color w:val="auto"/>
          <w:sz w:val="28"/>
          <w:szCs w:val="28"/>
        </w:rPr>
        <w:t>⑩严禁违章作业、脱岗和在岗做与工作无关的事。</w:t>
      </w:r>
    </w:p>
    <w:p>
      <w:pPr>
        <w:spacing w:line="550" w:lineRule="exact"/>
        <w:ind w:firstLine="425" w:firstLineChars="152"/>
        <w:rPr>
          <w:rFonts w:ascii="宋体" w:hAnsi="宋体" w:eastAsia="宋体"/>
          <w:color w:val="auto"/>
          <w:sz w:val="28"/>
          <w:szCs w:val="28"/>
        </w:rPr>
      </w:pPr>
      <w:r>
        <w:rPr>
          <w:rFonts w:hint="eastAsia" w:ascii="宋体" w:hAnsi="宋体" w:eastAsia="宋体"/>
          <w:color w:val="auto"/>
          <w:sz w:val="28"/>
          <w:szCs w:val="28"/>
          <w:lang w:eastAsia="zh-CN"/>
        </w:rPr>
        <w:t>(</w:t>
      </w:r>
      <w:r>
        <w:rPr>
          <w:rFonts w:ascii="宋体" w:hAnsi="宋体" w:eastAsia="宋体"/>
          <w:color w:val="auto"/>
          <w:sz w:val="28"/>
          <w:szCs w:val="28"/>
        </w:rPr>
        <w:t>2</w:t>
      </w:r>
      <w:r>
        <w:rPr>
          <w:rFonts w:hint="eastAsia" w:ascii="宋体" w:hAnsi="宋体" w:eastAsia="宋体"/>
          <w:color w:val="auto"/>
          <w:sz w:val="28"/>
          <w:szCs w:val="28"/>
          <w:lang w:eastAsia="zh-CN"/>
        </w:rPr>
        <w:t>)</w:t>
      </w:r>
      <w:r>
        <w:rPr>
          <w:rFonts w:ascii="宋体" w:hAnsi="宋体" w:eastAsia="宋体"/>
          <w:color w:val="auto"/>
          <w:sz w:val="28"/>
          <w:szCs w:val="28"/>
        </w:rPr>
        <w:t>企业安全生产风险公告六条规定：</w:t>
      </w:r>
    </w:p>
    <w:p>
      <w:pPr>
        <w:spacing w:line="550" w:lineRule="exact"/>
        <w:ind w:firstLine="425" w:firstLineChars="152"/>
        <w:rPr>
          <w:rFonts w:ascii="宋体" w:hAnsi="宋体" w:eastAsia="宋体"/>
          <w:color w:val="auto"/>
          <w:sz w:val="28"/>
          <w:szCs w:val="28"/>
        </w:rPr>
      </w:pPr>
      <w:r>
        <w:rPr>
          <w:rFonts w:hint="eastAsia" w:ascii="宋体" w:hAnsi="宋体" w:eastAsia="宋体"/>
          <w:color w:val="auto"/>
          <w:sz w:val="28"/>
          <w:szCs w:val="28"/>
        </w:rPr>
        <w:t>①</w:t>
      </w:r>
      <w:r>
        <w:rPr>
          <w:rFonts w:ascii="宋体" w:hAnsi="宋体" w:eastAsia="宋体"/>
          <w:color w:val="auto"/>
          <w:sz w:val="28"/>
          <w:szCs w:val="28"/>
        </w:rPr>
        <w:t>必</w:t>
      </w:r>
      <w:r>
        <w:rPr>
          <w:rFonts w:hint="eastAsia" w:ascii="宋体" w:hAnsi="宋体" w:eastAsia="宋体"/>
          <w:color w:val="auto"/>
          <w:sz w:val="28"/>
          <w:szCs w:val="28"/>
        </w:rPr>
        <w:t>须在企业醒目位置设置公告栏，在存在安全生产风险的岗位设置</w:t>
      </w:r>
      <w:r>
        <w:rPr>
          <w:rFonts w:ascii="宋体" w:hAnsi="宋体" w:eastAsia="宋体"/>
          <w:color w:val="auto"/>
          <w:sz w:val="28"/>
          <w:szCs w:val="28"/>
        </w:rPr>
        <w:t xml:space="preserve"> 告知卡，分</w:t>
      </w:r>
      <w:r>
        <w:rPr>
          <w:rFonts w:hint="eastAsia" w:ascii="宋体" w:hAnsi="宋体" w:eastAsia="宋体"/>
          <w:color w:val="auto"/>
          <w:sz w:val="28"/>
          <w:szCs w:val="28"/>
        </w:rPr>
        <w:t>别标明本企业、本岗位主要危险危害因素、后果、事故预防及应急措施、报告电话等内容。</w:t>
      </w:r>
    </w:p>
    <w:p>
      <w:pPr>
        <w:spacing w:line="550" w:lineRule="exact"/>
        <w:ind w:firstLine="425" w:firstLineChars="152"/>
        <w:rPr>
          <w:rFonts w:ascii="宋体" w:hAnsi="宋体" w:eastAsia="宋体"/>
          <w:color w:val="auto"/>
          <w:sz w:val="28"/>
          <w:szCs w:val="28"/>
        </w:rPr>
      </w:pPr>
      <w:r>
        <w:rPr>
          <w:rFonts w:hint="eastAsia" w:ascii="宋体" w:hAnsi="宋体" w:eastAsia="宋体"/>
          <w:color w:val="auto"/>
          <w:sz w:val="28"/>
          <w:szCs w:val="28"/>
        </w:rPr>
        <w:t>②</w:t>
      </w:r>
      <w:r>
        <w:rPr>
          <w:rFonts w:ascii="宋体" w:hAnsi="宋体" w:eastAsia="宋体"/>
          <w:color w:val="auto"/>
          <w:sz w:val="28"/>
          <w:szCs w:val="28"/>
        </w:rPr>
        <w:t>必</w:t>
      </w:r>
      <w:r>
        <w:rPr>
          <w:rFonts w:hint="eastAsia" w:ascii="宋体" w:hAnsi="宋体" w:eastAsia="宋体"/>
          <w:color w:val="auto"/>
          <w:sz w:val="28"/>
          <w:szCs w:val="28"/>
        </w:rPr>
        <w:t>须在重大危险源、存在严重职业病危害的场所设置明显标志，标</w:t>
      </w:r>
      <w:r>
        <w:rPr>
          <w:rFonts w:ascii="宋体" w:hAnsi="宋体" w:eastAsia="宋体"/>
          <w:color w:val="auto"/>
          <w:sz w:val="28"/>
          <w:szCs w:val="28"/>
        </w:rPr>
        <w:t>明</w:t>
      </w:r>
      <w:r>
        <w:rPr>
          <w:rFonts w:hint="eastAsia" w:ascii="宋体" w:hAnsi="宋体" w:eastAsia="宋体"/>
          <w:color w:val="auto"/>
          <w:sz w:val="28"/>
          <w:szCs w:val="28"/>
        </w:rPr>
        <w:t>风险内容、危险程度、安全距离、防控办法、应急措施等内容。</w:t>
      </w:r>
    </w:p>
    <w:p>
      <w:pPr>
        <w:spacing w:line="550" w:lineRule="exact"/>
        <w:ind w:firstLine="425" w:firstLineChars="152"/>
        <w:rPr>
          <w:rFonts w:ascii="宋体" w:hAnsi="宋体" w:eastAsia="宋体"/>
          <w:color w:val="auto"/>
          <w:sz w:val="28"/>
          <w:szCs w:val="28"/>
        </w:rPr>
      </w:pPr>
      <w:r>
        <w:rPr>
          <w:rFonts w:hint="eastAsia" w:ascii="宋体" w:hAnsi="宋体" w:eastAsia="宋体"/>
          <w:color w:val="auto"/>
          <w:sz w:val="28"/>
          <w:szCs w:val="28"/>
        </w:rPr>
        <w:t>③</w:t>
      </w:r>
      <w:r>
        <w:rPr>
          <w:rFonts w:ascii="宋体" w:hAnsi="宋体" w:eastAsia="宋体"/>
          <w:color w:val="auto"/>
          <w:sz w:val="28"/>
          <w:szCs w:val="28"/>
        </w:rPr>
        <w:t>必</w:t>
      </w:r>
      <w:r>
        <w:rPr>
          <w:rFonts w:hint="eastAsia" w:ascii="宋体" w:hAnsi="宋体" w:eastAsia="宋体"/>
          <w:color w:val="auto"/>
          <w:sz w:val="28"/>
          <w:szCs w:val="28"/>
        </w:rPr>
        <w:t>须在有重大事故隐患和较大危险的场所和设施设备上设置明显标</w:t>
      </w:r>
      <w:r>
        <w:rPr>
          <w:rFonts w:ascii="宋体" w:hAnsi="宋体" w:eastAsia="宋体"/>
          <w:color w:val="auto"/>
          <w:sz w:val="28"/>
          <w:szCs w:val="28"/>
        </w:rPr>
        <w:t>志，</w:t>
      </w:r>
      <w:r>
        <w:rPr>
          <w:rFonts w:hint="eastAsia" w:ascii="宋体" w:hAnsi="宋体" w:eastAsia="宋体"/>
          <w:color w:val="auto"/>
          <w:sz w:val="28"/>
          <w:szCs w:val="28"/>
        </w:rPr>
        <w:t>标明治理责任、期限及应急措施。</w:t>
      </w:r>
    </w:p>
    <w:p>
      <w:pPr>
        <w:spacing w:line="550" w:lineRule="exact"/>
        <w:ind w:firstLine="425" w:firstLineChars="152"/>
        <w:rPr>
          <w:rFonts w:ascii="宋体" w:hAnsi="宋体" w:eastAsia="宋体"/>
          <w:color w:val="auto"/>
          <w:sz w:val="28"/>
          <w:szCs w:val="28"/>
        </w:rPr>
      </w:pPr>
      <w:r>
        <w:rPr>
          <w:rFonts w:hint="eastAsia" w:ascii="宋体" w:hAnsi="宋体" w:eastAsia="宋体"/>
          <w:color w:val="auto"/>
          <w:sz w:val="28"/>
          <w:szCs w:val="28"/>
        </w:rPr>
        <w:t>④</w:t>
      </w:r>
      <w:r>
        <w:rPr>
          <w:rFonts w:ascii="宋体" w:hAnsi="宋体" w:eastAsia="宋体"/>
          <w:color w:val="auto"/>
          <w:sz w:val="28"/>
          <w:szCs w:val="28"/>
        </w:rPr>
        <w:t>必</w:t>
      </w:r>
      <w:r>
        <w:rPr>
          <w:rFonts w:hint="eastAsia" w:ascii="宋体" w:hAnsi="宋体" w:eastAsia="宋体"/>
          <w:color w:val="auto"/>
          <w:sz w:val="28"/>
          <w:szCs w:val="28"/>
        </w:rPr>
        <w:t>须在工作岗位标明安全操作要点。</w:t>
      </w:r>
    </w:p>
    <w:p>
      <w:pPr>
        <w:spacing w:line="550" w:lineRule="exact"/>
        <w:ind w:firstLine="425" w:firstLineChars="152"/>
        <w:rPr>
          <w:rFonts w:ascii="宋体" w:hAnsi="宋体" w:eastAsia="宋体"/>
          <w:color w:val="auto"/>
          <w:sz w:val="28"/>
          <w:szCs w:val="28"/>
        </w:rPr>
      </w:pPr>
      <w:r>
        <w:rPr>
          <w:rFonts w:hint="eastAsia" w:ascii="宋体" w:hAnsi="宋体" w:eastAsia="宋体"/>
          <w:color w:val="auto"/>
          <w:sz w:val="28"/>
          <w:szCs w:val="28"/>
        </w:rPr>
        <w:t>⑤</w:t>
      </w:r>
      <w:r>
        <w:rPr>
          <w:rFonts w:ascii="宋体" w:hAnsi="宋体" w:eastAsia="宋体"/>
          <w:color w:val="auto"/>
          <w:sz w:val="28"/>
          <w:szCs w:val="28"/>
        </w:rPr>
        <w:t>必</w:t>
      </w:r>
      <w:r>
        <w:rPr>
          <w:rFonts w:hint="eastAsia" w:ascii="宋体" w:hAnsi="宋体" w:eastAsia="宋体"/>
          <w:color w:val="auto"/>
          <w:sz w:val="28"/>
          <w:szCs w:val="28"/>
        </w:rPr>
        <w:t>须及时向员工公开安全生产行政处罚决定、执行情况和整改结果。</w:t>
      </w:r>
    </w:p>
    <w:p>
      <w:pPr>
        <w:spacing w:line="550" w:lineRule="exact"/>
        <w:ind w:firstLine="425" w:firstLineChars="152"/>
        <w:rPr>
          <w:rFonts w:ascii="宋体" w:hAnsi="宋体" w:eastAsia="宋体"/>
          <w:color w:val="auto"/>
          <w:sz w:val="28"/>
          <w:szCs w:val="28"/>
        </w:rPr>
      </w:pPr>
      <w:r>
        <w:rPr>
          <w:rFonts w:hint="eastAsia" w:ascii="宋体" w:hAnsi="宋体" w:eastAsia="宋体"/>
          <w:color w:val="auto"/>
          <w:sz w:val="28"/>
          <w:szCs w:val="28"/>
        </w:rPr>
        <w:t>⑥</w:t>
      </w:r>
      <w:r>
        <w:rPr>
          <w:rFonts w:ascii="宋体" w:hAnsi="宋体" w:eastAsia="宋体"/>
          <w:color w:val="auto"/>
          <w:sz w:val="28"/>
          <w:szCs w:val="28"/>
        </w:rPr>
        <w:t>必</w:t>
      </w:r>
      <w:r>
        <w:rPr>
          <w:rFonts w:hint="eastAsia" w:ascii="宋体" w:hAnsi="宋体" w:eastAsia="宋体"/>
          <w:color w:val="auto"/>
          <w:sz w:val="28"/>
          <w:szCs w:val="28"/>
        </w:rPr>
        <w:t>须及时更新安全生产风险公告内容，建立档案。</w:t>
      </w:r>
    </w:p>
    <w:p>
      <w:pPr>
        <w:spacing w:line="550" w:lineRule="exact"/>
        <w:jc w:val="both"/>
        <w:outlineLvl w:val="1"/>
        <w:rPr>
          <w:rFonts w:ascii="楷体_GB2312" w:hAnsi="Times New Roman" w:eastAsia="楷体_GB2312" w:cs="Times New Roman"/>
          <w:bCs/>
          <w:color w:val="auto"/>
          <w:kern w:val="2"/>
          <w:sz w:val="32"/>
          <w:lang w:val="en-US" w:eastAsia="zh-CN" w:bidi="ar-SA"/>
        </w:rPr>
      </w:pPr>
      <w:bookmarkStart w:id="143" w:name="bookmark102"/>
      <w:bookmarkStart w:id="144" w:name="_Toc40045931"/>
      <w:r>
        <w:rPr>
          <w:rFonts w:ascii="楷体_GB2312" w:hAnsi="Times New Roman" w:eastAsia="楷体_GB2312" w:cs="Times New Roman"/>
          <w:bCs/>
          <w:color w:val="auto"/>
          <w:kern w:val="2"/>
          <w:sz w:val="32"/>
          <w:lang w:val="en-US" w:eastAsia="zh-CN" w:bidi="ar-SA"/>
        </w:rPr>
        <w:t>11.3整改意见复</w:t>
      </w:r>
      <w:bookmarkEnd w:id="143"/>
      <w:r>
        <w:rPr>
          <w:rFonts w:hint="eastAsia" w:ascii="楷体_GB2312" w:hAnsi="Times New Roman" w:eastAsia="楷体_GB2312" w:cs="Times New Roman"/>
          <w:bCs/>
          <w:color w:val="auto"/>
          <w:kern w:val="2"/>
          <w:sz w:val="32"/>
          <w:lang w:val="en-US" w:eastAsia="zh-CN" w:bidi="ar-SA"/>
        </w:rPr>
        <w:t>查</w:t>
      </w:r>
      <w:bookmarkEnd w:id="144"/>
    </w:p>
    <w:p>
      <w:pPr>
        <w:spacing w:line="550" w:lineRule="exact"/>
        <w:jc w:val="center"/>
        <w:rPr>
          <w:rFonts w:ascii="宋体" w:hAnsi="宋体" w:eastAsia="PMingLiU"/>
          <w:b/>
          <w:color w:val="auto"/>
        </w:rPr>
      </w:pPr>
      <w:r>
        <w:rPr>
          <w:rFonts w:ascii="宋体" w:hAnsi="宋体" w:eastAsia="宋体"/>
          <w:b/>
          <w:color w:val="auto"/>
        </w:rPr>
        <w:t>表11-2整改意见复查</w:t>
      </w:r>
    </w:p>
    <w:tbl>
      <w:tblPr>
        <w:tblStyle w:val="45"/>
        <w:tblW w:w="4991" w:type="pct"/>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 w:type="dxa"/>
          <w:bottom w:w="0" w:type="dxa"/>
          <w:right w:w="10" w:type="dxa"/>
        </w:tblCellMar>
      </w:tblPr>
      <w:tblGrid>
        <w:gridCol w:w="710"/>
        <w:gridCol w:w="3279"/>
        <w:gridCol w:w="3101"/>
        <w:gridCol w:w="1276"/>
        <w:gridCol w:w="815"/>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tblHeader/>
          <w:jc w:val="center"/>
        </w:trPr>
        <w:tc>
          <w:tcPr>
            <w:tcW w:w="710" w:type="dxa"/>
            <w:shd w:val="clear" w:color="auto" w:fill="FFFFFF"/>
            <w:vAlign w:val="center"/>
          </w:tcPr>
          <w:p>
            <w:pPr>
              <w:spacing w:line="360" w:lineRule="exact"/>
              <w:jc w:val="center"/>
              <w:rPr>
                <w:rFonts w:ascii="宋体" w:hAnsi="宋体" w:eastAsia="宋体"/>
                <w:b/>
                <w:color w:val="auto"/>
                <w:sz w:val="21"/>
                <w:szCs w:val="21"/>
              </w:rPr>
            </w:pPr>
            <w:r>
              <w:rPr>
                <w:rFonts w:ascii="宋体" w:hAnsi="宋体" w:eastAsia="宋体"/>
                <w:b/>
                <w:color w:val="auto"/>
                <w:sz w:val="21"/>
                <w:szCs w:val="21"/>
              </w:rPr>
              <w:t>序号</w:t>
            </w:r>
          </w:p>
        </w:tc>
        <w:tc>
          <w:tcPr>
            <w:tcW w:w="3279" w:type="dxa"/>
            <w:shd w:val="clear" w:color="auto" w:fill="FFFFFF"/>
            <w:vAlign w:val="center"/>
          </w:tcPr>
          <w:p>
            <w:pPr>
              <w:spacing w:line="360" w:lineRule="exact"/>
              <w:jc w:val="center"/>
              <w:rPr>
                <w:rFonts w:ascii="宋体" w:hAnsi="宋体" w:eastAsia="宋体"/>
                <w:b/>
                <w:color w:val="auto"/>
                <w:sz w:val="21"/>
                <w:szCs w:val="21"/>
              </w:rPr>
            </w:pPr>
            <w:r>
              <w:rPr>
                <w:rFonts w:ascii="宋体" w:hAnsi="宋体" w:eastAsia="宋体"/>
                <w:b/>
                <w:color w:val="auto"/>
                <w:sz w:val="21"/>
                <w:szCs w:val="21"/>
              </w:rPr>
              <w:t>存在问题</w:t>
            </w:r>
          </w:p>
        </w:tc>
        <w:tc>
          <w:tcPr>
            <w:tcW w:w="3101" w:type="dxa"/>
            <w:shd w:val="clear" w:color="auto" w:fill="FFFFFF"/>
            <w:vAlign w:val="center"/>
          </w:tcPr>
          <w:p>
            <w:pPr>
              <w:spacing w:line="360" w:lineRule="exact"/>
              <w:jc w:val="center"/>
              <w:rPr>
                <w:rFonts w:ascii="宋体" w:hAnsi="宋体" w:eastAsia="宋体"/>
                <w:b/>
                <w:color w:val="auto"/>
                <w:sz w:val="21"/>
                <w:szCs w:val="21"/>
              </w:rPr>
            </w:pPr>
            <w:r>
              <w:rPr>
                <w:rFonts w:ascii="宋体" w:hAnsi="宋体" w:eastAsia="宋体"/>
                <w:b/>
                <w:color w:val="auto"/>
                <w:sz w:val="21"/>
                <w:szCs w:val="21"/>
              </w:rPr>
              <w:t>安全对策措施</w:t>
            </w:r>
          </w:p>
        </w:tc>
        <w:tc>
          <w:tcPr>
            <w:tcW w:w="1276" w:type="dxa"/>
            <w:shd w:val="clear" w:color="auto" w:fill="FFFFFF"/>
            <w:vAlign w:val="center"/>
          </w:tcPr>
          <w:p>
            <w:pPr>
              <w:spacing w:line="360" w:lineRule="exact"/>
              <w:jc w:val="center"/>
              <w:rPr>
                <w:rFonts w:ascii="宋体" w:hAnsi="宋体" w:eastAsia="宋体"/>
                <w:b/>
                <w:color w:val="auto"/>
                <w:sz w:val="21"/>
                <w:szCs w:val="21"/>
              </w:rPr>
            </w:pPr>
            <w:r>
              <w:rPr>
                <w:rFonts w:ascii="宋体" w:hAnsi="宋体" w:eastAsia="宋体"/>
                <w:b/>
                <w:color w:val="auto"/>
                <w:sz w:val="21"/>
                <w:szCs w:val="21"/>
              </w:rPr>
              <w:t>复查结果</w:t>
            </w:r>
          </w:p>
        </w:tc>
        <w:tc>
          <w:tcPr>
            <w:tcW w:w="815" w:type="dxa"/>
            <w:shd w:val="clear" w:color="auto" w:fill="FFFFFF"/>
            <w:vAlign w:val="center"/>
          </w:tcPr>
          <w:p>
            <w:pPr>
              <w:spacing w:line="360" w:lineRule="exact"/>
              <w:jc w:val="center"/>
              <w:rPr>
                <w:rFonts w:ascii="宋体" w:hAnsi="宋体" w:eastAsia="宋体"/>
                <w:b/>
                <w:color w:val="auto"/>
                <w:sz w:val="21"/>
                <w:szCs w:val="21"/>
              </w:rPr>
            </w:pPr>
            <w:r>
              <w:rPr>
                <w:rFonts w:ascii="宋体" w:hAnsi="宋体" w:eastAsia="宋体"/>
                <w:b/>
                <w:color w:val="auto"/>
                <w:sz w:val="21"/>
                <w:szCs w:val="21"/>
              </w:rPr>
              <w:t>是否</w:t>
            </w:r>
          </w:p>
          <w:p>
            <w:pPr>
              <w:spacing w:line="360" w:lineRule="exact"/>
              <w:jc w:val="center"/>
              <w:rPr>
                <w:rFonts w:ascii="宋体" w:hAnsi="宋体" w:eastAsia="宋体"/>
                <w:b/>
                <w:color w:val="auto"/>
                <w:sz w:val="21"/>
                <w:szCs w:val="21"/>
              </w:rPr>
            </w:pPr>
            <w:r>
              <w:rPr>
                <w:rFonts w:ascii="宋体" w:hAnsi="宋体" w:eastAsia="宋体"/>
                <w:b/>
                <w:color w:val="auto"/>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710" w:type="dxa"/>
            <w:shd w:val="clear" w:color="auto" w:fill="FFFFFF"/>
            <w:vAlign w:val="center"/>
          </w:tcPr>
          <w:p>
            <w:pPr>
              <w:spacing w:line="360" w:lineRule="exact"/>
              <w:jc w:val="center"/>
              <w:rPr>
                <w:rFonts w:ascii="楷体" w:hAnsi="楷体" w:eastAsia="楷体"/>
                <w:color w:val="auto"/>
                <w:sz w:val="21"/>
                <w:szCs w:val="21"/>
              </w:rPr>
            </w:pPr>
            <w:r>
              <w:rPr>
                <w:rFonts w:ascii="楷体" w:hAnsi="楷体" w:eastAsia="楷体"/>
                <w:color w:val="auto"/>
                <w:sz w:val="21"/>
                <w:szCs w:val="21"/>
              </w:rPr>
              <w:t>1</w:t>
            </w:r>
          </w:p>
        </w:tc>
        <w:tc>
          <w:tcPr>
            <w:tcW w:w="3279" w:type="dxa"/>
            <w:shd w:val="clear" w:color="auto" w:fill="FFFFFF"/>
            <w:vAlign w:val="center"/>
          </w:tcPr>
          <w:p>
            <w:pPr>
              <w:spacing w:line="360" w:lineRule="exact"/>
              <w:ind w:left="46" w:leftChars="19" w:right="31" w:rightChars="13" w:firstLine="46" w:firstLineChars="22"/>
              <w:jc w:val="both"/>
              <w:rPr>
                <w:rFonts w:ascii="楷体" w:hAnsi="楷体" w:eastAsia="楷体"/>
                <w:color w:val="auto"/>
                <w:sz w:val="21"/>
                <w:szCs w:val="21"/>
              </w:rPr>
            </w:pPr>
            <w:r>
              <w:rPr>
                <w:rFonts w:hint="eastAsia" w:ascii="楷体" w:hAnsi="楷体" w:eastAsia="楷体" w:cs="宋体"/>
                <w:color w:val="auto"/>
                <w:sz w:val="21"/>
                <w:szCs w:val="21"/>
              </w:rPr>
              <w:t>危险化学品仓1、2、3</w:t>
            </w:r>
            <w:r>
              <w:rPr>
                <w:rFonts w:hint="eastAsia" w:ascii="楷体" w:hAnsi="楷体" w:eastAsia="楷体" w:cs="宋体"/>
                <w:color w:val="auto"/>
                <w:sz w:val="21"/>
                <w:szCs w:val="21"/>
                <w:lang w:eastAsia="zh-CN"/>
              </w:rPr>
              <w:t>及生产车间</w:t>
            </w:r>
            <w:r>
              <w:rPr>
                <w:rFonts w:hint="eastAsia" w:ascii="楷体" w:hAnsi="楷体" w:eastAsia="楷体" w:cs="宋体"/>
                <w:color w:val="auto"/>
                <w:sz w:val="21"/>
                <w:szCs w:val="21"/>
              </w:rPr>
              <w:t>内物料安全周知卡不足且与现场存放情况不对应。</w:t>
            </w:r>
          </w:p>
        </w:tc>
        <w:tc>
          <w:tcPr>
            <w:tcW w:w="3101" w:type="dxa"/>
            <w:shd w:val="clear" w:color="auto" w:fill="FFFFFF"/>
            <w:vAlign w:val="center"/>
          </w:tcPr>
          <w:p>
            <w:pPr>
              <w:spacing w:line="360" w:lineRule="exact"/>
              <w:ind w:left="46" w:leftChars="19" w:right="31" w:rightChars="13" w:firstLine="46" w:firstLineChars="22"/>
              <w:jc w:val="both"/>
              <w:rPr>
                <w:rFonts w:ascii="楷体" w:hAnsi="楷体" w:eastAsia="楷体"/>
                <w:color w:val="auto"/>
                <w:sz w:val="21"/>
                <w:szCs w:val="21"/>
                <w:lang w:eastAsia="zh-CN"/>
              </w:rPr>
            </w:pPr>
            <w:r>
              <w:rPr>
                <w:rFonts w:hint="eastAsia" w:ascii="楷体" w:hAnsi="楷体" w:eastAsia="楷体"/>
                <w:color w:val="auto"/>
                <w:sz w:val="21"/>
                <w:szCs w:val="21"/>
                <w:lang w:eastAsia="zh-CN"/>
              </w:rPr>
              <w:t>应在物料、产品和使用岗位设置对应的安全周知卡。</w:t>
            </w:r>
          </w:p>
        </w:tc>
        <w:tc>
          <w:tcPr>
            <w:tcW w:w="1276" w:type="dxa"/>
            <w:shd w:val="clear" w:color="auto" w:fill="FFFFFF"/>
            <w:vAlign w:val="center"/>
          </w:tcPr>
          <w:p>
            <w:pPr>
              <w:spacing w:line="360" w:lineRule="exact"/>
              <w:jc w:val="center"/>
              <w:rPr>
                <w:rFonts w:ascii="楷体" w:hAnsi="楷体" w:eastAsia="楷体"/>
                <w:color w:val="auto"/>
                <w:sz w:val="21"/>
                <w:szCs w:val="21"/>
                <w:lang w:eastAsia="zh-CN"/>
              </w:rPr>
            </w:pPr>
            <w:r>
              <w:rPr>
                <w:rFonts w:ascii="楷体" w:hAnsi="楷体" w:eastAsia="楷体"/>
                <w:color w:val="auto"/>
                <w:sz w:val="21"/>
                <w:szCs w:val="21"/>
              </w:rPr>
              <w:t>己</w:t>
            </w:r>
            <w:r>
              <w:rPr>
                <w:rFonts w:hint="eastAsia" w:ascii="楷体" w:hAnsi="楷体" w:eastAsia="楷体"/>
                <w:color w:val="auto"/>
                <w:sz w:val="21"/>
                <w:szCs w:val="21"/>
                <w:lang w:eastAsia="zh-CN"/>
              </w:rPr>
              <w:t>完成</w:t>
            </w:r>
            <w:r>
              <w:rPr>
                <w:rFonts w:ascii="楷体" w:hAnsi="楷体" w:eastAsia="楷体"/>
                <w:color w:val="auto"/>
                <w:sz w:val="21"/>
                <w:szCs w:val="21"/>
              </w:rPr>
              <w:t>整改</w:t>
            </w:r>
          </w:p>
        </w:tc>
        <w:tc>
          <w:tcPr>
            <w:tcW w:w="815" w:type="dxa"/>
            <w:shd w:val="clear" w:color="auto" w:fill="FFFFFF"/>
            <w:vAlign w:val="center"/>
          </w:tcPr>
          <w:p>
            <w:pPr>
              <w:spacing w:line="360" w:lineRule="exact"/>
              <w:jc w:val="center"/>
              <w:rPr>
                <w:rFonts w:ascii="楷体" w:hAnsi="楷体" w:eastAsia="楷体"/>
                <w:color w:val="auto"/>
                <w:sz w:val="21"/>
                <w:szCs w:val="21"/>
              </w:rPr>
            </w:pPr>
            <w:r>
              <w:rPr>
                <w:rFonts w:ascii="楷体" w:hAnsi="楷体" w:eastAsia="楷体"/>
                <w:color w:val="auto"/>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710" w:type="dxa"/>
            <w:shd w:val="clear" w:color="auto" w:fill="FFFFFF"/>
            <w:vAlign w:val="center"/>
          </w:tcPr>
          <w:p>
            <w:pPr>
              <w:spacing w:line="360" w:lineRule="exact"/>
              <w:jc w:val="center"/>
              <w:rPr>
                <w:rFonts w:ascii="楷体" w:hAnsi="楷体" w:eastAsia="楷体"/>
                <w:color w:val="auto"/>
                <w:sz w:val="21"/>
                <w:szCs w:val="21"/>
              </w:rPr>
            </w:pPr>
            <w:r>
              <w:rPr>
                <w:rFonts w:ascii="楷体" w:hAnsi="楷体" w:eastAsia="楷体"/>
                <w:color w:val="auto"/>
                <w:sz w:val="21"/>
                <w:szCs w:val="21"/>
              </w:rPr>
              <w:t>2</w:t>
            </w:r>
          </w:p>
        </w:tc>
        <w:tc>
          <w:tcPr>
            <w:tcW w:w="3279" w:type="dxa"/>
            <w:shd w:val="clear" w:color="auto" w:fill="FFFFFF"/>
            <w:vAlign w:val="center"/>
          </w:tcPr>
          <w:p>
            <w:pPr>
              <w:spacing w:line="360" w:lineRule="exact"/>
              <w:ind w:left="46" w:leftChars="19" w:right="31" w:rightChars="13" w:firstLine="46" w:firstLineChars="22"/>
              <w:jc w:val="both"/>
              <w:rPr>
                <w:rFonts w:ascii="楷体" w:hAnsi="楷体" w:eastAsia="楷体"/>
                <w:color w:val="auto"/>
                <w:sz w:val="21"/>
                <w:szCs w:val="21"/>
              </w:rPr>
            </w:pPr>
            <w:r>
              <w:rPr>
                <w:rFonts w:hint="eastAsia" w:ascii="楷体" w:hAnsi="楷体" w:eastAsia="楷体" w:cs="宋体"/>
                <w:color w:val="auto"/>
                <w:sz w:val="21"/>
                <w:szCs w:val="21"/>
              </w:rPr>
              <w:t>危险化学品仓库1无洗眼器。</w:t>
            </w:r>
          </w:p>
        </w:tc>
        <w:tc>
          <w:tcPr>
            <w:tcW w:w="3101" w:type="dxa"/>
            <w:shd w:val="clear" w:color="auto" w:fill="FFFFFF"/>
            <w:vAlign w:val="center"/>
          </w:tcPr>
          <w:p>
            <w:pPr>
              <w:spacing w:line="360" w:lineRule="exact"/>
              <w:ind w:left="46" w:leftChars="19" w:right="31" w:rightChars="13" w:firstLine="46" w:firstLineChars="22"/>
              <w:jc w:val="both"/>
              <w:rPr>
                <w:rFonts w:ascii="楷体" w:hAnsi="楷体" w:eastAsia="楷体"/>
                <w:color w:val="auto"/>
                <w:sz w:val="21"/>
                <w:szCs w:val="21"/>
              </w:rPr>
            </w:pPr>
            <w:r>
              <w:rPr>
                <w:rFonts w:hint="eastAsia" w:ascii="楷体" w:hAnsi="楷体" w:eastAsia="楷体" w:cs="宋体"/>
                <w:color w:val="auto"/>
                <w:sz w:val="21"/>
                <w:szCs w:val="21"/>
              </w:rPr>
              <w:t>建议在仓库门口安装洗眼喷淋装置，服务半径应不大于15m。</w:t>
            </w:r>
          </w:p>
        </w:tc>
        <w:tc>
          <w:tcPr>
            <w:tcW w:w="1276" w:type="dxa"/>
            <w:shd w:val="clear" w:color="auto" w:fill="FFFFFF"/>
            <w:vAlign w:val="center"/>
          </w:tcPr>
          <w:p>
            <w:pPr>
              <w:spacing w:line="360" w:lineRule="exact"/>
              <w:jc w:val="center"/>
              <w:rPr>
                <w:rFonts w:ascii="楷体" w:hAnsi="楷体" w:eastAsia="楷体"/>
                <w:color w:val="auto"/>
                <w:sz w:val="21"/>
                <w:szCs w:val="21"/>
              </w:rPr>
            </w:pPr>
            <w:r>
              <w:rPr>
                <w:rFonts w:ascii="楷体" w:hAnsi="楷体" w:eastAsia="楷体"/>
                <w:color w:val="auto"/>
                <w:sz w:val="21"/>
                <w:szCs w:val="21"/>
              </w:rPr>
              <w:t>己</w:t>
            </w:r>
            <w:r>
              <w:rPr>
                <w:rFonts w:hint="eastAsia" w:ascii="楷体" w:hAnsi="楷体" w:eastAsia="楷体"/>
                <w:color w:val="auto"/>
                <w:sz w:val="21"/>
                <w:szCs w:val="21"/>
                <w:lang w:eastAsia="zh-CN"/>
              </w:rPr>
              <w:t>完成</w:t>
            </w:r>
            <w:r>
              <w:rPr>
                <w:rFonts w:ascii="楷体" w:hAnsi="楷体" w:eastAsia="楷体"/>
                <w:color w:val="auto"/>
                <w:sz w:val="21"/>
                <w:szCs w:val="21"/>
              </w:rPr>
              <w:t>整改</w:t>
            </w:r>
          </w:p>
        </w:tc>
        <w:tc>
          <w:tcPr>
            <w:tcW w:w="815" w:type="dxa"/>
            <w:shd w:val="clear" w:color="auto" w:fill="FFFFFF"/>
            <w:vAlign w:val="center"/>
          </w:tcPr>
          <w:p>
            <w:pPr>
              <w:spacing w:line="360" w:lineRule="exact"/>
              <w:jc w:val="center"/>
              <w:rPr>
                <w:rFonts w:ascii="楷体" w:hAnsi="楷体" w:eastAsia="楷体"/>
                <w:color w:val="auto"/>
                <w:sz w:val="21"/>
                <w:szCs w:val="21"/>
              </w:rPr>
            </w:pPr>
            <w:r>
              <w:rPr>
                <w:rFonts w:ascii="楷体" w:hAnsi="楷体" w:eastAsia="楷体"/>
                <w:color w:val="auto"/>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710" w:type="dxa"/>
            <w:shd w:val="clear" w:color="auto" w:fill="FFFFFF"/>
            <w:vAlign w:val="center"/>
          </w:tcPr>
          <w:p>
            <w:pPr>
              <w:spacing w:line="360" w:lineRule="exact"/>
              <w:jc w:val="center"/>
              <w:rPr>
                <w:rFonts w:ascii="楷体" w:hAnsi="楷体" w:eastAsia="楷体"/>
                <w:color w:val="auto"/>
                <w:sz w:val="21"/>
                <w:szCs w:val="21"/>
              </w:rPr>
            </w:pPr>
            <w:r>
              <w:rPr>
                <w:rFonts w:ascii="楷体" w:hAnsi="楷体" w:eastAsia="楷体"/>
                <w:color w:val="auto"/>
                <w:sz w:val="21"/>
                <w:szCs w:val="21"/>
              </w:rPr>
              <w:t>3</w:t>
            </w:r>
          </w:p>
        </w:tc>
        <w:tc>
          <w:tcPr>
            <w:tcW w:w="3279" w:type="dxa"/>
            <w:shd w:val="clear" w:color="auto" w:fill="FFFFFF"/>
            <w:vAlign w:val="center"/>
          </w:tcPr>
          <w:p>
            <w:pPr>
              <w:spacing w:line="360" w:lineRule="exact"/>
              <w:ind w:left="46" w:leftChars="19" w:right="31" w:rightChars="13" w:firstLine="46" w:firstLineChars="22"/>
              <w:jc w:val="both"/>
              <w:rPr>
                <w:rFonts w:ascii="楷体" w:hAnsi="楷体" w:eastAsia="楷体"/>
                <w:color w:val="auto"/>
                <w:sz w:val="21"/>
                <w:szCs w:val="21"/>
              </w:rPr>
            </w:pPr>
            <w:r>
              <w:rPr>
                <w:rFonts w:hint="eastAsia" w:ascii="楷体" w:hAnsi="楷体" w:eastAsia="楷体" w:cs="宋体"/>
                <w:color w:val="auto"/>
                <w:sz w:val="21"/>
                <w:szCs w:val="21"/>
                <w:lang w:eastAsia="zh-CN"/>
              </w:rPr>
              <w:t>泡沫原液储罐</w:t>
            </w:r>
            <w:r>
              <w:rPr>
                <w:rFonts w:hint="eastAsia" w:ascii="楷体" w:hAnsi="楷体" w:eastAsia="楷体" w:cs="宋体"/>
                <w:color w:val="auto"/>
                <w:sz w:val="21"/>
                <w:szCs w:val="21"/>
              </w:rPr>
              <w:t>缺少相关的产品规格标识。</w:t>
            </w:r>
          </w:p>
        </w:tc>
        <w:tc>
          <w:tcPr>
            <w:tcW w:w="3101" w:type="dxa"/>
            <w:shd w:val="clear" w:color="auto" w:fill="FFFFFF"/>
            <w:vAlign w:val="center"/>
          </w:tcPr>
          <w:p>
            <w:pPr>
              <w:spacing w:line="360" w:lineRule="exact"/>
              <w:ind w:left="46" w:leftChars="19" w:right="31" w:rightChars="13" w:firstLine="46" w:firstLineChars="22"/>
              <w:jc w:val="both"/>
              <w:rPr>
                <w:rFonts w:ascii="楷体" w:hAnsi="楷体" w:eastAsia="楷体"/>
                <w:color w:val="auto"/>
                <w:sz w:val="21"/>
                <w:szCs w:val="21"/>
              </w:rPr>
            </w:pPr>
            <w:r>
              <w:rPr>
                <w:rFonts w:hint="eastAsia" w:ascii="楷体" w:hAnsi="楷体" w:eastAsia="楷体" w:cs="宋体"/>
                <w:color w:val="auto"/>
                <w:sz w:val="21"/>
                <w:szCs w:val="21"/>
                <w:lang w:eastAsia="zh-CN"/>
              </w:rPr>
              <w:t>在</w:t>
            </w:r>
            <w:r>
              <w:rPr>
                <w:rFonts w:hint="eastAsia" w:ascii="楷体" w:hAnsi="楷体" w:eastAsia="楷体" w:cs="宋体"/>
                <w:color w:val="auto"/>
                <w:sz w:val="21"/>
                <w:szCs w:val="21"/>
              </w:rPr>
              <w:t>泡沫</w:t>
            </w:r>
            <w:r>
              <w:rPr>
                <w:rFonts w:hint="eastAsia" w:ascii="楷体" w:hAnsi="楷体" w:eastAsia="楷体" w:cs="宋体"/>
                <w:color w:val="auto"/>
                <w:sz w:val="21"/>
                <w:szCs w:val="21"/>
                <w:lang w:eastAsia="zh-CN"/>
              </w:rPr>
              <w:t>原</w:t>
            </w:r>
            <w:r>
              <w:rPr>
                <w:rFonts w:hint="eastAsia" w:ascii="楷体" w:hAnsi="楷体" w:eastAsia="楷体" w:cs="宋体"/>
                <w:color w:val="auto"/>
                <w:sz w:val="21"/>
                <w:szCs w:val="21"/>
              </w:rPr>
              <w:t>液储罐上</w:t>
            </w:r>
            <w:r>
              <w:rPr>
                <w:rFonts w:hint="eastAsia" w:ascii="楷体" w:hAnsi="楷体" w:eastAsia="楷体" w:cs="宋体"/>
                <w:color w:val="auto"/>
                <w:sz w:val="21"/>
                <w:szCs w:val="21"/>
                <w:lang w:eastAsia="zh-CN"/>
              </w:rPr>
              <w:t>标</w:t>
            </w:r>
            <w:r>
              <w:rPr>
                <w:rFonts w:hint="eastAsia" w:ascii="楷体" w:hAnsi="楷体" w:eastAsia="楷体" w:cs="宋体"/>
                <w:color w:val="auto"/>
                <w:sz w:val="21"/>
                <w:szCs w:val="21"/>
              </w:rPr>
              <w:t>明泡沫</w:t>
            </w:r>
            <w:r>
              <w:rPr>
                <w:rFonts w:hint="eastAsia" w:ascii="楷体" w:hAnsi="楷体" w:eastAsia="楷体" w:cs="宋体"/>
                <w:color w:val="auto"/>
                <w:sz w:val="21"/>
                <w:szCs w:val="21"/>
                <w:lang w:eastAsia="zh-CN"/>
              </w:rPr>
              <w:t>原</w:t>
            </w:r>
            <w:r>
              <w:rPr>
                <w:rFonts w:hint="eastAsia" w:ascii="楷体" w:hAnsi="楷体" w:eastAsia="楷体" w:cs="宋体"/>
                <w:color w:val="auto"/>
                <w:sz w:val="21"/>
                <w:szCs w:val="21"/>
              </w:rPr>
              <w:t>液种类、灌装日期及储量的标识。</w:t>
            </w:r>
          </w:p>
        </w:tc>
        <w:tc>
          <w:tcPr>
            <w:tcW w:w="1276" w:type="dxa"/>
            <w:shd w:val="clear" w:color="auto" w:fill="FFFFFF"/>
            <w:vAlign w:val="center"/>
          </w:tcPr>
          <w:p>
            <w:pPr>
              <w:spacing w:line="360" w:lineRule="exact"/>
              <w:jc w:val="center"/>
              <w:rPr>
                <w:rFonts w:ascii="楷体" w:hAnsi="楷体" w:eastAsia="楷体"/>
                <w:color w:val="auto"/>
                <w:sz w:val="21"/>
                <w:szCs w:val="21"/>
              </w:rPr>
            </w:pPr>
            <w:r>
              <w:rPr>
                <w:rFonts w:ascii="楷体" w:hAnsi="楷体" w:eastAsia="楷体"/>
                <w:color w:val="auto"/>
                <w:sz w:val="21"/>
                <w:szCs w:val="21"/>
              </w:rPr>
              <w:t>己</w:t>
            </w:r>
            <w:r>
              <w:rPr>
                <w:rFonts w:hint="eastAsia" w:ascii="楷体" w:hAnsi="楷体" w:eastAsia="楷体"/>
                <w:color w:val="auto"/>
                <w:sz w:val="21"/>
                <w:szCs w:val="21"/>
                <w:lang w:eastAsia="zh-CN"/>
              </w:rPr>
              <w:t>完成</w:t>
            </w:r>
            <w:r>
              <w:rPr>
                <w:rFonts w:ascii="楷体" w:hAnsi="楷体" w:eastAsia="楷体"/>
                <w:color w:val="auto"/>
                <w:sz w:val="21"/>
                <w:szCs w:val="21"/>
              </w:rPr>
              <w:t>整改</w:t>
            </w:r>
          </w:p>
        </w:tc>
        <w:tc>
          <w:tcPr>
            <w:tcW w:w="815" w:type="dxa"/>
            <w:shd w:val="clear" w:color="auto" w:fill="FFFFFF"/>
            <w:vAlign w:val="center"/>
          </w:tcPr>
          <w:p>
            <w:pPr>
              <w:spacing w:line="360" w:lineRule="exact"/>
              <w:jc w:val="center"/>
              <w:rPr>
                <w:rFonts w:ascii="楷体" w:hAnsi="楷体" w:eastAsia="楷体"/>
                <w:color w:val="auto"/>
                <w:sz w:val="21"/>
                <w:szCs w:val="21"/>
              </w:rPr>
            </w:pPr>
            <w:r>
              <w:rPr>
                <w:rFonts w:ascii="楷体" w:hAnsi="楷体" w:eastAsia="楷体"/>
                <w:color w:val="auto"/>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710" w:type="dxa"/>
            <w:shd w:val="clear" w:color="auto" w:fill="FFFFFF"/>
            <w:vAlign w:val="center"/>
          </w:tcPr>
          <w:p>
            <w:pPr>
              <w:spacing w:line="360" w:lineRule="exact"/>
              <w:jc w:val="center"/>
              <w:rPr>
                <w:rFonts w:ascii="楷体" w:hAnsi="楷体" w:eastAsia="楷体"/>
                <w:color w:val="auto"/>
                <w:sz w:val="21"/>
                <w:szCs w:val="21"/>
              </w:rPr>
            </w:pPr>
            <w:r>
              <w:rPr>
                <w:rFonts w:ascii="楷体" w:hAnsi="楷体" w:eastAsia="楷体"/>
                <w:color w:val="auto"/>
                <w:sz w:val="21"/>
                <w:szCs w:val="21"/>
              </w:rPr>
              <w:t>4</w:t>
            </w:r>
          </w:p>
        </w:tc>
        <w:tc>
          <w:tcPr>
            <w:tcW w:w="3279" w:type="dxa"/>
            <w:shd w:val="clear" w:color="auto" w:fill="FFFFFF"/>
            <w:vAlign w:val="center"/>
          </w:tcPr>
          <w:p>
            <w:pPr>
              <w:spacing w:line="360" w:lineRule="exact"/>
              <w:ind w:left="46" w:leftChars="19" w:right="31" w:rightChars="13" w:firstLine="46" w:firstLineChars="22"/>
              <w:jc w:val="both"/>
              <w:rPr>
                <w:rFonts w:ascii="楷体" w:hAnsi="楷体" w:eastAsia="楷体"/>
                <w:color w:val="auto"/>
                <w:sz w:val="21"/>
                <w:szCs w:val="21"/>
              </w:rPr>
            </w:pPr>
            <w:r>
              <w:rPr>
                <w:rFonts w:hint="eastAsia" w:ascii="楷体" w:hAnsi="楷体" w:eastAsia="楷体" w:cs="宋体"/>
                <w:color w:val="auto"/>
                <w:sz w:val="21"/>
                <w:szCs w:val="21"/>
              </w:rPr>
              <w:t>配电房门口处缺少“禁止进入”安全警示标识，配电箱上缺少“当心触电”的安全警示标识。</w:t>
            </w:r>
          </w:p>
        </w:tc>
        <w:tc>
          <w:tcPr>
            <w:tcW w:w="3101" w:type="dxa"/>
            <w:shd w:val="clear" w:color="auto" w:fill="FFFFFF"/>
            <w:vAlign w:val="center"/>
          </w:tcPr>
          <w:p>
            <w:pPr>
              <w:spacing w:line="360" w:lineRule="exact"/>
              <w:ind w:left="46" w:leftChars="19" w:right="31" w:rightChars="13" w:firstLine="46" w:firstLineChars="22"/>
              <w:jc w:val="both"/>
              <w:rPr>
                <w:rFonts w:ascii="楷体" w:hAnsi="楷体" w:eastAsia="楷体"/>
                <w:color w:val="auto"/>
                <w:sz w:val="21"/>
                <w:szCs w:val="21"/>
              </w:rPr>
            </w:pPr>
            <w:r>
              <w:rPr>
                <w:rFonts w:hint="eastAsia" w:ascii="楷体" w:hAnsi="楷体" w:eastAsia="楷体" w:cs="宋体"/>
                <w:color w:val="auto"/>
                <w:sz w:val="21"/>
                <w:szCs w:val="21"/>
              </w:rPr>
              <w:t>建议在</w:t>
            </w:r>
            <w:r>
              <w:rPr>
                <w:rFonts w:hint="eastAsia" w:ascii="楷体" w:hAnsi="楷体" w:eastAsia="楷体" w:cs="宋体"/>
                <w:color w:val="auto"/>
                <w:sz w:val="21"/>
                <w:szCs w:val="21"/>
                <w:lang w:eastAsia="zh-CN"/>
              </w:rPr>
              <w:t>门</w:t>
            </w:r>
            <w:r>
              <w:rPr>
                <w:rFonts w:hint="eastAsia" w:ascii="楷体" w:hAnsi="楷体" w:eastAsia="楷体" w:cs="宋体"/>
                <w:color w:val="auto"/>
                <w:sz w:val="21"/>
                <w:szCs w:val="21"/>
              </w:rPr>
              <w:t>口处增加“禁止进入”的警示标识，在配电柜上增加“当心触电”警示标识。</w:t>
            </w:r>
          </w:p>
        </w:tc>
        <w:tc>
          <w:tcPr>
            <w:tcW w:w="1276" w:type="dxa"/>
            <w:shd w:val="clear" w:color="auto" w:fill="FFFFFF"/>
            <w:vAlign w:val="center"/>
          </w:tcPr>
          <w:p>
            <w:pPr>
              <w:spacing w:line="360" w:lineRule="exact"/>
              <w:jc w:val="center"/>
              <w:rPr>
                <w:rFonts w:ascii="楷体" w:hAnsi="楷体" w:eastAsia="楷体"/>
                <w:color w:val="auto"/>
                <w:sz w:val="21"/>
                <w:szCs w:val="21"/>
              </w:rPr>
            </w:pPr>
            <w:r>
              <w:rPr>
                <w:rFonts w:ascii="楷体" w:hAnsi="楷体" w:eastAsia="楷体"/>
                <w:color w:val="auto"/>
                <w:sz w:val="21"/>
                <w:szCs w:val="21"/>
              </w:rPr>
              <w:t>己</w:t>
            </w:r>
            <w:r>
              <w:rPr>
                <w:rFonts w:hint="eastAsia" w:ascii="楷体" w:hAnsi="楷体" w:eastAsia="楷体"/>
                <w:color w:val="auto"/>
                <w:sz w:val="21"/>
                <w:szCs w:val="21"/>
                <w:lang w:eastAsia="zh-CN"/>
              </w:rPr>
              <w:t>完成</w:t>
            </w:r>
            <w:r>
              <w:rPr>
                <w:rFonts w:ascii="楷体" w:hAnsi="楷体" w:eastAsia="楷体"/>
                <w:color w:val="auto"/>
                <w:sz w:val="21"/>
                <w:szCs w:val="21"/>
              </w:rPr>
              <w:t>整改</w:t>
            </w:r>
          </w:p>
        </w:tc>
        <w:tc>
          <w:tcPr>
            <w:tcW w:w="815" w:type="dxa"/>
            <w:shd w:val="clear" w:color="auto" w:fill="FFFFFF"/>
            <w:vAlign w:val="center"/>
          </w:tcPr>
          <w:p>
            <w:pPr>
              <w:spacing w:line="360" w:lineRule="exact"/>
              <w:jc w:val="center"/>
              <w:rPr>
                <w:rFonts w:ascii="楷体" w:hAnsi="楷体" w:eastAsia="楷体"/>
                <w:color w:val="auto"/>
                <w:sz w:val="21"/>
                <w:szCs w:val="21"/>
              </w:rPr>
            </w:pPr>
            <w:r>
              <w:rPr>
                <w:rFonts w:ascii="楷体" w:hAnsi="楷体" w:eastAsia="楷体"/>
                <w:color w:val="auto"/>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710" w:type="dxa"/>
            <w:shd w:val="clear" w:color="auto" w:fill="FFFFFF"/>
            <w:vAlign w:val="center"/>
          </w:tcPr>
          <w:p>
            <w:pPr>
              <w:spacing w:line="360" w:lineRule="exact"/>
              <w:jc w:val="center"/>
              <w:rPr>
                <w:rFonts w:ascii="楷体" w:hAnsi="楷体" w:eastAsia="楷体"/>
                <w:color w:val="auto"/>
                <w:sz w:val="21"/>
                <w:szCs w:val="21"/>
              </w:rPr>
            </w:pPr>
            <w:r>
              <w:rPr>
                <w:rFonts w:ascii="楷体" w:hAnsi="楷体" w:eastAsia="楷体"/>
                <w:color w:val="auto"/>
                <w:sz w:val="21"/>
                <w:szCs w:val="21"/>
              </w:rPr>
              <w:t>5</w:t>
            </w:r>
          </w:p>
        </w:tc>
        <w:tc>
          <w:tcPr>
            <w:tcW w:w="3279" w:type="dxa"/>
            <w:shd w:val="clear" w:color="auto" w:fill="FFFFFF"/>
            <w:vAlign w:val="center"/>
          </w:tcPr>
          <w:p>
            <w:pPr>
              <w:spacing w:line="360" w:lineRule="exact"/>
              <w:ind w:left="46" w:leftChars="19" w:right="31" w:rightChars="13" w:firstLine="46" w:firstLineChars="22"/>
              <w:jc w:val="both"/>
              <w:rPr>
                <w:rFonts w:ascii="楷体" w:hAnsi="楷体" w:eastAsia="楷体"/>
                <w:color w:val="auto"/>
                <w:sz w:val="21"/>
                <w:szCs w:val="21"/>
              </w:rPr>
            </w:pPr>
            <w:r>
              <w:rPr>
                <w:rFonts w:hint="eastAsia" w:ascii="楷体" w:hAnsi="楷体" w:eastAsia="楷体" w:cs="宋体"/>
                <w:color w:val="auto"/>
                <w:sz w:val="21"/>
                <w:szCs w:val="21"/>
              </w:rPr>
              <w:t>实验室出入口门内开，不符合要求。</w:t>
            </w:r>
          </w:p>
        </w:tc>
        <w:tc>
          <w:tcPr>
            <w:tcW w:w="3101" w:type="dxa"/>
            <w:shd w:val="clear" w:color="auto" w:fill="FFFFFF"/>
            <w:vAlign w:val="center"/>
          </w:tcPr>
          <w:p>
            <w:pPr>
              <w:spacing w:line="360" w:lineRule="exact"/>
              <w:ind w:left="46" w:leftChars="19" w:right="31" w:rightChars="13" w:firstLine="46" w:firstLineChars="22"/>
              <w:jc w:val="both"/>
              <w:rPr>
                <w:rFonts w:ascii="楷体" w:hAnsi="楷体" w:eastAsia="楷体"/>
                <w:color w:val="auto"/>
                <w:sz w:val="21"/>
                <w:szCs w:val="21"/>
                <w:lang w:eastAsia="zh-CN"/>
              </w:rPr>
            </w:pPr>
            <w:r>
              <w:rPr>
                <w:rFonts w:hint="eastAsia" w:ascii="楷体" w:hAnsi="楷体" w:eastAsia="楷体" w:cs="宋体"/>
                <w:color w:val="auto"/>
                <w:sz w:val="21"/>
                <w:szCs w:val="21"/>
                <w:lang w:eastAsia="zh-CN"/>
              </w:rPr>
              <w:t>实验室门应向外开启。</w:t>
            </w:r>
          </w:p>
        </w:tc>
        <w:tc>
          <w:tcPr>
            <w:tcW w:w="1276" w:type="dxa"/>
            <w:shd w:val="clear" w:color="auto" w:fill="FFFFFF"/>
            <w:vAlign w:val="center"/>
          </w:tcPr>
          <w:p>
            <w:pPr>
              <w:spacing w:line="360" w:lineRule="exact"/>
              <w:jc w:val="center"/>
              <w:rPr>
                <w:rFonts w:ascii="楷体" w:hAnsi="楷体" w:eastAsia="楷体"/>
                <w:color w:val="auto"/>
                <w:sz w:val="21"/>
                <w:szCs w:val="21"/>
              </w:rPr>
            </w:pPr>
            <w:r>
              <w:rPr>
                <w:rFonts w:ascii="楷体" w:hAnsi="楷体" w:eastAsia="楷体"/>
                <w:color w:val="auto"/>
                <w:sz w:val="21"/>
                <w:szCs w:val="21"/>
              </w:rPr>
              <w:t>己</w:t>
            </w:r>
            <w:r>
              <w:rPr>
                <w:rFonts w:hint="eastAsia" w:ascii="楷体" w:hAnsi="楷体" w:eastAsia="楷体"/>
                <w:color w:val="auto"/>
                <w:sz w:val="21"/>
                <w:szCs w:val="21"/>
                <w:lang w:eastAsia="zh-CN"/>
              </w:rPr>
              <w:t>完成</w:t>
            </w:r>
            <w:r>
              <w:rPr>
                <w:rFonts w:ascii="楷体" w:hAnsi="楷体" w:eastAsia="楷体"/>
                <w:color w:val="auto"/>
                <w:sz w:val="21"/>
                <w:szCs w:val="21"/>
              </w:rPr>
              <w:t>整改</w:t>
            </w:r>
          </w:p>
        </w:tc>
        <w:tc>
          <w:tcPr>
            <w:tcW w:w="815" w:type="dxa"/>
            <w:shd w:val="clear" w:color="auto" w:fill="FFFFFF"/>
            <w:vAlign w:val="center"/>
          </w:tcPr>
          <w:p>
            <w:pPr>
              <w:spacing w:line="360" w:lineRule="exact"/>
              <w:jc w:val="center"/>
              <w:rPr>
                <w:rFonts w:ascii="楷体" w:hAnsi="楷体" w:eastAsia="楷体"/>
                <w:color w:val="auto"/>
                <w:sz w:val="21"/>
                <w:szCs w:val="21"/>
              </w:rPr>
            </w:pPr>
            <w:r>
              <w:rPr>
                <w:rFonts w:ascii="楷体" w:hAnsi="楷体" w:eastAsia="楷体"/>
                <w:color w:val="auto"/>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710" w:type="dxa"/>
            <w:shd w:val="clear" w:color="auto" w:fill="FFFFFF"/>
            <w:vAlign w:val="center"/>
          </w:tcPr>
          <w:p>
            <w:pPr>
              <w:spacing w:line="360" w:lineRule="exact"/>
              <w:jc w:val="center"/>
              <w:rPr>
                <w:rFonts w:ascii="楷体" w:hAnsi="楷体" w:eastAsia="楷体"/>
                <w:color w:val="auto"/>
                <w:sz w:val="21"/>
                <w:szCs w:val="21"/>
              </w:rPr>
            </w:pPr>
            <w:r>
              <w:rPr>
                <w:rFonts w:ascii="楷体" w:hAnsi="楷体" w:eastAsia="楷体"/>
                <w:color w:val="auto"/>
                <w:sz w:val="21"/>
                <w:szCs w:val="21"/>
              </w:rPr>
              <w:t>6</w:t>
            </w:r>
          </w:p>
        </w:tc>
        <w:tc>
          <w:tcPr>
            <w:tcW w:w="3279" w:type="dxa"/>
            <w:shd w:val="clear" w:color="auto" w:fill="FFFFFF"/>
            <w:vAlign w:val="center"/>
          </w:tcPr>
          <w:p>
            <w:pPr>
              <w:spacing w:line="360" w:lineRule="exact"/>
              <w:ind w:left="46" w:leftChars="19" w:right="31" w:rightChars="13" w:firstLine="46" w:firstLineChars="22"/>
              <w:jc w:val="both"/>
              <w:rPr>
                <w:rFonts w:ascii="楷体" w:hAnsi="楷体" w:eastAsia="楷体"/>
                <w:color w:val="auto"/>
                <w:sz w:val="21"/>
                <w:szCs w:val="21"/>
              </w:rPr>
            </w:pPr>
            <w:r>
              <w:rPr>
                <w:rFonts w:hint="eastAsia" w:ascii="楷体" w:hAnsi="楷体" w:eastAsia="楷体" w:cs="宋体"/>
                <w:color w:val="auto"/>
                <w:sz w:val="21"/>
                <w:szCs w:val="21"/>
              </w:rPr>
              <w:t>实验室内设备</w:t>
            </w:r>
            <w:r>
              <w:rPr>
                <w:rFonts w:hint="eastAsia" w:ascii="楷体" w:hAnsi="楷体" w:eastAsia="楷体" w:cs="宋体"/>
                <w:color w:val="auto"/>
                <w:sz w:val="21"/>
                <w:szCs w:val="21"/>
                <w:lang w:eastAsia="zh-CN"/>
              </w:rPr>
              <w:t>电气</w:t>
            </w:r>
            <w:r>
              <w:rPr>
                <w:rFonts w:hint="eastAsia" w:ascii="楷体" w:hAnsi="楷体" w:eastAsia="楷体" w:cs="宋体"/>
                <w:color w:val="auto"/>
                <w:sz w:val="21"/>
                <w:szCs w:val="21"/>
              </w:rPr>
              <w:t>线路</w:t>
            </w:r>
            <w:r>
              <w:rPr>
                <w:rFonts w:hint="eastAsia" w:ascii="楷体" w:hAnsi="楷体" w:eastAsia="楷体" w:cs="宋体"/>
                <w:color w:val="auto"/>
                <w:sz w:val="21"/>
                <w:szCs w:val="21"/>
                <w:lang w:eastAsia="zh-CN"/>
              </w:rPr>
              <w:t>接口处</w:t>
            </w:r>
            <w:r>
              <w:rPr>
                <w:rFonts w:hint="eastAsia" w:ascii="楷体" w:hAnsi="楷体" w:eastAsia="楷体" w:cs="宋体"/>
                <w:color w:val="auto"/>
                <w:sz w:val="21"/>
                <w:szCs w:val="21"/>
              </w:rPr>
              <w:t>有损坏，不符合防爆要求。</w:t>
            </w:r>
          </w:p>
        </w:tc>
        <w:tc>
          <w:tcPr>
            <w:tcW w:w="3101" w:type="dxa"/>
            <w:shd w:val="clear" w:color="auto" w:fill="FFFFFF"/>
            <w:vAlign w:val="center"/>
          </w:tcPr>
          <w:p>
            <w:pPr>
              <w:spacing w:line="360" w:lineRule="exact"/>
              <w:ind w:left="46" w:leftChars="19" w:right="31" w:rightChars="13" w:firstLine="46" w:firstLineChars="22"/>
              <w:jc w:val="both"/>
              <w:rPr>
                <w:rFonts w:ascii="楷体" w:hAnsi="楷体" w:eastAsia="楷体"/>
                <w:color w:val="auto"/>
                <w:sz w:val="21"/>
                <w:szCs w:val="21"/>
                <w:lang w:eastAsia="zh-CN"/>
              </w:rPr>
            </w:pPr>
            <w:r>
              <w:rPr>
                <w:rFonts w:hint="eastAsia" w:ascii="楷体" w:hAnsi="楷体" w:eastAsia="楷体"/>
                <w:color w:val="auto"/>
                <w:sz w:val="21"/>
                <w:szCs w:val="21"/>
                <w:lang w:eastAsia="zh-CN"/>
              </w:rPr>
              <w:t>按相关规定做好接口处线路穿管，保证其能满足防爆要求。</w:t>
            </w:r>
          </w:p>
        </w:tc>
        <w:tc>
          <w:tcPr>
            <w:tcW w:w="1276" w:type="dxa"/>
            <w:shd w:val="clear" w:color="auto" w:fill="FFFFFF"/>
            <w:vAlign w:val="center"/>
          </w:tcPr>
          <w:p>
            <w:pPr>
              <w:spacing w:line="360" w:lineRule="exact"/>
              <w:jc w:val="center"/>
              <w:rPr>
                <w:rFonts w:ascii="楷体" w:hAnsi="楷体" w:eastAsia="楷体"/>
                <w:color w:val="auto"/>
                <w:sz w:val="21"/>
                <w:szCs w:val="21"/>
              </w:rPr>
            </w:pPr>
            <w:r>
              <w:rPr>
                <w:rFonts w:ascii="楷体" w:hAnsi="楷体" w:eastAsia="楷体"/>
                <w:color w:val="auto"/>
                <w:sz w:val="21"/>
                <w:szCs w:val="21"/>
              </w:rPr>
              <w:t>己</w:t>
            </w:r>
            <w:r>
              <w:rPr>
                <w:rFonts w:hint="eastAsia" w:ascii="楷体" w:hAnsi="楷体" w:eastAsia="楷体"/>
                <w:color w:val="auto"/>
                <w:sz w:val="21"/>
                <w:szCs w:val="21"/>
                <w:lang w:eastAsia="zh-CN"/>
              </w:rPr>
              <w:t>完成</w:t>
            </w:r>
            <w:r>
              <w:rPr>
                <w:rFonts w:ascii="楷体" w:hAnsi="楷体" w:eastAsia="楷体"/>
                <w:color w:val="auto"/>
                <w:sz w:val="21"/>
                <w:szCs w:val="21"/>
              </w:rPr>
              <w:t>整改</w:t>
            </w:r>
          </w:p>
        </w:tc>
        <w:tc>
          <w:tcPr>
            <w:tcW w:w="815" w:type="dxa"/>
            <w:shd w:val="clear" w:color="auto" w:fill="FFFFFF"/>
            <w:vAlign w:val="center"/>
          </w:tcPr>
          <w:p>
            <w:pPr>
              <w:spacing w:line="360" w:lineRule="exact"/>
              <w:jc w:val="center"/>
              <w:rPr>
                <w:rFonts w:ascii="楷体" w:hAnsi="楷体" w:eastAsia="楷体"/>
                <w:color w:val="auto"/>
                <w:sz w:val="21"/>
                <w:szCs w:val="21"/>
              </w:rPr>
            </w:pPr>
            <w:r>
              <w:rPr>
                <w:rFonts w:ascii="楷体" w:hAnsi="楷体" w:eastAsia="楷体"/>
                <w:color w:val="auto"/>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1025" w:hRule="atLeast"/>
          <w:jc w:val="center"/>
        </w:trPr>
        <w:tc>
          <w:tcPr>
            <w:tcW w:w="3989" w:type="dxa"/>
            <w:gridSpan w:val="2"/>
            <w:shd w:val="clear" w:color="auto" w:fill="FFFFFF"/>
            <w:vAlign w:val="center"/>
          </w:tcPr>
          <w:p>
            <w:pPr>
              <w:spacing w:line="360" w:lineRule="exact"/>
              <w:jc w:val="both"/>
              <w:rPr>
                <w:rFonts w:ascii="宋体" w:hAnsi="宋体" w:eastAsia="PMingLiU"/>
                <w:color w:val="auto"/>
                <w:sz w:val="21"/>
                <w:szCs w:val="21"/>
              </w:rPr>
            </w:pPr>
            <w:r>
              <w:rPr>
                <w:rFonts w:hint="eastAsia" w:ascii="宋体" w:hAnsi="宋体" w:eastAsia="宋体"/>
                <w:color w:val="auto"/>
                <w:sz w:val="21"/>
                <w:szCs w:val="21"/>
              </w:rPr>
              <w:t>被评价机构意见</w:t>
            </w:r>
            <w:r>
              <w:rPr>
                <w:rFonts w:ascii="宋体" w:hAnsi="宋体" w:eastAsia="宋体"/>
                <w:color w:val="auto"/>
                <w:sz w:val="21"/>
                <w:szCs w:val="21"/>
              </w:rPr>
              <w:t>(</w:t>
            </w:r>
            <w:r>
              <w:rPr>
                <w:rFonts w:hint="eastAsia" w:ascii="宋体" w:hAnsi="宋体" w:eastAsia="宋体"/>
                <w:color w:val="auto"/>
                <w:sz w:val="21"/>
                <w:szCs w:val="21"/>
              </w:rPr>
              <w:t>盖章)</w:t>
            </w:r>
          </w:p>
          <w:p>
            <w:pPr>
              <w:spacing w:line="360" w:lineRule="exact"/>
              <w:ind w:firstLine="1155" w:firstLineChars="550"/>
              <w:jc w:val="both"/>
              <w:rPr>
                <w:rFonts w:ascii="宋体" w:hAnsi="宋体" w:eastAsia="PMingLiU"/>
                <w:color w:val="auto"/>
                <w:sz w:val="21"/>
                <w:szCs w:val="21"/>
              </w:rPr>
            </w:pPr>
            <w:r>
              <w:rPr>
                <w:rFonts w:hint="eastAsia" w:ascii="宋体" w:hAnsi="宋体" w:eastAsia="宋体"/>
                <w:color w:val="auto"/>
                <w:sz w:val="21"/>
                <w:szCs w:val="21"/>
              </w:rPr>
              <w:t>企业负责人签名：</w:t>
            </w:r>
          </w:p>
          <w:p>
            <w:pPr>
              <w:spacing w:line="360" w:lineRule="exact"/>
              <w:ind w:firstLine="1155" w:firstLineChars="550"/>
              <w:jc w:val="both"/>
              <w:rPr>
                <w:rFonts w:ascii="宋体" w:hAnsi="宋体" w:eastAsia="宋体"/>
                <w:color w:val="auto"/>
                <w:sz w:val="21"/>
                <w:szCs w:val="21"/>
              </w:rPr>
            </w:pPr>
            <w:r>
              <w:rPr>
                <w:rFonts w:ascii="宋体" w:hAnsi="宋体" w:eastAsia="宋体"/>
                <w:color w:val="auto"/>
                <w:sz w:val="21"/>
                <w:szCs w:val="21"/>
              </w:rPr>
              <w:t>20</w:t>
            </w:r>
            <w:r>
              <w:rPr>
                <w:rFonts w:hint="eastAsia" w:ascii="宋体" w:hAnsi="宋体" w:eastAsia="宋体"/>
                <w:color w:val="auto"/>
                <w:sz w:val="21"/>
                <w:szCs w:val="21"/>
                <w:lang w:eastAsia="zh-CN"/>
              </w:rPr>
              <w:t>20</w:t>
            </w:r>
            <w:r>
              <w:rPr>
                <w:rFonts w:ascii="宋体" w:hAnsi="宋体" w:eastAsia="宋体"/>
                <w:color w:val="auto"/>
                <w:sz w:val="21"/>
                <w:szCs w:val="21"/>
              </w:rPr>
              <w:t>年</w:t>
            </w:r>
            <w:r>
              <w:rPr>
                <w:rFonts w:hint="eastAsia" w:ascii="宋体" w:hAnsi="宋体" w:eastAsia="宋体"/>
                <w:color w:val="auto"/>
                <w:sz w:val="21"/>
                <w:szCs w:val="21"/>
                <w:lang w:eastAsia="zh-CN"/>
              </w:rPr>
              <w:t>04</w:t>
            </w:r>
            <w:r>
              <w:rPr>
                <w:rFonts w:ascii="宋体" w:hAnsi="宋体" w:eastAsia="宋体"/>
                <w:color w:val="auto"/>
                <w:sz w:val="21"/>
                <w:szCs w:val="21"/>
              </w:rPr>
              <w:t>月</w:t>
            </w:r>
            <w:r>
              <w:rPr>
                <w:rFonts w:hint="eastAsia" w:ascii="宋体" w:hAnsi="宋体" w:eastAsia="宋体"/>
                <w:color w:val="auto"/>
                <w:sz w:val="21"/>
                <w:szCs w:val="21"/>
                <w:lang w:eastAsia="zh-CN"/>
              </w:rPr>
              <w:t>14</w:t>
            </w:r>
            <w:r>
              <w:rPr>
                <w:rFonts w:ascii="宋体" w:hAnsi="宋体" w:eastAsia="宋体"/>
                <w:color w:val="auto"/>
                <w:sz w:val="21"/>
                <w:szCs w:val="21"/>
              </w:rPr>
              <w:t>日</w:t>
            </w:r>
          </w:p>
        </w:tc>
        <w:tc>
          <w:tcPr>
            <w:tcW w:w="5192" w:type="dxa"/>
            <w:gridSpan w:val="3"/>
            <w:shd w:val="clear" w:color="auto" w:fill="FFFFFF"/>
            <w:vAlign w:val="center"/>
          </w:tcPr>
          <w:p>
            <w:pPr>
              <w:spacing w:line="360" w:lineRule="exact"/>
              <w:jc w:val="both"/>
              <w:rPr>
                <w:rFonts w:ascii="宋体" w:hAnsi="宋体" w:eastAsia="PMingLiU"/>
                <w:color w:val="auto"/>
                <w:sz w:val="21"/>
                <w:szCs w:val="21"/>
              </w:rPr>
            </w:pPr>
            <w:r>
              <w:rPr>
                <w:rFonts w:ascii="宋体" w:hAnsi="宋体" w:eastAsia="宋体"/>
                <w:color w:val="auto"/>
                <w:sz w:val="21"/>
                <w:szCs w:val="21"/>
              </w:rPr>
              <w:t>评价机构意见(盖章)</w:t>
            </w:r>
          </w:p>
          <w:p>
            <w:pPr>
              <w:spacing w:line="360" w:lineRule="exact"/>
              <w:ind w:firstLine="1890" w:firstLineChars="900"/>
              <w:jc w:val="both"/>
              <w:rPr>
                <w:rFonts w:ascii="宋体" w:hAnsi="宋体" w:eastAsia="PMingLiU"/>
                <w:color w:val="auto"/>
                <w:sz w:val="21"/>
                <w:szCs w:val="21"/>
              </w:rPr>
            </w:pPr>
            <w:r>
              <w:rPr>
                <w:rFonts w:ascii="宋体" w:hAnsi="宋体" w:eastAsia="宋体"/>
                <w:color w:val="auto"/>
                <w:sz w:val="21"/>
                <w:szCs w:val="21"/>
              </w:rPr>
              <w:t>复查人员签名：</w:t>
            </w:r>
          </w:p>
          <w:p>
            <w:pPr>
              <w:spacing w:line="360" w:lineRule="exact"/>
              <w:ind w:firstLine="1890" w:firstLineChars="900"/>
              <w:jc w:val="both"/>
              <w:rPr>
                <w:rFonts w:ascii="宋体" w:hAnsi="宋体" w:eastAsia="宋体"/>
                <w:color w:val="auto"/>
                <w:sz w:val="21"/>
                <w:szCs w:val="21"/>
              </w:rPr>
            </w:pPr>
            <w:r>
              <w:rPr>
                <w:rFonts w:ascii="宋体" w:hAnsi="宋体" w:eastAsia="宋体"/>
                <w:color w:val="auto"/>
                <w:sz w:val="21"/>
                <w:szCs w:val="21"/>
              </w:rPr>
              <w:t>20</w:t>
            </w:r>
            <w:r>
              <w:rPr>
                <w:rFonts w:hint="eastAsia" w:ascii="宋体" w:hAnsi="宋体" w:eastAsia="宋体"/>
                <w:color w:val="auto"/>
                <w:sz w:val="21"/>
                <w:szCs w:val="21"/>
                <w:lang w:eastAsia="zh-CN"/>
              </w:rPr>
              <w:t>20</w:t>
            </w:r>
            <w:r>
              <w:rPr>
                <w:rFonts w:ascii="宋体" w:hAnsi="宋体" w:eastAsia="宋体"/>
                <w:color w:val="auto"/>
                <w:sz w:val="21"/>
                <w:szCs w:val="21"/>
              </w:rPr>
              <w:t>年</w:t>
            </w:r>
            <w:r>
              <w:rPr>
                <w:rFonts w:hint="eastAsia" w:ascii="宋体" w:hAnsi="宋体" w:eastAsia="宋体"/>
                <w:color w:val="auto"/>
                <w:sz w:val="21"/>
                <w:szCs w:val="21"/>
                <w:lang w:eastAsia="zh-CN"/>
              </w:rPr>
              <w:t>04</w:t>
            </w:r>
            <w:r>
              <w:rPr>
                <w:rFonts w:ascii="宋体" w:hAnsi="宋体" w:eastAsia="宋体"/>
                <w:color w:val="auto"/>
                <w:sz w:val="21"/>
                <w:szCs w:val="21"/>
              </w:rPr>
              <w:t>月</w:t>
            </w:r>
            <w:r>
              <w:rPr>
                <w:rFonts w:hint="eastAsia" w:ascii="宋体" w:hAnsi="宋体" w:eastAsia="宋体"/>
                <w:color w:val="auto"/>
                <w:sz w:val="21"/>
                <w:szCs w:val="21"/>
                <w:lang w:eastAsia="zh-CN"/>
              </w:rPr>
              <w:t>14</w:t>
            </w:r>
            <w:r>
              <w:rPr>
                <w:rFonts w:ascii="宋体" w:hAnsi="宋体" w:eastAsia="宋体"/>
                <w:color w:val="auto"/>
                <w:sz w:val="21"/>
                <w:szCs w:val="21"/>
              </w:rPr>
              <w:t>日</w:t>
            </w:r>
          </w:p>
        </w:tc>
      </w:tr>
    </w:tbl>
    <w:p>
      <w:pPr>
        <w:spacing w:line="200" w:lineRule="exact"/>
        <w:ind w:firstLine="425" w:firstLineChars="152"/>
        <w:rPr>
          <w:rFonts w:ascii="宋体" w:hAnsi="宋体" w:eastAsia="宋体"/>
          <w:color w:val="auto"/>
          <w:sz w:val="28"/>
          <w:szCs w:val="28"/>
        </w:rPr>
      </w:pPr>
      <w:bookmarkStart w:id="145" w:name="bookmark105"/>
      <w:bookmarkStart w:id="146" w:name="bookmark104"/>
      <w:bookmarkStart w:id="147" w:name="bookmark103"/>
    </w:p>
    <w:p>
      <w:pPr>
        <w:pStyle w:val="3"/>
        <w:spacing w:after="120"/>
        <w:rPr>
          <w:snapToGrid/>
          <w:color w:val="auto"/>
        </w:rPr>
      </w:pPr>
      <w:r>
        <w:rPr>
          <w:snapToGrid/>
          <w:color w:val="auto"/>
        </w:rPr>
        <w:br w:type="page"/>
      </w:r>
    </w:p>
    <w:p>
      <w:pPr>
        <w:pStyle w:val="3"/>
        <w:spacing w:after="120"/>
        <w:rPr>
          <w:snapToGrid/>
          <w:color w:val="auto"/>
        </w:rPr>
      </w:pPr>
      <w:bookmarkStart w:id="148" w:name="_Toc40045932"/>
      <w:r>
        <w:rPr>
          <w:snapToGrid/>
          <w:color w:val="auto"/>
        </w:rPr>
        <w:t>12安全评价结论</w:t>
      </w:r>
      <w:bookmarkEnd w:id="148"/>
    </w:p>
    <w:p>
      <w:pPr>
        <w:spacing w:line="560" w:lineRule="exact"/>
        <w:jc w:val="both"/>
        <w:outlineLvl w:val="1"/>
        <w:rPr>
          <w:rFonts w:ascii="楷体_GB2312" w:hAnsi="Times New Roman" w:eastAsia="楷体_GB2312" w:cs="Times New Roman"/>
          <w:bCs/>
          <w:color w:val="auto"/>
          <w:kern w:val="2"/>
          <w:sz w:val="32"/>
          <w:lang w:val="en-US" w:eastAsia="zh-CN" w:bidi="ar-SA"/>
        </w:rPr>
      </w:pPr>
      <w:bookmarkStart w:id="149" w:name="_Toc40045933"/>
      <w:r>
        <w:rPr>
          <w:rFonts w:ascii="楷体_GB2312" w:hAnsi="Times New Roman" w:eastAsia="楷体_GB2312" w:cs="Times New Roman"/>
          <w:bCs/>
          <w:color w:val="auto"/>
          <w:kern w:val="2"/>
          <w:sz w:val="32"/>
          <w:lang w:val="en-US" w:eastAsia="zh-CN" w:bidi="ar-SA"/>
        </w:rPr>
        <w:t>12.1归纳各部分危险分析结论</w:t>
      </w:r>
      <w:bookmarkEnd w:id="145"/>
      <w:bookmarkEnd w:id="146"/>
      <w:bookmarkEnd w:id="147"/>
      <w:bookmarkEnd w:id="149"/>
    </w:p>
    <w:p>
      <w:pPr>
        <w:spacing w:line="560" w:lineRule="exact"/>
        <w:ind w:firstLine="425" w:firstLineChars="152"/>
        <w:rPr>
          <w:rFonts w:ascii="宋体" w:hAnsi="宋体" w:eastAsia="宋体"/>
          <w:color w:val="auto"/>
          <w:sz w:val="28"/>
          <w:szCs w:val="28"/>
        </w:rPr>
      </w:pPr>
      <w:r>
        <w:rPr>
          <w:rFonts w:ascii="宋体" w:hAnsi="宋体" w:eastAsia="宋体"/>
          <w:color w:val="auto"/>
          <w:sz w:val="28"/>
          <w:szCs w:val="28"/>
        </w:rPr>
        <w:t>1</w:t>
      </w:r>
      <w:r>
        <w:rPr>
          <w:rFonts w:hint="eastAsia" w:ascii="宋体" w:hAnsi="宋体" w:eastAsia="宋体"/>
          <w:color w:val="auto"/>
          <w:sz w:val="28"/>
          <w:szCs w:val="28"/>
          <w:lang w:eastAsia="zh-CN"/>
        </w:rPr>
        <w:t>)</w:t>
      </w:r>
      <w:r>
        <w:rPr>
          <w:rFonts w:ascii="宋体" w:hAnsi="宋体" w:eastAsia="宋体"/>
          <w:color w:val="auto"/>
          <w:sz w:val="28"/>
          <w:szCs w:val="28"/>
        </w:rPr>
        <w:t>该公司生产过程中存在的危险、有害因素有：火灾爆炸、中毒</w:t>
      </w:r>
      <w:r>
        <w:rPr>
          <w:rFonts w:hint="eastAsia" w:ascii="宋体" w:hAnsi="宋体" w:eastAsia="宋体"/>
          <w:color w:val="auto"/>
          <w:sz w:val="28"/>
          <w:szCs w:val="28"/>
          <w:lang w:eastAsia="zh-CN"/>
        </w:rPr>
        <w:t>和</w:t>
      </w:r>
      <w:r>
        <w:rPr>
          <w:rFonts w:ascii="宋体" w:hAnsi="宋体" w:eastAsia="宋体"/>
          <w:color w:val="auto"/>
          <w:sz w:val="28"/>
          <w:szCs w:val="28"/>
        </w:rPr>
        <w:t>窒息、机械伤害、触电、车辆伤害、物体打击、灼烫</w:t>
      </w:r>
      <w:r>
        <w:rPr>
          <w:rFonts w:hint="eastAsia" w:ascii="宋体" w:hAnsi="宋体" w:eastAsia="宋体"/>
          <w:color w:val="auto"/>
          <w:sz w:val="21"/>
          <w:szCs w:val="21"/>
          <w:lang w:eastAsia="zh-CN"/>
        </w:rPr>
        <w:t>、</w:t>
      </w:r>
      <w:r>
        <w:rPr>
          <w:rFonts w:ascii="宋体" w:hAnsi="宋体" w:eastAsia="宋体"/>
          <w:color w:val="auto"/>
          <w:sz w:val="28"/>
          <w:szCs w:val="28"/>
        </w:rPr>
        <w:t>淹溺等。其中，生产过程中所使用的易燃液体引起的火灾、爆炸和中毒</w:t>
      </w:r>
      <w:r>
        <w:rPr>
          <w:rFonts w:hint="eastAsia" w:ascii="宋体" w:hAnsi="宋体" w:eastAsia="宋体"/>
          <w:color w:val="auto"/>
          <w:sz w:val="28"/>
          <w:szCs w:val="28"/>
          <w:lang w:eastAsia="zh-CN"/>
        </w:rPr>
        <w:t>和</w:t>
      </w:r>
      <w:r>
        <w:rPr>
          <w:rFonts w:ascii="宋体" w:hAnsi="宋体" w:eastAsia="宋体"/>
          <w:color w:val="auto"/>
          <w:sz w:val="28"/>
          <w:szCs w:val="28"/>
        </w:rPr>
        <w:t>窒息危险是该公司最主要的危险、有害因素。企业针对存在的危险、有害因素，采取了相应的安全措施。</w:t>
      </w:r>
    </w:p>
    <w:p>
      <w:pPr>
        <w:spacing w:line="560" w:lineRule="exact"/>
        <w:ind w:firstLine="425" w:firstLineChars="152"/>
        <w:rPr>
          <w:rFonts w:ascii="宋体" w:hAnsi="宋体" w:eastAsia="宋体"/>
          <w:color w:val="auto"/>
          <w:sz w:val="28"/>
          <w:szCs w:val="28"/>
        </w:rPr>
      </w:pPr>
      <w:r>
        <w:rPr>
          <w:rFonts w:ascii="宋体" w:hAnsi="宋体" w:eastAsia="宋体"/>
          <w:color w:val="auto"/>
          <w:sz w:val="28"/>
          <w:szCs w:val="28"/>
        </w:rPr>
        <w:t>2</w:t>
      </w:r>
      <w:r>
        <w:rPr>
          <w:rFonts w:hint="eastAsia" w:ascii="宋体" w:hAnsi="宋体" w:eastAsia="宋体"/>
          <w:color w:val="auto"/>
          <w:sz w:val="28"/>
          <w:szCs w:val="28"/>
          <w:lang w:eastAsia="zh-CN"/>
        </w:rPr>
        <w:t>)</w:t>
      </w:r>
      <w:r>
        <w:rPr>
          <w:rFonts w:ascii="宋体" w:hAnsi="宋体" w:eastAsia="宋体"/>
          <w:color w:val="auto"/>
          <w:sz w:val="28"/>
          <w:szCs w:val="28"/>
        </w:rPr>
        <w:t>通过编制安全检查表对企业现状进行分析，</w:t>
      </w:r>
      <w:r>
        <w:rPr>
          <w:rFonts w:hint="eastAsia" w:ascii="宋体" w:hAnsi="宋体" w:eastAsia="宋体"/>
          <w:color w:val="auto"/>
          <w:sz w:val="28"/>
          <w:szCs w:val="28"/>
          <w:lang w:eastAsia="zh-CN"/>
        </w:rPr>
        <w:t>发现</w:t>
      </w:r>
      <w:r>
        <w:rPr>
          <w:rFonts w:ascii="宋体" w:hAnsi="宋体" w:eastAsia="宋体"/>
          <w:color w:val="auto"/>
          <w:sz w:val="28"/>
          <w:szCs w:val="28"/>
        </w:rPr>
        <w:t>企业存在</w:t>
      </w:r>
      <w:r>
        <w:rPr>
          <w:rFonts w:hint="eastAsia" w:ascii="宋体" w:hAnsi="宋体" w:eastAsia="宋体"/>
          <w:color w:val="auto"/>
          <w:sz w:val="28"/>
          <w:szCs w:val="28"/>
          <w:lang w:eastAsia="zh-CN"/>
        </w:rPr>
        <w:t>不符合项</w:t>
      </w:r>
      <w:r>
        <w:rPr>
          <w:rFonts w:ascii="宋体" w:hAnsi="宋体" w:eastAsia="宋体"/>
          <w:color w:val="auto"/>
          <w:sz w:val="28"/>
          <w:szCs w:val="28"/>
        </w:rPr>
        <w:t>，</w:t>
      </w:r>
      <w:r>
        <w:rPr>
          <w:rFonts w:hint="eastAsia" w:ascii="宋体" w:hAnsi="宋体" w:eastAsia="宋体"/>
          <w:color w:val="auto"/>
          <w:sz w:val="28"/>
          <w:szCs w:val="28"/>
          <w:lang w:eastAsia="zh-CN"/>
        </w:rPr>
        <w:t>企业</w:t>
      </w:r>
      <w:r>
        <w:rPr>
          <w:rFonts w:ascii="宋体" w:hAnsi="宋体" w:eastAsia="宋体"/>
          <w:color w:val="auto"/>
          <w:sz w:val="28"/>
          <w:szCs w:val="28"/>
        </w:rPr>
        <w:t>对存在的不符合项</w:t>
      </w:r>
      <w:r>
        <w:rPr>
          <w:rFonts w:hint="eastAsia" w:ascii="宋体" w:hAnsi="宋体" w:eastAsia="宋体"/>
          <w:color w:val="auto"/>
          <w:sz w:val="28"/>
          <w:szCs w:val="28"/>
          <w:lang w:eastAsia="zh-CN"/>
        </w:rPr>
        <w:t>按整改建议要求完成</w:t>
      </w:r>
      <w:r>
        <w:rPr>
          <w:rFonts w:ascii="宋体" w:hAnsi="宋体" w:eastAsia="宋体"/>
          <w:color w:val="auto"/>
          <w:sz w:val="28"/>
          <w:szCs w:val="28"/>
        </w:rPr>
        <w:t>了整改</w:t>
      </w:r>
      <w:r>
        <w:rPr>
          <w:rFonts w:hint="eastAsia" w:ascii="宋体" w:hAnsi="宋体" w:eastAsia="宋体"/>
          <w:color w:val="auto"/>
          <w:sz w:val="28"/>
          <w:szCs w:val="28"/>
          <w:lang w:eastAsia="zh-CN"/>
        </w:rPr>
        <w:t>，整改后全部符合要求</w:t>
      </w:r>
      <w:r>
        <w:rPr>
          <w:rFonts w:ascii="宋体" w:hAnsi="宋体" w:eastAsia="宋体"/>
          <w:color w:val="auto"/>
          <w:sz w:val="28"/>
          <w:szCs w:val="28"/>
        </w:rPr>
        <w:t>。</w:t>
      </w:r>
    </w:p>
    <w:p>
      <w:pPr>
        <w:spacing w:line="560" w:lineRule="exact"/>
        <w:ind w:firstLine="425" w:firstLineChars="152"/>
        <w:rPr>
          <w:rFonts w:ascii="宋体" w:hAnsi="宋体" w:eastAsia="宋体"/>
          <w:color w:val="auto"/>
          <w:sz w:val="28"/>
          <w:szCs w:val="28"/>
        </w:rPr>
      </w:pPr>
      <w:r>
        <w:rPr>
          <w:rFonts w:ascii="宋体" w:hAnsi="宋体" w:eastAsia="宋体"/>
          <w:color w:val="auto"/>
          <w:sz w:val="28"/>
          <w:szCs w:val="28"/>
        </w:rPr>
        <w:t>3</w:t>
      </w:r>
      <w:r>
        <w:rPr>
          <w:rFonts w:hint="eastAsia" w:ascii="宋体" w:hAnsi="宋体" w:eastAsia="宋体"/>
          <w:color w:val="auto"/>
          <w:sz w:val="28"/>
          <w:szCs w:val="28"/>
          <w:lang w:eastAsia="zh-CN"/>
        </w:rPr>
        <w:t>)</w:t>
      </w:r>
      <w:r>
        <w:rPr>
          <w:rFonts w:ascii="宋体" w:hAnsi="宋体" w:eastAsia="宋体"/>
          <w:color w:val="auto"/>
          <w:sz w:val="28"/>
          <w:szCs w:val="28"/>
        </w:rPr>
        <w:t>根据事故树分析，导致生产车间燃爆的因素虽然很多，但只要严格执行安全管理制度和安全操作规程，并采取相应技术措施，车间燃烧爆炸是可以预防的。</w:t>
      </w:r>
    </w:p>
    <w:p>
      <w:pPr>
        <w:spacing w:line="560" w:lineRule="exact"/>
        <w:ind w:firstLine="425" w:firstLineChars="152"/>
        <w:rPr>
          <w:rFonts w:ascii="宋体" w:hAnsi="宋体" w:eastAsia="宋体"/>
          <w:color w:val="auto"/>
          <w:sz w:val="28"/>
          <w:szCs w:val="28"/>
        </w:rPr>
      </w:pPr>
      <w:r>
        <w:rPr>
          <w:rFonts w:ascii="宋体" w:hAnsi="宋体" w:eastAsia="宋体"/>
          <w:color w:val="auto"/>
          <w:sz w:val="28"/>
          <w:szCs w:val="28"/>
        </w:rPr>
        <w:t>4</w:t>
      </w:r>
      <w:r>
        <w:rPr>
          <w:rFonts w:hint="eastAsia" w:ascii="宋体" w:hAnsi="宋体" w:eastAsia="宋体"/>
          <w:color w:val="auto"/>
          <w:sz w:val="28"/>
          <w:szCs w:val="28"/>
          <w:lang w:eastAsia="zh-CN"/>
        </w:rPr>
        <w:t>)</w:t>
      </w:r>
      <w:r>
        <w:rPr>
          <w:rFonts w:ascii="宋体" w:hAnsi="宋体" w:eastAsia="宋体"/>
          <w:color w:val="auto"/>
          <w:sz w:val="28"/>
          <w:szCs w:val="28"/>
        </w:rPr>
        <w:t>通过道化法评价分析可知，甲类仓库评价单元的火灾爆炸危险指数为101.52,火灾爆炸危险等级处于“中等”的程度，暴露半径为26.0m。暴露区域面积为2123㎡，一旦发生事故，暴露半径和暴露区域面积内67°%的财产将可能受到破坏。经采用安全措施补偿后，火灾爆炸指数降为85.2,火灾爆炸危险等级为“较轻”，可使该单元的损失降低到56%，损失减少了11%。</w:t>
      </w:r>
    </w:p>
    <w:p>
      <w:pPr>
        <w:spacing w:line="560" w:lineRule="exact"/>
        <w:ind w:firstLine="425" w:firstLineChars="152"/>
        <w:rPr>
          <w:rFonts w:ascii="宋体" w:hAnsi="宋体" w:eastAsia="宋体"/>
          <w:color w:val="auto"/>
          <w:sz w:val="28"/>
          <w:szCs w:val="28"/>
        </w:rPr>
      </w:pPr>
      <w:r>
        <w:rPr>
          <w:rFonts w:ascii="宋体" w:hAnsi="宋体" w:eastAsia="宋体"/>
          <w:color w:val="auto"/>
          <w:sz w:val="28"/>
          <w:szCs w:val="28"/>
        </w:rPr>
        <w:t>5</w:t>
      </w:r>
      <w:r>
        <w:rPr>
          <w:rFonts w:hint="eastAsia" w:ascii="宋体" w:hAnsi="宋体" w:eastAsia="宋体"/>
          <w:color w:val="auto"/>
          <w:sz w:val="28"/>
          <w:szCs w:val="28"/>
          <w:lang w:eastAsia="zh-CN"/>
        </w:rPr>
        <w:t>)</w:t>
      </w:r>
      <w:r>
        <w:rPr>
          <w:rFonts w:ascii="宋体" w:hAnsi="宋体" w:eastAsia="宋体"/>
          <w:color w:val="auto"/>
          <w:sz w:val="28"/>
          <w:szCs w:val="28"/>
        </w:rPr>
        <w:t>通过辨识，该公司</w:t>
      </w:r>
      <w:r>
        <w:rPr>
          <w:rFonts w:hint="eastAsia" w:ascii="宋体" w:hAnsi="宋体" w:eastAsia="宋体"/>
          <w:color w:val="auto"/>
          <w:sz w:val="28"/>
          <w:szCs w:val="28"/>
          <w:lang w:eastAsia="zh-CN"/>
        </w:rPr>
        <w:t>危险化学品</w:t>
      </w:r>
      <w:r>
        <w:rPr>
          <w:rFonts w:ascii="宋体" w:hAnsi="宋体" w:eastAsia="宋体"/>
          <w:color w:val="auto"/>
          <w:sz w:val="28"/>
          <w:szCs w:val="28"/>
        </w:rPr>
        <w:t>不构成重大危险源。</w:t>
      </w:r>
    </w:p>
    <w:p>
      <w:pPr>
        <w:spacing w:line="560" w:lineRule="exact"/>
        <w:ind w:firstLine="425" w:firstLineChars="152"/>
        <w:rPr>
          <w:rFonts w:ascii="宋体" w:hAnsi="宋体" w:eastAsia="宋体"/>
          <w:color w:val="auto"/>
          <w:sz w:val="28"/>
          <w:szCs w:val="28"/>
        </w:rPr>
      </w:pPr>
      <w:r>
        <w:rPr>
          <w:rFonts w:ascii="宋体" w:hAnsi="宋体" w:eastAsia="宋体"/>
          <w:color w:val="auto"/>
          <w:sz w:val="28"/>
          <w:szCs w:val="28"/>
        </w:rPr>
        <w:t>6</w:t>
      </w:r>
      <w:r>
        <w:rPr>
          <w:rFonts w:hint="eastAsia" w:ascii="宋体" w:hAnsi="宋体" w:eastAsia="宋体"/>
          <w:color w:val="auto"/>
          <w:sz w:val="28"/>
          <w:szCs w:val="28"/>
          <w:lang w:eastAsia="zh-CN"/>
        </w:rPr>
        <w:t>)</w:t>
      </w:r>
      <w:r>
        <w:rPr>
          <w:rFonts w:ascii="宋体" w:hAnsi="宋体" w:eastAsia="宋体"/>
          <w:color w:val="auto"/>
          <w:sz w:val="28"/>
          <w:szCs w:val="28"/>
        </w:rPr>
        <w:t>通过分析评价，该公司所生产的产品及生产工艺均不属于国家明令淘汰的、该公司也不涉及国家监控的化学品。</w:t>
      </w:r>
    </w:p>
    <w:p>
      <w:pPr>
        <w:spacing w:line="560" w:lineRule="exact"/>
        <w:ind w:firstLine="425" w:firstLineChars="152"/>
        <w:rPr>
          <w:rFonts w:ascii="宋体" w:hAnsi="宋体" w:eastAsia="宋体"/>
          <w:color w:val="auto"/>
          <w:sz w:val="28"/>
          <w:szCs w:val="28"/>
          <w:lang w:eastAsia="zh-CN"/>
        </w:rPr>
      </w:pPr>
      <w:r>
        <w:rPr>
          <w:rFonts w:ascii="宋体" w:hAnsi="宋体" w:eastAsia="宋体"/>
          <w:color w:val="auto"/>
          <w:sz w:val="28"/>
          <w:szCs w:val="28"/>
        </w:rPr>
        <w:t>7</w:t>
      </w:r>
      <w:r>
        <w:rPr>
          <w:rFonts w:hint="eastAsia" w:ascii="宋体" w:hAnsi="宋体" w:eastAsia="宋体"/>
          <w:color w:val="auto"/>
          <w:sz w:val="28"/>
          <w:szCs w:val="28"/>
          <w:lang w:eastAsia="zh-CN"/>
        </w:rPr>
        <w:t>)</w:t>
      </w:r>
      <w:r>
        <w:rPr>
          <w:rFonts w:ascii="宋体" w:hAnsi="宋体" w:eastAsia="宋体"/>
          <w:color w:val="auto"/>
          <w:sz w:val="28"/>
          <w:szCs w:val="28"/>
        </w:rPr>
        <w:t>根据国家安全监管总局办公厅关于公布《首批重点监管的危险化学品名录》的通知(安监总管三〔2011〕95号)</w:t>
      </w:r>
      <w:r>
        <w:rPr>
          <w:rFonts w:hint="eastAsia" w:ascii="宋体" w:hAnsi="宋体" w:eastAsia="宋体"/>
          <w:color w:val="auto"/>
          <w:sz w:val="28"/>
          <w:szCs w:val="28"/>
          <w:lang w:eastAsia="zh-CN"/>
        </w:rPr>
        <w:t>辨识结果</w:t>
      </w:r>
      <w:r>
        <w:rPr>
          <w:rFonts w:ascii="宋体" w:hAnsi="宋体" w:eastAsia="宋体"/>
          <w:color w:val="auto"/>
          <w:sz w:val="28"/>
          <w:szCs w:val="28"/>
        </w:rPr>
        <w:t>，该公司使用的</w:t>
      </w:r>
      <w:r>
        <w:rPr>
          <w:rFonts w:hint="eastAsia" w:ascii="宋体" w:hAnsi="宋体" w:eastAsia="宋体"/>
          <w:color w:val="auto"/>
          <w:sz w:val="28"/>
          <w:szCs w:val="28"/>
          <w:lang w:eastAsia="zh-CN"/>
        </w:rPr>
        <w:t>苯乙烯[抑制了的]（358）、乙酸乙酯（2651）、</w:t>
      </w:r>
      <w:r>
        <w:rPr>
          <w:rFonts w:hint="eastAsia" w:ascii="宋体" w:hAnsi="宋体" w:eastAsia="宋体"/>
          <w:color w:val="auto"/>
          <w:sz w:val="28"/>
          <w:szCs w:val="28"/>
        </w:rPr>
        <w:t>硝化纤维素溶液</w:t>
      </w:r>
      <w:r>
        <w:rPr>
          <w:rFonts w:ascii="宋体" w:hAnsi="宋体" w:eastAsia="宋体"/>
          <w:color w:val="auto"/>
          <w:sz w:val="28"/>
          <w:szCs w:val="28"/>
        </w:rPr>
        <w:t>[</w:t>
      </w:r>
      <w:r>
        <w:rPr>
          <w:rFonts w:hint="eastAsia" w:ascii="宋体" w:hAnsi="宋体" w:eastAsia="宋体"/>
          <w:color w:val="auto"/>
          <w:sz w:val="28"/>
          <w:szCs w:val="28"/>
        </w:rPr>
        <w:t>含氮量≤</w:t>
      </w:r>
      <w:r>
        <w:rPr>
          <w:rFonts w:ascii="宋体" w:hAnsi="宋体" w:eastAsia="宋体"/>
          <w:color w:val="auto"/>
          <w:sz w:val="28"/>
          <w:szCs w:val="28"/>
        </w:rPr>
        <w:t>12.6%</w:t>
      </w:r>
      <w:r>
        <w:rPr>
          <w:rFonts w:hint="eastAsia" w:ascii="宋体" w:hAnsi="宋体" w:eastAsia="宋体"/>
          <w:color w:val="auto"/>
          <w:sz w:val="28"/>
          <w:szCs w:val="28"/>
        </w:rPr>
        <w:t>，含硝化纤维素≤</w:t>
      </w:r>
      <w:r>
        <w:rPr>
          <w:rFonts w:ascii="宋体" w:hAnsi="宋体" w:eastAsia="宋体"/>
          <w:color w:val="auto"/>
          <w:sz w:val="28"/>
          <w:szCs w:val="28"/>
        </w:rPr>
        <w:t>55%]</w:t>
      </w:r>
      <w:r>
        <w:rPr>
          <w:rFonts w:hint="eastAsia" w:ascii="宋体" w:hAnsi="宋体" w:eastAsia="宋体"/>
          <w:color w:val="auto"/>
          <w:sz w:val="28"/>
          <w:szCs w:val="28"/>
          <w:lang w:eastAsia="zh-CN"/>
        </w:rPr>
        <w:t>（2</w:t>
      </w:r>
      <w:r>
        <w:rPr>
          <w:rFonts w:hint="eastAsia" w:ascii="宋体" w:hAnsi="宋体" w:eastAsia="宋体"/>
          <w:color w:val="auto"/>
          <w:sz w:val="28"/>
          <w:szCs w:val="28"/>
          <w:lang w:val="en-US" w:eastAsia="zh-CN"/>
        </w:rPr>
        <w:t>2</w:t>
      </w:r>
      <w:r>
        <w:rPr>
          <w:rFonts w:hint="eastAsia" w:ascii="宋体" w:hAnsi="宋体" w:eastAsia="宋体"/>
          <w:color w:val="auto"/>
          <w:sz w:val="28"/>
          <w:szCs w:val="28"/>
          <w:lang w:eastAsia="zh-CN"/>
        </w:rPr>
        <w:t>08）</w:t>
      </w:r>
      <w:r>
        <w:rPr>
          <w:rFonts w:ascii="宋体" w:hAnsi="宋体" w:eastAsia="宋体"/>
          <w:color w:val="auto"/>
          <w:sz w:val="28"/>
          <w:szCs w:val="28"/>
        </w:rPr>
        <w:t>属于重点监管的危险化学品</w:t>
      </w:r>
      <w:r>
        <w:rPr>
          <w:rFonts w:hint="eastAsia" w:ascii="宋体" w:hAnsi="宋体" w:eastAsia="宋体"/>
          <w:color w:val="auto"/>
          <w:sz w:val="28"/>
          <w:szCs w:val="28"/>
          <w:lang w:eastAsia="zh-CN"/>
        </w:rPr>
        <w:t>，该公司对重点监管危险化学品采取的安全措施和应急措施符合要求。</w:t>
      </w:r>
    </w:p>
    <w:p>
      <w:pPr>
        <w:spacing w:line="560" w:lineRule="exact"/>
        <w:ind w:firstLine="425" w:firstLineChars="152"/>
        <w:rPr>
          <w:rFonts w:ascii="宋体" w:hAnsi="宋体" w:eastAsia="宋体"/>
          <w:color w:val="auto"/>
          <w:sz w:val="28"/>
          <w:szCs w:val="28"/>
          <w:lang w:eastAsia="zh-CN"/>
        </w:rPr>
      </w:pPr>
      <w:r>
        <w:rPr>
          <w:rFonts w:ascii="宋体" w:hAnsi="宋体" w:eastAsia="宋体"/>
          <w:color w:val="auto"/>
          <w:sz w:val="28"/>
          <w:szCs w:val="28"/>
        </w:rPr>
        <w:t>8</w:t>
      </w:r>
      <w:r>
        <w:rPr>
          <w:rFonts w:hint="eastAsia" w:ascii="宋体" w:hAnsi="宋体" w:eastAsia="宋体"/>
          <w:color w:val="auto"/>
          <w:sz w:val="28"/>
          <w:szCs w:val="28"/>
          <w:lang w:eastAsia="zh-CN"/>
        </w:rPr>
        <w:t>)</w:t>
      </w:r>
      <w:r>
        <w:rPr>
          <w:rFonts w:ascii="宋体" w:hAnsi="宋体" w:eastAsia="宋体"/>
          <w:color w:val="auto"/>
          <w:sz w:val="28"/>
          <w:szCs w:val="28"/>
          <w:lang w:eastAsia="zh-CN"/>
        </w:rPr>
        <w:t xml:space="preserve"> 依据《易制毒化学品管理条例》(中华人民共和国国务院令第445号)</w:t>
      </w:r>
      <w:r>
        <w:rPr>
          <w:rFonts w:hint="eastAsia" w:ascii="宋体" w:hAnsi="宋体" w:eastAsia="宋体"/>
          <w:color w:val="auto"/>
          <w:sz w:val="28"/>
          <w:szCs w:val="28"/>
          <w:lang w:eastAsia="zh-CN"/>
        </w:rPr>
        <w:t>辨识结果</w:t>
      </w:r>
      <w:r>
        <w:rPr>
          <w:rFonts w:ascii="宋体" w:hAnsi="宋体" w:eastAsia="宋体"/>
          <w:color w:val="auto"/>
          <w:sz w:val="28"/>
          <w:szCs w:val="28"/>
          <w:lang w:eastAsia="zh-CN"/>
        </w:rPr>
        <w:t>，该公司</w:t>
      </w:r>
      <w:r>
        <w:rPr>
          <w:rFonts w:hint="eastAsia" w:ascii="宋体" w:hAnsi="宋体" w:eastAsia="宋体"/>
          <w:color w:val="auto"/>
          <w:sz w:val="28"/>
          <w:szCs w:val="28"/>
          <w:lang w:eastAsia="zh-CN"/>
        </w:rPr>
        <w:t>的产品及其使用的原辅材料均不属于易制毒化学品；</w:t>
      </w:r>
    </w:p>
    <w:p>
      <w:pPr>
        <w:spacing w:line="560" w:lineRule="exact"/>
        <w:ind w:firstLine="425" w:firstLineChars="152"/>
        <w:rPr>
          <w:rFonts w:ascii="宋体" w:hAnsi="宋体" w:eastAsia="宋体"/>
          <w:color w:val="auto"/>
          <w:sz w:val="28"/>
          <w:szCs w:val="28"/>
          <w:lang w:eastAsia="zh-CN"/>
        </w:rPr>
      </w:pPr>
      <w:r>
        <w:rPr>
          <w:rFonts w:hint="eastAsia" w:ascii="宋体" w:hAnsi="宋体" w:eastAsia="宋体"/>
          <w:color w:val="auto"/>
          <w:sz w:val="28"/>
          <w:szCs w:val="28"/>
          <w:lang w:eastAsia="zh-CN"/>
        </w:rPr>
        <w:t>9）</w:t>
      </w:r>
      <w:r>
        <w:rPr>
          <w:rFonts w:ascii="宋体" w:hAnsi="宋体" w:eastAsia="宋体"/>
          <w:color w:val="auto"/>
          <w:sz w:val="28"/>
          <w:szCs w:val="28"/>
          <w:lang w:eastAsia="zh-CN"/>
        </w:rPr>
        <w:t>根据《易制爆危险化学品名录(201</w:t>
      </w:r>
      <w:r>
        <w:rPr>
          <w:rFonts w:hint="eastAsia" w:ascii="宋体" w:hAnsi="宋体" w:eastAsia="宋体"/>
          <w:color w:val="auto"/>
          <w:sz w:val="28"/>
          <w:szCs w:val="28"/>
          <w:lang w:eastAsia="zh-CN"/>
        </w:rPr>
        <w:t>7</w:t>
      </w:r>
      <w:r>
        <w:rPr>
          <w:rFonts w:ascii="宋体" w:hAnsi="宋体" w:eastAsia="宋体"/>
          <w:color w:val="auto"/>
          <w:sz w:val="28"/>
          <w:szCs w:val="28"/>
          <w:lang w:eastAsia="zh-CN"/>
        </w:rPr>
        <w:t>年版)》</w:t>
      </w:r>
      <w:r>
        <w:rPr>
          <w:rFonts w:hint="eastAsia" w:ascii="宋体" w:hAnsi="宋体" w:eastAsia="宋体"/>
          <w:color w:val="auto"/>
          <w:sz w:val="28"/>
          <w:szCs w:val="28"/>
          <w:lang w:eastAsia="zh-CN"/>
        </w:rPr>
        <w:t>辨识结果</w:t>
      </w:r>
      <w:r>
        <w:rPr>
          <w:rFonts w:ascii="宋体" w:hAnsi="宋体" w:eastAsia="宋体"/>
          <w:color w:val="auto"/>
          <w:sz w:val="28"/>
          <w:szCs w:val="28"/>
          <w:lang w:eastAsia="zh-CN"/>
        </w:rPr>
        <w:t>，该公司的原料及产品</w:t>
      </w:r>
      <w:r>
        <w:rPr>
          <w:rFonts w:hint="eastAsia" w:ascii="宋体" w:hAnsi="宋体" w:eastAsia="宋体"/>
          <w:color w:val="auto"/>
          <w:sz w:val="28"/>
          <w:szCs w:val="28"/>
          <w:lang w:eastAsia="zh-CN"/>
        </w:rPr>
        <w:t>均不属于</w:t>
      </w:r>
      <w:r>
        <w:rPr>
          <w:rFonts w:ascii="宋体" w:hAnsi="宋体" w:eastAsia="宋体"/>
          <w:color w:val="auto"/>
          <w:sz w:val="28"/>
          <w:szCs w:val="28"/>
          <w:lang w:eastAsia="zh-CN"/>
        </w:rPr>
        <w:t>易制爆危险化学品。</w:t>
      </w:r>
    </w:p>
    <w:p>
      <w:pPr>
        <w:spacing w:line="560" w:lineRule="exact"/>
        <w:ind w:firstLine="425" w:firstLineChars="152"/>
        <w:rPr>
          <w:rFonts w:ascii="宋体" w:hAnsi="宋体" w:eastAsia="宋体"/>
          <w:color w:val="auto"/>
          <w:sz w:val="28"/>
          <w:szCs w:val="28"/>
          <w:lang w:eastAsia="zh-CN"/>
        </w:rPr>
      </w:pPr>
      <w:r>
        <w:rPr>
          <w:rFonts w:hint="eastAsia" w:ascii="宋体" w:hAnsi="宋体" w:eastAsia="宋体"/>
          <w:color w:val="auto"/>
          <w:sz w:val="28"/>
          <w:szCs w:val="28"/>
          <w:lang w:eastAsia="zh-CN"/>
        </w:rPr>
        <w:t>10）</w:t>
      </w:r>
      <w:r>
        <w:rPr>
          <w:rFonts w:ascii="宋体" w:hAnsi="宋体" w:eastAsia="宋体"/>
          <w:color w:val="auto"/>
          <w:sz w:val="28"/>
          <w:szCs w:val="28"/>
          <w:lang w:eastAsia="zh-CN"/>
        </w:rPr>
        <w:t>根据《危险化学品目录(2015版)》(安全监管总局、工业和信息化部、公安部等公告2015年第5号)</w:t>
      </w:r>
      <w:r>
        <w:rPr>
          <w:rFonts w:hint="eastAsia" w:ascii="宋体" w:hAnsi="宋体" w:eastAsia="宋体"/>
          <w:color w:val="auto"/>
          <w:sz w:val="28"/>
          <w:szCs w:val="28"/>
          <w:lang w:eastAsia="zh-CN"/>
        </w:rPr>
        <w:t>辨识结果</w:t>
      </w:r>
      <w:r>
        <w:rPr>
          <w:rFonts w:ascii="宋体" w:hAnsi="宋体" w:eastAsia="宋体"/>
          <w:color w:val="auto"/>
          <w:sz w:val="28"/>
          <w:szCs w:val="28"/>
          <w:lang w:eastAsia="zh-CN"/>
        </w:rPr>
        <w:t>，该公司的原料及产品中没有剧毒化学品。</w:t>
      </w:r>
    </w:p>
    <w:p>
      <w:pPr>
        <w:spacing w:line="560" w:lineRule="exact"/>
        <w:ind w:firstLine="425" w:firstLineChars="152"/>
        <w:rPr>
          <w:rFonts w:ascii="宋体" w:hAnsi="宋体" w:eastAsia="宋体"/>
          <w:color w:val="auto"/>
          <w:sz w:val="28"/>
          <w:szCs w:val="28"/>
        </w:rPr>
      </w:pPr>
      <w:r>
        <w:rPr>
          <w:rFonts w:hint="eastAsia" w:ascii="宋体" w:hAnsi="宋体" w:eastAsia="宋体"/>
          <w:color w:val="auto"/>
          <w:sz w:val="28"/>
          <w:szCs w:val="28"/>
          <w:lang w:eastAsia="zh-CN"/>
        </w:rPr>
        <w:t>11)</w:t>
      </w:r>
      <w:r>
        <w:rPr>
          <w:rFonts w:ascii="宋体" w:hAnsi="宋体" w:eastAsia="宋体"/>
          <w:color w:val="auto"/>
          <w:sz w:val="28"/>
          <w:szCs w:val="28"/>
        </w:rPr>
        <w:t>针对现场检查中提出的整改建议，企业已经进行了积极整改，</w:t>
      </w:r>
      <w:r>
        <w:rPr>
          <w:rFonts w:hint="eastAsia" w:ascii="宋体" w:hAnsi="宋体" w:eastAsia="宋体"/>
          <w:color w:val="auto"/>
          <w:sz w:val="28"/>
          <w:szCs w:val="28"/>
          <w:lang w:eastAsia="zh-CN"/>
        </w:rPr>
        <w:t>经</w:t>
      </w:r>
      <w:r>
        <w:rPr>
          <w:rFonts w:ascii="宋体" w:hAnsi="宋体" w:eastAsia="宋体"/>
          <w:color w:val="auto"/>
          <w:sz w:val="28"/>
          <w:szCs w:val="28"/>
        </w:rPr>
        <w:t>复查</w:t>
      </w:r>
      <w:r>
        <w:rPr>
          <w:rFonts w:hint="eastAsia" w:ascii="宋体" w:hAnsi="宋体" w:eastAsia="宋体"/>
          <w:color w:val="auto"/>
          <w:sz w:val="28"/>
          <w:szCs w:val="28"/>
          <w:lang w:eastAsia="zh-CN"/>
        </w:rPr>
        <w:t>确认</w:t>
      </w:r>
      <w:r>
        <w:rPr>
          <w:rFonts w:ascii="宋体" w:hAnsi="宋体" w:eastAsia="宋体"/>
          <w:color w:val="auto"/>
          <w:sz w:val="28"/>
          <w:szCs w:val="28"/>
        </w:rPr>
        <w:t>，所提出的问题已经整改到位，经整改后，其安全生产条件满足安全生产的需要。</w:t>
      </w:r>
    </w:p>
    <w:p>
      <w:pPr>
        <w:spacing w:line="560" w:lineRule="exact"/>
        <w:ind w:firstLine="425" w:firstLineChars="152"/>
        <w:rPr>
          <w:rFonts w:ascii="宋体" w:hAnsi="宋体" w:eastAsia="宋体"/>
          <w:color w:val="auto"/>
          <w:sz w:val="28"/>
          <w:szCs w:val="28"/>
        </w:rPr>
      </w:pPr>
      <w:r>
        <w:rPr>
          <w:rFonts w:ascii="宋体" w:hAnsi="宋体" w:eastAsia="宋体"/>
          <w:color w:val="auto"/>
          <w:sz w:val="28"/>
          <w:szCs w:val="28"/>
        </w:rPr>
        <w:t>1</w:t>
      </w:r>
      <w:r>
        <w:rPr>
          <w:rFonts w:hint="eastAsia" w:ascii="宋体" w:hAnsi="宋体" w:eastAsia="宋体"/>
          <w:color w:val="auto"/>
          <w:sz w:val="28"/>
          <w:szCs w:val="28"/>
          <w:lang w:eastAsia="zh-CN"/>
        </w:rPr>
        <w:t>2)</w:t>
      </w:r>
      <w:r>
        <w:rPr>
          <w:rFonts w:ascii="宋体" w:hAnsi="宋体" w:eastAsia="宋体"/>
          <w:color w:val="auto"/>
          <w:sz w:val="28"/>
          <w:szCs w:val="28"/>
        </w:rPr>
        <w:t>该公司自取得安全生产许可证以来，在执行法律法规及标准规范、日常安全管理、生产安全事故情况、人员教育培训、应急预案培训演练、生产范围、生产场所、生产装置、储存设施改变情况等多方面进行调查，现有安全管理能满足安全生产要求。没有发生任何安全事故及消防安全事故。</w:t>
      </w:r>
    </w:p>
    <w:p>
      <w:pPr>
        <w:spacing w:line="560" w:lineRule="exact"/>
        <w:ind w:firstLine="425" w:firstLineChars="152"/>
        <w:rPr>
          <w:rFonts w:ascii="宋体" w:hAnsi="宋体" w:eastAsia="宋体"/>
          <w:color w:val="auto"/>
          <w:sz w:val="28"/>
          <w:szCs w:val="28"/>
        </w:rPr>
      </w:pPr>
      <w:r>
        <w:rPr>
          <w:rFonts w:ascii="宋体" w:hAnsi="宋体" w:eastAsia="宋体"/>
          <w:color w:val="auto"/>
          <w:sz w:val="28"/>
          <w:szCs w:val="28"/>
        </w:rPr>
        <w:t>1</w:t>
      </w:r>
      <w:r>
        <w:rPr>
          <w:rFonts w:hint="eastAsia" w:ascii="宋体" w:hAnsi="宋体" w:eastAsia="宋体"/>
          <w:color w:val="auto"/>
          <w:sz w:val="28"/>
          <w:szCs w:val="28"/>
          <w:lang w:eastAsia="zh-CN"/>
        </w:rPr>
        <w:t>3)</w:t>
      </w:r>
      <w:r>
        <w:rPr>
          <w:rFonts w:ascii="宋体" w:hAnsi="宋体" w:eastAsia="宋体"/>
          <w:color w:val="auto"/>
          <w:sz w:val="28"/>
          <w:szCs w:val="28"/>
        </w:rPr>
        <w:t>该公司通过设置事故池、制定应急预案、并组织演练等各种措施，评价组认为该公司在落实事故状态下清净下水的各项措施是科学的、有效的。</w:t>
      </w:r>
    </w:p>
    <w:p>
      <w:pPr>
        <w:spacing w:line="560" w:lineRule="exact"/>
        <w:ind w:firstLine="425" w:firstLineChars="152"/>
        <w:rPr>
          <w:rFonts w:ascii="宋体" w:hAnsi="宋体" w:eastAsia="宋体"/>
          <w:color w:val="auto"/>
          <w:sz w:val="28"/>
          <w:szCs w:val="28"/>
        </w:rPr>
      </w:pPr>
      <w:r>
        <w:rPr>
          <w:rFonts w:ascii="宋体" w:hAnsi="宋体" w:eastAsia="宋体"/>
          <w:color w:val="auto"/>
          <w:sz w:val="28"/>
          <w:szCs w:val="28"/>
        </w:rPr>
        <w:t>1</w:t>
      </w:r>
      <w:r>
        <w:rPr>
          <w:rFonts w:hint="eastAsia" w:ascii="宋体" w:hAnsi="宋体" w:eastAsia="宋体"/>
          <w:color w:val="auto"/>
          <w:sz w:val="28"/>
          <w:szCs w:val="28"/>
          <w:lang w:eastAsia="zh-CN"/>
        </w:rPr>
        <w:t>4)</w:t>
      </w:r>
      <w:r>
        <w:rPr>
          <w:rFonts w:ascii="宋体" w:hAnsi="宋体" w:eastAsia="宋体"/>
          <w:color w:val="auto"/>
          <w:sz w:val="28"/>
          <w:szCs w:val="28"/>
        </w:rPr>
        <w:t>根据《危险化学品生产企业安全生产许可证审查书》(国家安全生产监督管理局“安监管危化字”[2004]110号)、《危险化学品生产企业安全生产许可证实施办法》，对该公司安全生产许可条件进行逐项检查，对不符合项整改</w:t>
      </w:r>
      <w:r>
        <w:rPr>
          <w:rFonts w:hint="eastAsia" w:ascii="宋体" w:hAnsi="宋体" w:eastAsia="宋体"/>
          <w:color w:val="auto"/>
          <w:sz w:val="28"/>
          <w:szCs w:val="28"/>
          <w:lang w:eastAsia="zh-CN"/>
        </w:rPr>
        <w:t>已符合要求</w:t>
      </w:r>
      <w:r>
        <w:rPr>
          <w:rFonts w:ascii="宋体" w:hAnsi="宋体" w:eastAsia="宋体"/>
          <w:color w:val="auto"/>
          <w:sz w:val="28"/>
          <w:szCs w:val="28"/>
        </w:rPr>
        <w:t>，该公司安全生产条件符合规定的要求。</w:t>
      </w:r>
    </w:p>
    <w:p>
      <w:pPr>
        <w:spacing w:line="560" w:lineRule="exact"/>
        <w:ind w:firstLine="425" w:firstLineChars="152"/>
        <w:rPr>
          <w:rFonts w:ascii="宋体" w:hAnsi="宋体" w:eastAsia="宋体"/>
          <w:color w:val="auto"/>
          <w:sz w:val="28"/>
          <w:szCs w:val="28"/>
        </w:rPr>
      </w:pPr>
      <w:r>
        <w:rPr>
          <w:rFonts w:ascii="宋体" w:hAnsi="宋体" w:eastAsia="宋体"/>
          <w:color w:val="auto"/>
          <w:sz w:val="28"/>
          <w:szCs w:val="28"/>
        </w:rPr>
        <w:t>1</w:t>
      </w:r>
      <w:r>
        <w:rPr>
          <w:rFonts w:hint="eastAsia" w:ascii="宋体" w:hAnsi="宋体" w:eastAsia="宋体"/>
          <w:color w:val="auto"/>
          <w:sz w:val="28"/>
          <w:szCs w:val="28"/>
          <w:lang w:eastAsia="zh-CN"/>
        </w:rPr>
        <w:t>5)</w:t>
      </w:r>
      <w:r>
        <w:rPr>
          <w:rFonts w:ascii="宋体" w:hAnsi="宋体" w:eastAsia="宋体"/>
          <w:color w:val="auto"/>
          <w:sz w:val="28"/>
          <w:szCs w:val="28"/>
        </w:rPr>
        <w:t>该公司按照《生产经营单位生产安全事故应急预案编制导则》(GB/T29639-2013)编制了事故应急救援预案，并通过专家评审，取得了预案备案登记表。</w:t>
      </w:r>
    </w:p>
    <w:p>
      <w:pPr>
        <w:spacing w:line="560" w:lineRule="exact"/>
        <w:ind w:firstLine="425" w:firstLineChars="152"/>
        <w:rPr>
          <w:rFonts w:ascii="宋体" w:hAnsi="宋体" w:eastAsia="宋体"/>
          <w:color w:val="auto"/>
          <w:sz w:val="28"/>
          <w:szCs w:val="28"/>
        </w:rPr>
      </w:pPr>
      <w:r>
        <w:rPr>
          <w:rFonts w:ascii="宋体" w:hAnsi="宋体" w:eastAsia="宋体"/>
          <w:color w:val="auto"/>
          <w:sz w:val="28"/>
          <w:szCs w:val="28"/>
        </w:rPr>
        <w:t>1</w:t>
      </w:r>
      <w:r>
        <w:rPr>
          <w:rFonts w:hint="eastAsia" w:ascii="宋体" w:hAnsi="宋体" w:eastAsia="宋体"/>
          <w:color w:val="auto"/>
          <w:sz w:val="28"/>
          <w:szCs w:val="28"/>
          <w:lang w:eastAsia="zh-CN"/>
        </w:rPr>
        <w:t>6)</w:t>
      </w:r>
      <w:r>
        <w:rPr>
          <w:rFonts w:ascii="宋体" w:hAnsi="宋体" w:eastAsia="宋体"/>
          <w:color w:val="auto"/>
          <w:sz w:val="28"/>
          <w:szCs w:val="28"/>
        </w:rPr>
        <w:t>该公司主要负责人、分管负责人、安全管理人员、特种作业人员、一般从业人员均满足国家、省市安监部门的要求。</w:t>
      </w:r>
    </w:p>
    <w:p>
      <w:pPr>
        <w:spacing w:line="560" w:lineRule="exact"/>
        <w:ind w:firstLine="425" w:firstLineChars="152"/>
        <w:rPr>
          <w:rFonts w:ascii="宋体" w:hAnsi="宋体" w:eastAsia="宋体"/>
          <w:color w:val="auto"/>
          <w:sz w:val="28"/>
          <w:szCs w:val="28"/>
        </w:rPr>
      </w:pPr>
      <w:bookmarkStart w:id="150" w:name="bookmark106"/>
      <w:r>
        <w:rPr>
          <w:rFonts w:ascii="宋体" w:hAnsi="宋体" w:eastAsia="宋体"/>
          <w:color w:val="auto"/>
          <w:sz w:val="28"/>
          <w:szCs w:val="28"/>
        </w:rPr>
        <w:t>1</w:t>
      </w:r>
      <w:r>
        <w:rPr>
          <w:rFonts w:hint="eastAsia" w:ascii="宋体" w:hAnsi="宋体" w:eastAsia="宋体"/>
          <w:color w:val="auto"/>
          <w:sz w:val="28"/>
          <w:szCs w:val="28"/>
          <w:lang w:eastAsia="zh-CN"/>
        </w:rPr>
        <w:t>7)</w:t>
      </w:r>
      <w:r>
        <w:rPr>
          <w:rFonts w:ascii="宋体" w:hAnsi="宋体" w:eastAsia="宋体"/>
          <w:color w:val="auto"/>
          <w:sz w:val="28"/>
          <w:szCs w:val="28"/>
        </w:rPr>
        <w:t>该公司消防工程、防雷、防静电、电气安全、可燃有毒气体报警装置等安全设施、设备符合国家法律法规、标准规范要求，处于正常使用状态</w:t>
      </w:r>
      <w:bookmarkEnd w:id="150"/>
      <w:r>
        <w:rPr>
          <w:rFonts w:hint="eastAsia" w:ascii="宋体" w:hAnsi="宋体" w:eastAsia="宋体"/>
          <w:color w:val="auto"/>
          <w:sz w:val="28"/>
          <w:szCs w:val="28"/>
          <w:lang w:eastAsia="zh-CN"/>
        </w:rPr>
        <w:t>。</w:t>
      </w:r>
    </w:p>
    <w:p>
      <w:pPr>
        <w:spacing w:line="560" w:lineRule="exact"/>
        <w:ind w:firstLine="425" w:firstLineChars="152"/>
        <w:rPr>
          <w:rFonts w:ascii="宋体" w:hAnsi="宋体" w:eastAsia="宋体"/>
          <w:color w:val="auto"/>
          <w:sz w:val="28"/>
          <w:szCs w:val="28"/>
          <w:lang w:eastAsia="zh-CN"/>
        </w:rPr>
      </w:pPr>
      <w:r>
        <w:rPr>
          <w:rFonts w:ascii="宋体" w:hAnsi="宋体" w:eastAsia="宋体"/>
          <w:color w:val="auto"/>
          <w:sz w:val="28"/>
          <w:szCs w:val="28"/>
        </w:rPr>
        <w:t>1</w:t>
      </w:r>
      <w:r>
        <w:rPr>
          <w:rFonts w:hint="eastAsia" w:ascii="宋体" w:hAnsi="宋体" w:eastAsia="宋体"/>
          <w:color w:val="auto"/>
          <w:sz w:val="28"/>
          <w:szCs w:val="28"/>
          <w:lang w:eastAsia="zh-CN"/>
        </w:rPr>
        <w:t>8)</w:t>
      </w:r>
      <w:r>
        <w:rPr>
          <w:rFonts w:ascii="宋体" w:hAnsi="宋体" w:eastAsia="宋体"/>
          <w:color w:val="auto"/>
          <w:sz w:val="28"/>
          <w:szCs w:val="28"/>
        </w:rPr>
        <w:t>通过安全评价可知，周边各建(构)筑物与厂区内建(构)筑物的防火间距符合</w:t>
      </w:r>
      <w:r>
        <w:rPr>
          <w:rFonts w:hint="eastAsia" w:ascii="宋体" w:hAnsi="宋体" w:eastAsia="宋体"/>
          <w:color w:val="auto"/>
          <w:sz w:val="28"/>
          <w:szCs w:val="28"/>
          <w:lang w:eastAsia="zh-CN"/>
        </w:rPr>
        <w:t>《建筑设计防火规范（2018年版）》（GB50016-2014）和《公路安全保护条例》（国务院令第</w:t>
      </w:r>
      <w:r>
        <w:rPr>
          <w:rFonts w:hint="eastAsia" w:ascii="宋体" w:hAnsi="宋体" w:eastAsia="宋体"/>
          <w:color w:val="auto"/>
          <w:sz w:val="28"/>
          <w:szCs w:val="28"/>
          <w:lang w:val="en-US" w:eastAsia="zh-CN"/>
        </w:rPr>
        <w:t>593号</w:t>
      </w:r>
      <w:r>
        <w:rPr>
          <w:rFonts w:hint="eastAsia" w:ascii="宋体" w:hAnsi="宋体" w:eastAsia="宋体"/>
          <w:color w:val="auto"/>
          <w:sz w:val="28"/>
          <w:szCs w:val="28"/>
          <w:lang w:eastAsia="zh-CN"/>
        </w:rPr>
        <w:t>）</w:t>
      </w:r>
      <w:r>
        <w:rPr>
          <w:rFonts w:ascii="宋体" w:hAnsi="宋体" w:eastAsia="宋体"/>
          <w:color w:val="auto"/>
          <w:sz w:val="28"/>
          <w:szCs w:val="28"/>
        </w:rPr>
        <w:t>的规定，卫生防护距离</w:t>
      </w:r>
      <w:r>
        <w:rPr>
          <w:rFonts w:hint="eastAsia" w:ascii="宋体" w:hAnsi="宋体" w:eastAsia="宋体"/>
          <w:color w:val="auto"/>
          <w:sz w:val="28"/>
          <w:szCs w:val="28"/>
          <w:lang w:eastAsia="zh-CN"/>
        </w:rPr>
        <w:t>符合</w:t>
      </w:r>
      <w:r>
        <w:rPr>
          <w:rFonts w:ascii="宋体" w:hAnsi="宋体" w:eastAsia="宋体"/>
          <w:color w:val="auto"/>
          <w:sz w:val="28"/>
          <w:szCs w:val="28"/>
        </w:rPr>
        <w:t>《油漆厂卫生防护距离标准》(GB18070-2000)的要求。</w:t>
      </w:r>
    </w:p>
    <w:p>
      <w:pPr>
        <w:pStyle w:val="19"/>
        <w:spacing w:line="560" w:lineRule="exact"/>
        <w:ind w:firstLine="560" w:firstLineChars="200"/>
        <w:rPr>
          <w:rFonts w:cs="宋体"/>
          <w:color w:val="auto"/>
          <w:szCs w:val="28"/>
        </w:rPr>
      </w:pPr>
      <w:r>
        <w:rPr>
          <w:rFonts w:hint="eastAsia"/>
          <w:color w:val="auto"/>
          <w:szCs w:val="28"/>
          <w:lang w:eastAsia="zh-CN"/>
        </w:rPr>
        <w:t>19）</w:t>
      </w:r>
      <w:r>
        <w:rPr>
          <w:rFonts w:hint="eastAsia" w:cs="宋体"/>
          <w:color w:val="auto"/>
          <w:szCs w:val="28"/>
        </w:rPr>
        <w:t>通过《化工和危险化学品生产经营单位重大生产安全事故隐患判定标准（试行）》（安监总管三[2017]121号）内容逐项检查，该公司不存在《化工和危险化学品生产经营单位重大生产安全事故隐患判定标准（试行 ）》规定的重大生产安全事故隐患。</w:t>
      </w:r>
    </w:p>
    <w:p>
      <w:pPr>
        <w:pStyle w:val="19"/>
        <w:spacing w:line="560" w:lineRule="exact"/>
        <w:ind w:firstLine="560" w:firstLineChars="200"/>
        <w:rPr>
          <w:rFonts w:cs="宋体"/>
          <w:color w:val="auto"/>
          <w:szCs w:val="28"/>
        </w:rPr>
      </w:pPr>
      <w:r>
        <w:rPr>
          <w:rFonts w:hint="eastAsia" w:cs="宋体"/>
          <w:color w:val="auto"/>
          <w:szCs w:val="28"/>
          <w:lang w:eastAsia="zh-CN"/>
        </w:rPr>
        <w:t>20</w:t>
      </w:r>
      <w:r>
        <w:rPr>
          <w:rFonts w:hint="eastAsia" w:cs="宋体"/>
          <w:color w:val="auto"/>
          <w:szCs w:val="28"/>
        </w:rPr>
        <w:t>）</w:t>
      </w:r>
      <w:r>
        <w:rPr>
          <w:rFonts w:hint="eastAsia"/>
          <w:color w:val="auto"/>
          <w:szCs w:val="28"/>
        </w:rPr>
        <w:t>根据应急管理部关于印发危险化学品生产储存企业安全风险评估诊断分级指南（试行）的通知（应急[2018]19号）的内容进行检查分析，该公司的安全风险分级为蓝色。</w:t>
      </w:r>
    </w:p>
    <w:p>
      <w:pPr>
        <w:pStyle w:val="19"/>
        <w:spacing w:line="560" w:lineRule="exact"/>
        <w:ind w:firstLine="560" w:firstLineChars="200"/>
        <w:rPr>
          <w:rFonts w:cs="宋体"/>
          <w:color w:val="auto"/>
          <w:szCs w:val="28"/>
        </w:rPr>
      </w:pPr>
      <w:r>
        <w:rPr>
          <w:rFonts w:hint="eastAsia" w:cs="宋体"/>
          <w:color w:val="auto"/>
          <w:lang w:eastAsia="zh-CN"/>
        </w:rPr>
        <w:t>21</w:t>
      </w:r>
      <w:r>
        <w:rPr>
          <w:rFonts w:hint="eastAsia" w:cs="宋体"/>
          <w:color w:val="auto"/>
        </w:rPr>
        <w:t>）</w:t>
      </w:r>
      <w:r>
        <w:rPr>
          <w:rFonts w:hint="eastAsia" w:cs="宋体"/>
          <w:color w:val="auto"/>
          <w:szCs w:val="28"/>
        </w:rPr>
        <w:t>通过危险度评价法分析评价，该公司甲类车间1、甲类车间2和甲类仓库的危险等级均为黄色，危险程度为中度危险。</w:t>
      </w:r>
    </w:p>
    <w:p>
      <w:pPr>
        <w:spacing w:line="560" w:lineRule="exact"/>
        <w:jc w:val="both"/>
        <w:outlineLvl w:val="1"/>
        <w:rPr>
          <w:rFonts w:ascii="楷体_GB2312" w:hAnsi="Times New Roman" w:eastAsia="楷体_GB2312" w:cs="Times New Roman"/>
          <w:bCs/>
          <w:color w:val="auto"/>
          <w:kern w:val="2"/>
          <w:sz w:val="32"/>
          <w:lang w:val="en-US" w:eastAsia="zh-CN" w:bidi="ar-SA"/>
        </w:rPr>
      </w:pPr>
      <w:bookmarkStart w:id="151" w:name="_Toc40045934"/>
      <w:bookmarkStart w:id="152" w:name="bookmark107"/>
      <w:r>
        <w:rPr>
          <w:rFonts w:ascii="楷体_GB2312" w:hAnsi="Times New Roman" w:eastAsia="楷体_GB2312" w:cs="Times New Roman"/>
          <w:bCs/>
          <w:color w:val="auto"/>
          <w:kern w:val="2"/>
          <w:sz w:val="32"/>
          <w:lang w:val="en-US" w:eastAsia="zh-CN" w:bidi="ar-SA"/>
        </w:rPr>
        <w:t>12.2安全评价结论</w:t>
      </w:r>
      <w:bookmarkEnd w:id="151"/>
      <w:bookmarkEnd w:id="152"/>
    </w:p>
    <w:p>
      <w:pPr>
        <w:spacing w:line="560" w:lineRule="exact"/>
        <w:ind w:firstLine="427" w:firstLineChars="152"/>
        <w:rPr>
          <w:rFonts w:ascii="宋体" w:hAnsi="宋体" w:eastAsia="宋体"/>
          <w:b/>
          <w:color w:val="auto"/>
          <w:sz w:val="28"/>
          <w:szCs w:val="28"/>
        </w:rPr>
      </w:pPr>
      <w:r>
        <w:rPr>
          <w:rFonts w:ascii="宋体" w:hAnsi="宋体" w:eastAsia="宋体"/>
          <w:b/>
          <w:color w:val="auto"/>
          <w:sz w:val="28"/>
          <w:szCs w:val="28"/>
        </w:rPr>
        <w:t>综上所述，东莞市华龙实业有限公司的危险化学品安全生产条件符合有关安全生产法律、法规及规范、标准规定，满足安全生产条件的要求，具备危险化学品生产企业安全生产许可证延期换证的条件。</w:t>
      </w:r>
    </w:p>
    <w:p>
      <w:pPr>
        <w:spacing w:line="560" w:lineRule="exact"/>
        <w:ind w:firstLine="425" w:firstLineChars="152"/>
        <w:rPr>
          <w:rFonts w:ascii="宋体" w:hAnsi="宋体" w:eastAsia="PMingLiU"/>
          <w:color w:val="auto"/>
          <w:sz w:val="28"/>
          <w:szCs w:val="28"/>
        </w:rPr>
      </w:pPr>
      <w:bookmarkStart w:id="153" w:name="bookmark109"/>
      <w:bookmarkStart w:id="154" w:name="bookmark108"/>
      <w:bookmarkStart w:id="155" w:name="bookmark110"/>
    </w:p>
    <w:p>
      <w:pPr>
        <w:spacing w:line="560" w:lineRule="exact"/>
        <w:ind w:firstLine="425" w:firstLineChars="152"/>
        <w:rPr>
          <w:rFonts w:ascii="宋体" w:hAnsi="宋体" w:eastAsia="PMingLiU"/>
          <w:color w:val="auto"/>
          <w:sz w:val="28"/>
          <w:szCs w:val="28"/>
        </w:rPr>
      </w:pPr>
    </w:p>
    <w:p>
      <w:pPr>
        <w:pStyle w:val="3"/>
        <w:spacing w:after="120"/>
        <w:rPr>
          <w:snapToGrid/>
          <w:color w:val="auto"/>
        </w:rPr>
      </w:pPr>
      <w:r>
        <w:rPr>
          <w:snapToGrid/>
          <w:color w:val="auto"/>
        </w:rPr>
        <w:br w:type="page"/>
      </w:r>
    </w:p>
    <w:p>
      <w:pPr>
        <w:pStyle w:val="3"/>
        <w:spacing w:after="120"/>
        <w:rPr>
          <w:snapToGrid/>
          <w:color w:val="auto"/>
        </w:rPr>
      </w:pPr>
      <w:bookmarkStart w:id="156" w:name="_Toc40045935"/>
      <w:r>
        <w:rPr>
          <w:snapToGrid/>
          <w:color w:val="auto"/>
        </w:rPr>
        <w:t>安全评价报告附件</w:t>
      </w:r>
      <w:bookmarkEnd w:id="156"/>
    </w:p>
    <w:p>
      <w:pPr>
        <w:pStyle w:val="3"/>
        <w:spacing w:after="120"/>
        <w:rPr>
          <w:snapToGrid/>
          <w:color w:val="auto"/>
        </w:rPr>
      </w:pPr>
      <w:bookmarkStart w:id="157" w:name="_Toc40045936"/>
      <w:r>
        <w:rPr>
          <w:snapToGrid/>
          <w:color w:val="auto"/>
        </w:rPr>
        <w:t>附件1危险、有害因素的分析过程</w:t>
      </w:r>
      <w:bookmarkEnd w:id="157"/>
    </w:p>
    <w:p>
      <w:pPr>
        <w:spacing w:line="560" w:lineRule="exact"/>
        <w:jc w:val="both"/>
        <w:outlineLvl w:val="1"/>
        <w:rPr>
          <w:rFonts w:ascii="楷体_GB2312" w:hAnsi="Times New Roman" w:eastAsia="楷体_GB2312" w:cs="Times New Roman"/>
          <w:bCs/>
          <w:color w:val="auto"/>
          <w:kern w:val="2"/>
          <w:sz w:val="32"/>
          <w:lang w:val="en-US" w:eastAsia="zh-CN" w:bidi="ar-SA"/>
        </w:rPr>
      </w:pPr>
      <w:bookmarkStart w:id="158" w:name="_Toc40045937"/>
      <w:r>
        <w:rPr>
          <w:rFonts w:ascii="楷体_GB2312" w:hAnsi="Times New Roman" w:eastAsia="楷体_GB2312" w:cs="Times New Roman"/>
          <w:bCs/>
          <w:color w:val="auto"/>
          <w:kern w:val="2"/>
          <w:sz w:val="32"/>
          <w:lang w:val="en-US" w:eastAsia="zh-CN" w:bidi="ar-SA"/>
        </w:rPr>
        <w:t>附件1.1危险化学品危险特性分析</w:t>
      </w:r>
      <w:bookmarkEnd w:id="153"/>
      <w:bookmarkEnd w:id="154"/>
      <w:bookmarkEnd w:id="155"/>
      <w:bookmarkEnd w:id="158"/>
    </w:p>
    <w:p>
      <w:pPr>
        <w:spacing w:line="560" w:lineRule="exact"/>
        <w:ind w:firstLine="425" w:firstLineChars="152"/>
        <w:rPr>
          <w:rFonts w:ascii="宋体" w:hAnsi="宋体" w:eastAsia="宋体"/>
          <w:color w:val="auto"/>
          <w:sz w:val="28"/>
          <w:szCs w:val="28"/>
        </w:rPr>
      </w:pPr>
      <w:r>
        <w:rPr>
          <w:rFonts w:ascii="宋体" w:hAnsi="宋体" w:eastAsia="宋体"/>
          <w:color w:val="auto"/>
          <w:sz w:val="28"/>
          <w:szCs w:val="28"/>
        </w:rPr>
        <w:t>依据《危险化学品目录(2015版)》(安全监管总局、工业和信息化部、公安部等公告2015年第5号)辨识对东莞市华龙实业有限公司涉及的</w:t>
      </w:r>
      <w:r>
        <w:rPr>
          <w:rFonts w:hint="eastAsia" w:ascii="宋体" w:hAnsi="宋体" w:eastAsia="宋体"/>
          <w:color w:val="auto"/>
          <w:sz w:val="28"/>
          <w:szCs w:val="28"/>
        </w:rPr>
        <w:t>的危险化学品如附表</w:t>
      </w:r>
      <w:r>
        <w:rPr>
          <w:rFonts w:hint="eastAsia" w:ascii="宋体" w:hAnsi="宋体" w:eastAsia="宋体"/>
          <w:color w:val="auto"/>
          <w:sz w:val="28"/>
          <w:szCs w:val="28"/>
          <w:lang w:eastAsia="zh-CN"/>
        </w:rPr>
        <w:t>1</w:t>
      </w:r>
      <w:r>
        <w:rPr>
          <w:rFonts w:hint="eastAsia" w:ascii="宋体" w:hAnsi="宋体" w:eastAsia="宋体"/>
          <w:color w:val="auto"/>
          <w:sz w:val="28"/>
          <w:szCs w:val="28"/>
        </w:rPr>
        <w:t>-</w:t>
      </w:r>
      <w:r>
        <w:rPr>
          <w:rFonts w:ascii="宋体" w:hAnsi="宋体" w:eastAsia="宋体"/>
          <w:color w:val="auto"/>
          <w:sz w:val="28"/>
          <w:szCs w:val="28"/>
        </w:rPr>
        <w:t>1</w:t>
      </w:r>
      <w:r>
        <w:rPr>
          <w:rFonts w:hint="eastAsia" w:ascii="宋体" w:hAnsi="宋体" w:eastAsia="宋体"/>
          <w:color w:val="auto"/>
          <w:sz w:val="28"/>
          <w:szCs w:val="28"/>
        </w:rPr>
        <w:t>，</w:t>
      </w:r>
      <w:r>
        <w:rPr>
          <w:rFonts w:ascii="宋体" w:hAnsi="宋体" w:eastAsia="宋体"/>
          <w:color w:val="auto"/>
          <w:sz w:val="28"/>
          <w:szCs w:val="28"/>
        </w:rPr>
        <w:t>危险化学品分类信息</w:t>
      </w:r>
      <w:r>
        <w:rPr>
          <w:rFonts w:hint="eastAsia" w:ascii="宋体" w:hAnsi="宋体" w:eastAsia="宋体"/>
          <w:color w:val="auto"/>
          <w:sz w:val="28"/>
          <w:szCs w:val="28"/>
        </w:rPr>
        <w:t>附</w:t>
      </w:r>
      <w:r>
        <w:rPr>
          <w:rFonts w:ascii="宋体" w:hAnsi="宋体" w:eastAsia="宋体"/>
          <w:color w:val="auto"/>
          <w:sz w:val="28"/>
          <w:szCs w:val="28"/>
        </w:rPr>
        <w:t>表</w:t>
      </w:r>
      <w:r>
        <w:rPr>
          <w:rFonts w:hint="eastAsia" w:ascii="宋体" w:hAnsi="宋体" w:eastAsia="宋体"/>
          <w:color w:val="auto"/>
          <w:sz w:val="28"/>
          <w:szCs w:val="28"/>
          <w:lang w:eastAsia="zh-CN"/>
        </w:rPr>
        <w:t>1</w:t>
      </w:r>
      <w:r>
        <w:rPr>
          <w:rFonts w:ascii="宋体" w:hAnsi="宋体" w:eastAsia="宋体"/>
          <w:color w:val="auto"/>
          <w:sz w:val="28"/>
          <w:szCs w:val="28"/>
        </w:rPr>
        <w:t>-2</w:t>
      </w:r>
      <w:r>
        <w:rPr>
          <w:rFonts w:hint="eastAsia" w:ascii="宋体" w:hAnsi="宋体" w:eastAsia="宋体"/>
          <w:color w:val="auto"/>
          <w:sz w:val="28"/>
          <w:szCs w:val="28"/>
        </w:rPr>
        <w:t>。</w:t>
      </w:r>
    </w:p>
    <w:p>
      <w:pPr>
        <w:spacing w:line="560" w:lineRule="exact"/>
        <w:jc w:val="center"/>
        <w:rPr>
          <w:rFonts w:ascii="宋体" w:hAnsi="宋体" w:eastAsia="PMingLiU"/>
          <w:b/>
          <w:color w:val="auto"/>
        </w:rPr>
      </w:pPr>
      <w:r>
        <w:rPr>
          <w:rFonts w:ascii="宋体" w:hAnsi="宋体" w:eastAsia="宋体"/>
          <w:b/>
          <w:color w:val="auto"/>
        </w:rPr>
        <w:t>附表1-1主要危险物料列表</w:t>
      </w:r>
    </w:p>
    <w:tbl>
      <w:tblPr>
        <w:tblStyle w:val="45"/>
        <w:tblW w:w="5226" w:type="pct"/>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 w:type="dxa"/>
          <w:bottom w:w="0" w:type="dxa"/>
          <w:right w:w="10" w:type="dxa"/>
        </w:tblCellMar>
      </w:tblPr>
      <w:tblGrid>
        <w:gridCol w:w="568"/>
        <w:gridCol w:w="1483"/>
        <w:gridCol w:w="921"/>
        <w:gridCol w:w="949"/>
        <w:gridCol w:w="1041"/>
        <w:gridCol w:w="1137"/>
        <w:gridCol w:w="1501"/>
        <w:gridCol w:w="1007"/>
        <w:gridCol w:w="1007"/>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454" w:hRule="atLeast"/>
          <w:tblHeader/>
          <w:jc w:val="center"/>
        </w:trPr>
        <w:tc>
          <w:tcPr>
            <w:tcW w:w="568" w:type="dxa"/>
            <w:shd w:val="clear" w:color="auto" w:fill="FFFFFF"/>
            <w:vAlign w:val="center"/>
          </w:tcPr>
          <w:p>
            <w:pPr>
              <w:jc w:val="center"/>
              <w:rPr>
                <w:rFonts w:ascii="宋体" w:hAnsi="宋体" w:eastAsia="宋体"/>
                <w:b/>
                <w:color w:val="auto"/>
                <w:sz w:val="21"/>
                <w:szCs w:val="21"/>
              </w:rPr>
            </w:pPr>
            <w:r>
              <w:rPr>
                <w:rFonts w:ascii="宋体" w:hAnsi="宋体" w:eastAsia="宋体"/>
                <w:b/>
                <w:color w:val="auto"/>
                <w:sz w:val="21"/>
                <w:szCs w:val="21"/>
              </w:rPr>
              <w:t>序号</w:t>
            </w:r>
          </w:p>
        </w:tc>
        <w:tc>
          <w:tcPr>
            <w:tcW w:w="1483" w:type="dxa"/>
            <w:shd w:val="clear" w:color="auto" w:fill="FFFFFF"/>
            <w:vAlign w:val="center"/>
          </w:tcPr>
          <w:p>
            <w:pPr>
              <w:jc w:val="center"/>
              <w:rPr>
                <w:rFonts w:ascii="宋体" w:hAnsi="宋体" w:eastAsia="宋体"/>
                <w:b/>
                <w:color w:val="auto"/>
                <w:sz w:val="21"/>
                <w:szCs w:val="21"/>
              </w:rPr>
            </w:pPr>
            <w:r>
              <w:rPr>
                <w:rFonts w:ascii="宋体" w:hAnsi="宋体" w:eastAsia="宋体"/>
                <w:b/>
                <w:color w:val="auto"/>
                <w:sz w:val="21"/>
                <w:szCs w:val="21"/>
              </w:rPr>
              <w:t>原材料名称</w:t>
            </w:r>
          </w:p>
        </w:tc>
        <w:tc>
          <w:tcPr>
            <w:tcW w:w="921" w:type="dxa"/>
            <w:shd w:val="clear" w:color="auto" w:fill="FFFFFF"/>
            <w:vAlign w:val="center"/>
          </w:tcPr>
          <w:p>
            <w:pPr>
              <w:jc w:val="center"/>
              <w:rPr>
                <w:rFonts w:ascii="宋体" w:hAnsi="宋体" w:eastAsia="宋体"/>
                <w:b/>
                <w:color w:val="auto"/>
                <w:sz w:val="21"/>
                <w:szCs w:val="21"/>
              </w:rPr>
            </w:pPr>
            <w:r>
              <w:rPr>
                <w:rFonts w:ascii="宋体" w:hAnsi="宋体" w:eastAsia="宋体"/>
                <w:b/>
                <w:color w:val="auto"/>
                <w:sz w:val="21"/>
                <w:szCs w:val="21"/>
              </w:rPr>
              <w:t>危险化学品序号</w:t>
            </w:r>
          </w:p>
        </w:tc>
        <w:tc>
          <w:tcPr>
            <w:tcW w:w="949" w:type="dxa"/>
            <w:shd w:val="clear" w:color="auto" w:fill="FFFFFF"/>
            <w:vAlign w:val="center"/>
          </w:tcPr>
          <w:p>
            <w:pPr>
              <w:jc w:val="center"/>
              <w:rPr>
                <w:rFonts w:ascii="宋体" w:hAnsi="宋体" w:eastAsia="宋体"/>
                <w:b/>
                <w:color w:val="auto"/>
                <w:sz w:val="21"/>
                <w:szCs w:val="21"/>
              </w:rPr>
            </w:pPr>
            <w:r>
              <w:rPr>
                <w:rFonts w:hint="eastAsia" w:ascii="宋体" w:hAnsi="宋体" w:eastAsia="宋体"/>
                <w:b/>
                <w:color w:val="auto"/>
                <w:sz w:val="21"/>
                <w:szCs w:val="21"/>
              </w:rPr>
              <w:t>闪点</w:t>
            </w:r>
            <w:r>
              <w:rPr>
                <w:rFonts w:ascii="宋体" w:hAnsi="宋体" w:eastAsia="宋体"/>
                <w:b/>
                <w:color w:val="auto"/>
                <w:sz w:val="21"/>
                <w:szCs w:val="21"/>
              </w:rPr>
              <w:t>(℃)</w:t>
            </w:r>
          </w:p>
        </w:tc>
        <w:tc>
          <w:tcPr>
            <w:tcW w:w="1041" w:type="dxa"/>
            <w:shd w:val="clear" w:color="auto" w:fill="FFFFFF"/>
            <w:vAlign w:val="center"/>
          </w:tcPr>
          <w:p>
            <w:pPr>
              <w:jc w:val="center"/>
              <w:rPr>
                <w:rFonts w:ascii="宋体" w:hAnsi="宋体" w:eastAsia="宋体"/>
                <w:b/>
                <w:color w:val="auto"/>
                <w:sz w:val="21"/>
                <w:szCs w:val="21"/>
              </w:rPr>
            </w:pPr>
            <w:r>
              <w:rPr>
                <w:rFonts w:ascii="宋体" w:hAnsi="宋体" w:eastAsia="宋体"/>
                <w:b/>
                <w:color w:val="auto"/>
                <w:sz w:val="21"/>
                <w:szCs w:val="21"/>
              </w:rPr>
              <w:t>火</w:t>
            </w:r>
            <w:r>
              <w:rPr>
                <w:rFonts w:hint="eastAsia" w:ascii="宋体" w:hAnsi="宋体" w:eastAsia="宋体"/>
                <w:b/>
                <w:color w:val="auto"/>
                <w:sz w:val="21"/>
                <w:szCs w:val="21"/>
              </w:rPr>
              <w:t>灾危险性分类</w:t>
            </w:r>
          </w:p>
        </w:tc>
        <w:tc>
          <w:tcPr>
            <w:tcW w:w="1137" w:type="dxa"/>
            <w:shd w:val="clear" w:color="auto" w:fill="FFFFFF"/>
            <w:vAlign w:val="center"/>
          </w:tcPr>
          <w:p>
            <w:pPr>
              <w:jc w:val="center"/>
              <w:rPr>
                <w:rFonts w:ascii="宋体" w:hAnsi="宋体" w:eastAsia="宋体"/>
                <w:b/>
                <w:color w:val="auto"/>
                <w:sz w:val="21"/>
                <w:szCs w:val="21"/>
              </w:rPr>
            </w:pPr>
            <w:r>
              <w:rPr>
                <w:rFonts w:ascii="宋体" w:hAnsi="宋体" w:eastAsia="宋体"/>
                <w:b/>
                <w:color w:val="auto"/>
                <w:sz w:val="21"/>
                <w:szCs w:val="21"/>
              </w:rPr>
              <w:t>年用量</w:t>
            </w:r>
            <w:r>
              <w:rPr>
                <w:rFonts w:hint="eastAsia" w:ascii="宋体" w:hAnsi="宋体" w:eastAsia="宋体"/>
                <w:b/>
                <w:color w:val="auto"/>
                <w:sz w:val="21"/>
                <w:szCs w:val="21"/>
                <w:lang w:eastAsia="zh-CN"/>
              </w:rPr>
              <w:t>/生产量(t)</w:t>
            </w:r>
          </w:p>
        </w:tc>
        <w:tc>
          <w:tcPr>
            <w:tcW w:w="1501" w:type="dxa"/>
            <w:shd w:val="clear" w:color="auto" w:fill="FFFFFF"/>
            <w:vAlign w:val="center"/>
          </w:tcPr>
          <w:p>
            <w:pPr>
              <w:jc w:val="center"/>
              <w:rPr>
                <w:rFonts w:ascii="宋体" w:hAnsi="宋体" w:eastAsia="宋体"/>
                <w:b/>
                <w:color w:val="auto"/>
                <w:sz w:val="21"/>
                <w:szCs w:val="21"/>
              </w:rPr>
            </w:pPr>
            <w:r>
              <w:rPr>
                <w:rFonts w:ascii="宋体" w:hAnsi="宋体" w:eastAsia="宋体"/>
                <w:b/>
                <w:color w:val="auto"/>
                <w:sz w:val="21"/>
                <w:szCs w:val="21"/>
              </w:rPr>
              <w:t>储存地点</w:t>
            </w:r>
          </w:p>
        </w:tc>
        <w:tc>
          <w:tcPr>
            <w:tcW w:w="1007" w:type="dxa"/>
            <w:shd w:val="clear" w:color="auto" w:fill="FFFFFF"/>
            <w:vAlign w:val="center"/>
          </w:tcPr>
          <w:p>
            <w:pPr>
              <w:jc w:val="center"/>
              <w:rPr>
                <w:rFonts w:ascii="宋体" w:hAnsi="宋体" w:eastAsia="宋体"/>
                <w:b/>
                <w:color w:val="auto"/>
                <w:sz w:val="21"/>
                <w:szCs w:val="21"/>
              </w:rPr>
            </w:pPr>
            <w:r>
              <w:rPr>
                <w:rFonts w:hint="eastAsia" w:ascii="宋体" w:hAnsi="宋体" w:eastAsia="宋体"/>
                <w:b/>
                <w:color w:val="auto"/>
                <w:sz w:val="21"/>
                <w:szCs w:val="21"/>
                <w:lang w:eastAsia="zh-CN"/>
              </w:rPr>
              <w:t>最大设计储存量（</w:t>
            </w:r>
            <w:r>
              <w:rPr>
                <w:rFonts w:hint="eastAsia" w:ascii="宋体" w:hAnsi="宋体" w:eastAsia="宋体"/>
                <w:b/>
                <w:color w:val="auto"/>
                <w:sz w:val="21"/>
                <w:szCs w:val="21"/>
                <w:lang w:val="en-US" w:eastAsia="zh-CN"/>
              </w:rPr>
              <w:t>t</w:t>
            </w:r>
            <w:r>
              <w:rPr>
                <w:rFonts w:hint="eastAsia" w:ascii="宋体" w:hAnsi="宋体" w:eastAsia="宋体"/>
                <w:b/>
                <w:color w:val="auto"/>
                <w:sz w:val="21"/>
                <w:szCs w:val="21"/>
                <w:lang w:eastAsia="zh-CN"/>
              </w:rPr>
              <w:t>）</w:t>
            </w:r>
          </w:p>
        </w:tc>
        <w:tc>
          <w:tcPr>
            <w:tcW w:w="1007" w:type="dxa"/>
            <w:shd w:val="clear" w:color="auto" w:fill="FFFFFF"/>
            <w:vAlign w:val="center"/>
          </w:tcPr>
          <w:p>
            <w:pPr>
              <w:jc w:val="center"/>
              <w:rPr>
                <w:rFonts w:ascii="宋体" w:hAnsi="宋体" w:eastAsia="宋体"/>
                <w:b/>
                <w:color w:val="auto"/>
                <w:sz w:val="21"/>
                <w:szCs w:val="21"/>
              </w:rPr>
            </w:pPr>
            <w:r>
              <w:rPr>
                <w:rFonts w:hint="eastAsia" w:ascii="宋体" w:hAnsi="宋体" w:eastAsia="宋体"/>
                <w:b/>
                <w:color w:val="auto"/>
                <w:sz w:val="21"/>
                <w:szCs w:val="21"/>
              </w:rPr>
              <w:t>备注</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454" w:hRule="atLeast"/>
          <w:jc w:val="center"/>
        </w:trPr>
        <w:tc>
          <w:tcPr>
            <w:tcW w:w="568" w:type="dxa"/>
            <w:shd w:val="clear" w:color="auto" w:fill="FFFFFF"/>
            <w:vAlign w:val="center"/>
          </w:tcPr>
          <w:p>
            <w:pPr>
              <w:jc w:val="center"/>
              <w:rPr>
                <w:rFonts w:ascii="宋体" w:hAnsi="宋体" w:eastAsia="宋体"/>
                <w:color w:val="auto"/>
                <w:sz w:val="21"/>
                <w:szCs w:val="21"/>
              </w:rPr>
            </w:pPr>
            <w:r>
              <w:rPr>
                <w:rFonts w:ascii="宋体" w:hAnsi="宋体" w:eastAsia="宋体"/>
                <w:color w:val="auto"/>
                <w:sz w:val="21"/>
                <w:szCs w:val="21"/>
              </w:rPr>
              <w:t>1</w:t>
            </w:r>
          </w:p>
        </w:tc>
        <w:tc>
          <w:tcPr>
            <w:tcW w:w="1483"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rPr>
              <w:t>二甲苯异构体混合物</w:t>
            </w:r>
          </w:p>
        </w:tc>
        <w:tc>
          <w:tcPr>
            <w:tcW w:w="921"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rPr>
              <w:t>358</w:t>
            </w:r>
          </w:p>
        </w:tc>
        <w:tc>
          <w:tcPr>
            <w:tcW w:w="949" w:type="dxa"/>
            <w:shd w:val="clear" w:color="auto" w:fill="FFFFFF"/>
            <w:vAlign w:val="center"/>
          </w:tcPr>
          <w:p>
            <w:pPr>
              <w:jc w:val="center"/>
              <w:rPr>
                <w:rFonts w:ascii="宋体" w:hAnsi="宋体" w:eastAsia="宋体"/>
                <w:color w:val="auto"/>
                <w:sz w:val="21"/>
                <w:szCs w:val="21"/>
                <w:lang w:eastAsia="zh-CN"/>
              </w:rPr>
            </w:pPr>
            <w:r>
              <w:rPr>
                <w:rFonts w:ascii="宋体" w:hAnsi="宋体" w:eastAsia="宋体" w:cs="Arial"/>
                <w:color w:val="auto"/>
                <w:spacing w:val="10"/>
                <w:sz w:val="21"/>
                <w:szCs w:val="21"/>
              </w:rPr>
              <w:t>25</w:t>
            </w:r>
          </w:p>
        </w:tc>
        <w:tc>
          <w:tcPr>
            <w:tcW w:w="1041" w:type="dxa"/>
            <w:shd w:val="clear" w:color="auto" w:fill="FFFFFF"/>
            <w:vAlign w:val="center"/>
          </w:tcPr>
          <w:p>
            <w:pPr>
              <w:jc w:val="center"/>
              <w:rPr>
                <w:rFonts w:ascii="宋体" w:hAnsi="宋体" w:eastAsia="宋体"/>
                <w:color w:val="auto"/>
                <w:sz w:val="21"/>
                <w:szCs w:val="21"/>
              </w:rPr>
            </w:pPr>
            <w:r>
              <w:rPr>
                <w:rFonts w:ascii="宋体" w:hAnsi="宋体" w:eastAsia="宋体"/>
                <w:color w:val="auto"/>
                <w:sz w:val="21"/>
                <w:szCs w:val="21"/>
              </w:rPr>
              <w:t>甲</w:t>
            </w:r>
          </w:p>
        </w:tc>
        <w:tc>
          <w:tcPr>
            <w:tcW w:w="1137" w:type="dxa"/>
            <w:shd w:val="clear" w:color="auto" w:fill="FFFFFF"/>
            <w:vAlign w:val="center"/>
          </w:tcPr>
          <w:p>
            <w:pPr>
              <w:jc w:val="center"/>
              <w:rPr>
                <w:rFonts w:ascii="宋体" w:hAnsi="宋体" w:eastAsia="宋体"/>
                <w:color w:val="auto"/>
                <w:sz w:val="21"/>
                <w:szCs w:val="21"/>
              </w:rPr>
            </w:pPr>
            <w:r>
              <w:rPr>
                <w:rFonts w:ascii="宋体" w:hAnsi="宋体" w:eastAsia="宋体"/>
                <w:color w:val="auto"/>
                <w:sz w:val="21"/>
                <w:szCs w:val="21"/>
              </w:rPr>
              <w:t>450</w:t>
            </w:r>
          </w:p>
        </w:tc>
        <w:tc>
          <w:tcPr>
            <w:tcW w:w="1501"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rPr>
              <w:t>甲类仓库</w:t>
            </w:r>
          </w:p>
        </w:tc>
        <w:tc>
          <w:tcPr>
            <w:tcW w:w="1007" w:type="dxa"/>
            <w:shd w:val="clear" w:color="auto" w:fill="FFFFFF"/>
            <w:vAlign w:val="center"/>
          </w:tcPr>
          <w:p>
            <w:pPr>
              <w:jc w:val="center"/>
              <w:rPr>
                <w:rFonts w:ascii="宋体" w:hAnsi="宋体" w:eastAsia="宋体"/>
                <w:color w:val="auto"/>
                <w:sz w:val="21"/>
                <w:szCs w:val="21"/>
              </w:rPr>
            </w:pPr>
            <w:r>
              <w:rPr>
                <w:rFonts w:ascii="宋体" w:hAnsi="宋体" w:eastAsia="宋体"/>
                <w:color w:val="auto"/>
                <w:sz w:val="21"/>
                <w:szCs w:val="21"/>
              </w:rPr>
              <w:t>20</w:t>
            </w:r>
          </w:p>
        </w:tc>
        <w:tc>
          <w:tcPr>
            <w:tcW w:w="1007"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rPr>
              <w:t>生产原料</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454" w:hRule="atLeast"/>
          <w:jc w:val="center"/>
        </w:trPr>
        <w:tc>
          <w:tcPr>
            <w:tcW w:w="568" w:type="dxa"/>
            <w:shd w:val="clear" w:color="auto" w:fill="FFFFFF"/>
            <w:vAlign w:val="center"/>
          </w:tcPr>
          <w:p>
            <w:pPr>
              <w:jc w:val="center"/>
              <w:rPr>
                <w:rFonts w:ascii="宋体" w:hAnsi="宋体" w:eastAsia="宋体"/>
                <w:color w:val="auto"/>
                <w:sz w:val="21"/>
                <w:szCs w:val="21"/>
              </w:rPr>
            </w:pPr>
            <w:r>
              <w:rPr>
                <w:rFonts w:ascii="宋体" w:hAnsi="宋体" w:eastAsia="宋体"/>
                <w:color w:val="auto"/>
                <w:sz w:val="21"/>
                <w:szCs w:val="21"/>
              </w:rPr>
              <w:t>2</w:t>
            </w:r>
          </w:p>
        </w:tc>
        <w:tc>
          <w:tcPr>
            <w:tcW w:w="1483"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rPr>
              <w:t>乙酸正丁酯</w:t>
            </w:r>
          </w:p>
        </w:tc>
        <w:tc>
          <w:tcPr>
            <w:tcW w:w="921"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rPr>
              <w:t>2657</w:t>
            </w:r>
          </w:p>
        </w:tc>
        <w:tc>
          <w:tcPr>
            <w:tcW w:w="949" w:type="dxa"/>
            <w:shd w:val="clear" w:color="auto" w:fill="FFFFFF"/>
            <w:vAlign w:val="center"/>
          </w:tcPr>
          <w:p>
            <w:pPr>
              <w:jc w:val="center"/>
              <w:rPr>
                <w:rFonts w:ascii="宋体" w:hAnsi="宋体" w:eastAsia="宋体"/>
                <w:color w:val="auto"/>
                <w:sz w:val="21"/>
                <w:szCs w:val="21"/>
                <w:lang w:eastAsia="zh-CN"/>
              </w:rPr>
            </w:pPr>
            <w:r>
              <w:rPr>
                <w:rFonts w:hint="eastAsia" w:ascii="宋体" w:hAnsi="宋体" w:eastAsia="宋体"/>
                <w:color w:val="auto"/>
                <w:spacing w:val="10"/>
                <w:sz w:val="21"/>
                <w:szCs w:val="21"/>
              </w:rPr>
              <w:t>22</w:t>
            </w:r>
          </w:p>
        </w:tc>
        <w:tc>
          <w:tcPr>
            <w:tcW w:w="1041" w:type="dxa"/>
            <w:shd w:val="clear" w:color="auto" w:fill="FFFFFF"/>
            <w:vAlign w:val="center"/>
          </w:tcPr>
          <w:p>
            <w:pPr>
              <w:jc w:val="center"/>
              <w:rPr>
                <w:rFonts w:ascii="宋体" w:hAnsi="宋体" w:eastAsia="宋体"/>
                <w:color w:val="auto"/>
                <w:sz w:val="21"/>
                <w:szCs w:val="21"/>
              </w:rPr>
            </w:pPr>
            <w:r>
              <w:rPr>
                <w:rFonts w:ascii="宋体" w:hAnsi="宋体" w:eastAsia="宋体"/>
                <w:color w:val="auto"/>
                <w:sz w:val="21"/>
                <w:szCs w:val="21"/>
              </w:rPr>
              <w:t>甲</w:t>
            </w:r>
          </w:p>
        </w:tc>
        <w:tc>
          <w:tcPr>
            <w:tcW w:w="1137" w:type="dxa"/>
            <w:shd w:val="clear" w:color="auto" w:fill="FFFFFF"/>
            <w:vAlign w:val="center"/>
          </w:tcPr>
          <w:p>
            <w:pPr>
              <w:jc w:val="center"/>
              <w:rPr>
                <w:rFonts w:ascii="宋体" w:hAnsi="宋体" w:eastAsia="宋体"/>
                <w:color w:val="auto"/>
                <w:sz w:val="21"/>
                <w:szCs w:val="21"/>
              </w:rPr>
            </w:pPr>
            <w:r>
              <w:rPr>
                <w:rFonts w:ascii="宋体" w:hAnsi="宋体" w:eastAsia="宋体"/>
                <w:color w:val="auto"/>
                <w:sz w:val="21"/>
                <w:szCs w:val="21"/>
              </w:rPr>
              <w:t>300</w:t>
            </w:r>
          </w:p>
        </w:tc>
        <w:tc>
          <w:tcPr>
            <w:tcW w:w="1501"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rPr>
              <w:t>甲类仓库</w:t>
            </w:r>
          </w:p>
        </w:tc>
        <w:tc>
          <w:tcPr>
            <w:tcW w:w="1007" w:type="dxa"/>
            <w:shd w:val="clear" w:color="auto" w:fill="FFFFFF"/>
            <w:vAlign w:val="center"/>
          </w:tcPr>
          <w:p>
            <w:pPr>
              <w:jc w:val="center"/>
              <w:rPr>
                <w:rFonts w:ascii="宋体" w:hAnsi="宋体" w:eastAsia="宋体"/>
                <w:color w:val="auto"/>
                <w:sz w:val="21"/>
                <w:szCs w:val="21"/>
              </w:rPr>
            </w:pPr>
            <w:r>
              <w:rPr>
                <w:rFonts w:ascii="宋体" w:hAnsi="宋体" w:eastAsia="宋体"/>
                <w:color w:val="auto"/>
                <w:sz w:val="21"/>
                <w:szCs w:val="21"/>
              </w:rPr>
              <w:t>20</w:t>
            </w:r>
          </w:p>
        </w:tc>
        <w:tc>
          <w:tcPr>
            <w:tcW w:w="1007"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rPr>
              <w:t>生产原料</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454" w:hRule="atLeast"/>
          <w:jc w:val="center"/>
        </w:trPr>
        <w:tc>
          <w:tcPr>
            <w:tcW w:w="568" w:type="dxa"/>
            <w:shd w:val="clear" w:color="auto" w:fill="FFFFFF"/>
            <w:vAlign w:val="center"/>
          </w:tcPr>
          <w:p>
            <w:pPr>
              <w:jc w:val="center"/>
              <w:rPr>
                <w:rFonts w:ascii="宋体" w:hAnsi="宋体" w:eastAsia="宋体"/>
                <w:color w:val="auto"/>
                <w:sz w:val="21"/>
                <w:szCs w:val="21"/>
              </w:rPr>
            </w:pPr>
            <w:r>
              <w:rPr>
                <w:rFonts w:ascii="宋体" w:hAnsi="宋体" w:eastAsia="宋体"/>
                <w:color w:val="auto"/>
                <w:sz w:val="21"/>
                <w:szCs w:val="21"/>
              </w:rPr>
              <w:t>3</w:t>
            </w:r>
          </w:p>
        </w:tc>
        <w:tc>
          <w:tcPr>
            <w:tcW w:w="1483"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rPr>
              <w:t>环己酮</w:t>
            </w:r>
          </w:p>
        </w:tc>
        <w:tc>
          <w:tcPr>
            <w:tcW w:w="921" w:type="dxa"/>
            <w:shd w:val="clear" w:color="auto" w:fill="FFFFFF"/>
            <w:vAlign w:val="center"/>
          </w:tcPr>
          <w:p>
            <w:pPr>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952</w:t>
            </w:r>
          </w:p>
        </w:tc>
        <w:tc>
          <w:tcPr>
            <w:tcW w:w="949" w:type="dxa"/>
            <w:shd w:val="clear" w:color="auto" w:fill="FFFFFF"/>
            <w:vAlign w:val="center"/>
          </w:tcPr>
          <w:p>
            <w:pPr>
              <w:jc w:val="center"/>
              <w:rPr>
                <w:rFonts w:ascii="宋体" w:hAnsi="宋体" w:eastAsia="宋体"/>
                <w:color w:val="auto"/>
                <w:sz w:val="21"/>
                <w:szCs w:val="21"/>
                <w:lang w:eastAsia="zh-CN"/>
              </w:rPr>
            </w:pPr>
            <w:r>
              <w:rPr>
                <w:rFonts w:hint="eastAsia" w:ascii="宋体" w:hAnsi="宋体" w:eastAsia="宋体"/>
                <w:color w:val="auto"/>
                <w:sz w:val="21"/>
                <w:szCs w:val="21"/>
              </w:rPr>
              <w:t>43</w:t>
            </w:r>
          </w:p>
        </w:tc>
        <w:tc>
          <w:tcPr>
            <w:tcW w:w="1041"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rPr>
              <w:t>乙</w:t>
            </w:r>
          </w:p>
        </w:tc>
        <w:tc>
          <w:tcPr>
            <w:tcW w:w="1137" w:type="dxa"/>
            <w:shd w:val="clear" w:color="auto" w:fill="FFFFFF"/>
            <w:vAlign w:val="center"/>
          </w:tcPr>
          <w:p>
            <w:pPr>
              <w:jc w:val="center"/>
              <w:rPr>
                <w:rFonts w:ascii="宋体" w:hAnsi="宋体" w:eastAsia="宋体"/>
                <w:color w:val="auto"/>
                <w:sz w:val="21"/>
                <w:szCs w:val="21"/>
              </w:rPr>
            </w:pPr>
            <w:r>
              <w:rPr>
                <w:rFonts w:ascii="宋体" w:hAnsi="宋体" w:eastAsia="宋体"/>
                <w:color w:val="auto"/>
                <w:sz w:val="21"/>
                <w:szCs w:val="21"/>
              </w:rPr>
              <w:t>150</w:t>
            </w:r>
          </w:p>
        </w:tc>
        <w:tc>
          <w:tcPr>
            <w:tcW w:w="1501"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rPr>
              <w:t>甲类仓库</w:t>
            </w:r>
          </w:p>
        </w:tc>
        <w:tc>
          <w:tcPr>
            <w:tcW w:w="1007" w:type="dxa"/>
            <w:shd w:val="clear" w:color="auto" w:fill="FFFFFF"/>
            <w:vAlign w:val="center"/>
          </w:tcPr>
          <w:p>
            <w:pPr>
              <w:jc w:val="center"/>
              <w:rPr>
                <w:rFonts w:ascii="宋体" w:hAnsi="宋体" w:eastAsia="宋体"/>
                <w:color w:val="auto"/>
                <w:sz w:val="21"/>
                <w:szCs w:val="21"/>
              </w:rPr>
            </w:pPr>
            <w:r>
              <w:rPr>
                <w:rFonts w:ascii="宋体" w:hAnsi="宋体" w:eastAsia="宋体"/>
                <w:color w:val="auto"/>
                <w:sz w:val="21"/>
                <w:szCs w:val="21"/>
              </w:rPr>
              <w:t>20</w:t>
            </w:r>
          </w:p>
        </w:tc>
        <w:tc>
          <w:tcPr>
            <w:tcW w:w="1007"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rPr>
              <w:t>生产原料</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454" w:hRule="atLeast"/>
          <w:jc w:val="center"/>
        </w:trPr>
        <w:tc>
          <w:tcPr>
            <w:tcW w:w="568" w:type="dxa"/>
            <w:shd w:val="clear" w:color="auto" w:fill="FFFFFF"/>
            <w:vAlign w:val="center"/>
          </w:tcPr>
          <w:p>
            <w:pPr>
              <w:jc w:val="center"/>
              <w:rPr>
                <w:rFonts w:ascii="宋体" w:hAnsi="宋体" w:eastAsia="宋体"/>
                <w:color w:val="auto"/>
                <w:sz w:val="21"/>
                <w:szCs w:val="21"/>
              </w:rPr>
            </w:pPr>
            <w:r>
              <w:rPr>
                <w:rFonts w:ascii="宋体" w:hAnsi="宋体" w:eastAsia="宋体"/>
                <w:color w:val="auto"/>
                <w:sz w:val="21"/>
                <w:szCs w:val="21"/>
              </w:rPr>
              <w:t>4</w:t>
            </w:r>
          </w:p>
        </w:tc>
        <w:tc>
          <w:tcPr>
            <w:tcW w:w="1483"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rPr>
              <w:t>苯乙烯【抑制了的】</w:t>
            </w:r>
          </w:p>
        </w:tc>
        <w:tc>
          <w:tcPr>
            <w:tcW w:w="921"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rPr>
              <w:t>96</w:t>
            </w:r>
          </w:p>
        </w:tc>
        <w:tc>
          <w:tcPr>
            <w:tcW w:w="949" w:type="dxa"/>
            <w:shd w:val="clear" w:color="auto" w:fill="FFFFFF"/>
            <w:vAlign w:val="center"/>
          </w:tcPr>
          <w:p>
            <w:pPr>
              <w:jc w:val="center"/>
              <w:rPr>
                <w:rFonts w:ascii="宋体" w:hAnsi="宋体" w:eastAsia="宋体"/>
                <w:color w:val="auto"/>
                <w:sz w:val="21"/>
                <w:szCs w:val="21"/>
                <w:lang w:eastAsia="zh-CN"/>
              </w:rPr>
            </w:pPr>
            <w:r>
              <w:rPr>
                <w:rFonts w:hint="eastAsia" w:ascii="宋体" w:hAnsi="宋体" w:eastAsia="宋体"/>
                <w:color w:val="auto"/>
                <w:sz w:val="21"/>
                <w:szCs w:val="21"/>
              </w:rPr>
              <w:t>34.4</w:t>
            </w:r>
          </w:p>
        </w:tc>
        <w:tc>
          <w:tcPr>
            <w:tcW w:w="1041"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rPr>
              <w:t>乙</w:t>
            </w:r>
          </w:p>
        </w:tc>
        <w:tc>
          <w:tcPr>
            <w:tcW w:w="1137" w:type="dxa"/>
            <w:shd w:val="clear" w:color="auto" w:fill="FFFFFF"/>
            <w:vAlign w:val="center"/>
          </w:tcPr>
          <w:p>
            <w:pPr>
              <w:jc w:val="center"/>
              <w:rPr>
                <w:rFonts w:ascii="宋体" w:hAnsi="宋体" w:eastAsia="宋体"/>
                <w:color w:val="auto"/>
                <w:sz w:val="21"/>
                <w:szCs w:val="21"/>
              </w:rPr>
            </w:pPr>
            <w:r>
              <w:rPr>
                <w:rFonts w:ascii="宋体" w:hAnsi="宋体" w:eastAsia="宋体"/>
                <w:color w:val="auto"/>
                <w:sz w:val="21"/>
                <w:szCs w:val="21"/>
              </w:rPr>
              <w:t>50</w:t>
            </w:r>
          </w:p>
        </w:tc>
        <w:tc>
          <w:tcPr>
            <w:tcW w:w="1501"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rPr>
              <w:t>甲类仓库</w:t>
            </w:r>
          </w:p>
        </w:tc>
        <w:tc>
          <w:tcPr>
            <w:tcW w:w="1007" w:type="dxa"/>
            <w:shd w:val="clear" w:color="auto" w:fill="FFFFFF"/>
            <w:vAlign w:val="center"/>
          </w:tcPr>
          <w:p>
            <w:pPr>
              <w:jc w:val="center"/>
              <w:rPr>
                <w:rFonts w:ascii="宋体" w:hAnsi="宋体" w:eastAsia="宋体"/>
                <w:color w:val="auto"/>
                <w:sz w:val="21"/>
                <w:szCs w:val="21"/>
              </w:rPr>
            </w:pPr>
            <w:r>
              <w:rPr>
                <w:rFonts w:ascii="宋体" w:hAnsi="宋体" w:eastAsia="宋体"/>
                <w:color w:val="auto"/>
                <w:sz w:val="21"/>
                <w:szCs w:val="21"/>
              </w:rPr>
              <w:t>1</w:t>
            </w:r>
          </w:p>
        </w:tc>
        <w:tc>
          <w:tcPr>
            <w:tcW w:w="1007"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rPr>
              <w:t>生产原料</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454" w:hRule="atLeast"/>
          <w:jc w:val="center"/>
        </w:trPr>
        <w:tc>
          <w:tcPr>
            <w:tcW w:w="568" w:type="dxa"/>
            <w:shd w:val="clear" w:color="auto" w:fill="FFFFFF"/>
            <w:vAlign w:val="center"/>
          </w:tcPr>
          <w:p>
            <w:pPr>
              <w:jc w:val="center"/>
              <w:rPr>
                <w:rFonts w:ascii="宋体" w:hAnsi="宋体" w:eastAsia="宋体"/>
                <w:color w:val="auto"/>
                <w:sz w:val="21"/>
                <w:szCs w:val="21"/>
              </w:rPr>
            </w:pPr>
            <w:r>
              <w:rPr>
                <w:rFonts w:ascii="宋体" w:hAnsi="宋体" w:eastAsia="宋体"/>
                <w:color w:val="auto"/>
                <w:sz w:val="21"/>
                <w:szCs w:val="21"/>
              </w:rPr>
              <w:t>5</w:t>
            </w:r>
          </w:p>
        </w:tc>
        <w:tc>
          <w:tcPr>
            <w:tcW w:w="1483"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rPr>
              <w:t>乙酸乙酯</w:t>
            </w:r>
          </w:p>
        </w:tc>
        <w:tc>
          <w:tcPr>
            <w:tcW w:w="921"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rPr>
              <w:t>2651</w:t>
            </w:r>
          </w:p>
        </w:tc>
        <w:tc>
          <w:tcPr>
            <w:tcW w:w="949" w:type="dxa"/>
            <w:shd w:val="clear" w:color="auto" w:fill="FFFFFF"/>
            <w:vAlign w:val="center"/>
          </w:tcPr>
          <w:p>
            <w:pPr>
              <w:jc w:val="center"/>
              <w:rPr>
                <w:rFonts w:ascii="宋体" w:hAnsi="宋体" w:eastAsia="宋体"/>
                <w:color w:val="auto"/>
                <w:sz w:val="21"/>
                <w:szCs w:val="21"/>
                <w:lang w:eastAsia="zh-CN"/>
              </w:rPr>
            </w:pPr>
            <w:r>
              <w:rPr>
                <w:rFonts w:ascii="宋体" w:hAnsi="宋体" w:eastAsia="宋体" w:cs="Arial"/>
                <w:color w:val="auto"/>
                <w:spacing w:val="10"/>
                <w:sz w:val="21"/>
                <w:szCs w:val="21"/>
              </w:rPr>
              <w:t>-4</w:t>
            </w:r>
          </w:p>
        </w:tc>
        <w:tc>
          <w:tcPr>
            <w:tcW w:w="1041" w:type="dxa"/>
            <w:shd w:val="clear" w:color="auto" w:fill="FFFFFF"/>
            <w:vAlign w:val="center"/>
          </w:tcPr>
          <w:p>
            <w:pPr>
              <w:jc w:val="center"/>
              <w:rPr>
                <w:rFonts w:ascii="宋体" w:hAnsi="宋体" w:eastAsia="宋体"/>
                <w:color w:val="auto"/>
                <w:sz w:val="21"/>
                <w:szCs w:val="21"/>
              </w:rPr>
            </w:pPr>
            <w:r>
              <w:rPr>
                <w:rFonts w:ascii="宋体" w:hAnsi="宋体" w:eastAsia="宋体"/>
                <w:color w:val="auto"/>
                <w:sz w:val="21"/>
                <w:szCs w:val="21"/>
              </w:rPr>
              <w:t>甲</w:t>
            </w:r>
          </w:p>
        </w:tc>
        <w:tc>
          <w:tcPr>
            <w:tcW w:w="1137" w:type="dxa"/>
            <w:shd w:val="clear" w:color="auto" w:fill="FFFFFF"/>
            <w:vAlign w:val="center"/>
          </w:tcPr>
          <w:p>
            <w:pPr>
              <w:jc w:val="center"/>
              <w:rPr>
                <w:rFonts w:ascii="宋体" w:hAnsi="宋体" w:eastAsia="宋体"/>
                <w:color w:val="auto"/>
                <w:sz w:val="21"/>
                <w:szCs w:val="21"/>
              </w:rPr>
            </w:pPr>
            <w:r>
              <w:rPr>
                <w:rFonts w:ascii="宋体" w:hAnsi="宋体" w:eastAsia="宋体"/>
                <w:color w:val="auto"/>
                <w:sz w:val="21"/>
                <w:szCs w:val="21"/>
              </w:rPr>
              <w:t>100</w:t>
            </w:r>
          </w:p>
        </w:tc>
        <w:tc>
          <w:tcPr>
            <w:tcW w:w="1501"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rPr>
              <w:t>甲类仓库</w:t>
            </w:r>
          </w:p>
        </w:tc>
        <w:tc>
          <w:tcPr>
            <w:tcW w:w="1007" w:type="dxa"/>
            <w:shd w:val="clear" w:color="auto" w:fill="FFFFFF"/>
            <w:vAlign w:val="center"/>
          </w:tcPr>
          <w:p>
            <w:pPr>
              <w:jc w:val="center"/>
              <w:rPr>
                <w:rFonts w:ascii="宋体" w:hAnsi="宋体" w:eastAsia="宋体"/>
                <w:color w:val="auto"/>
                <w:sz w:val="21"/>
                <w:szCs w:val="21"/>
              </w:rPr>
            </w:pPr>
            <w:r>
              <w:rPr>
                <w:rFonts w:ascii="宋体" w:hAnsi="宋体" w:eastAsia="宋体"/>
                <w:color w:val="auto"/>
                <w:sz w:val="21"/>
                <w:szCs w:val="21"/>
              </w:rPr>
              <w:t>10</w:t>
            </w:r>
          </w:p>
        </w:tc>
        <w:tc>
          <w:tcPr>
            <w:tcW w:w="1007"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rPr>
              <w:t>生产原料</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454" w:hRule="atLeast"/>
          <w:jc w:val="center"/>
        </w:trPr>
        <w:tc>
          <w:tcPr>
            <w:tcW w:w="568" w:type="dxa"/>
            <w:shd w:val="clear" w:color="auto" w:fill="FFFFFF"/>
            <w:vAlign w:val="center"/>
          </w:tcPr>
          <w:p>
            <w:pPr>
              <w:jc w:val="center"/>
              <w:rPr>
                <w:rFonts w:ascii="宋体" w:hAnsi="宋体" w:eastAsia="宋体"/>
                <w:color w:val="auto"/>
                <w:sz w:val="21"/>
                <w:szCs w:val="21"/>
              </w:rPr>
            </w:pPr>
            <w:r>
              <w:rPr>
                <w:rFonts w:ascii="宋体" w:hAnsi="宋体" w:eastAsia="宋体"/>
                <w:color w:val="auto"/>
                <w:sz w:val="21"/>
                <w:szCs w:val="21"/>
              </w:rPr>
              <w:t>6</w:t>
            </w:r>
          </w:p>
        </w:tc>
        <w:tc>
          <w:tcPr>
            <w:tcW w:w="1483"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rPr>
              <w:t>醇酸树脂</w:t>
            </w:r>
          </w:p>
        </w:tc>
        <w:tc>
          <w:tcPr>
            <w:tcW w:w="921"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rPr>
              <w:t>2828</w:t>
            </w:r>
          </w:p>
        </w:tc>
        <w:tc>
          <w:tcPr>
            <w:tcW w:w="949" w:type="dxa"/>
            <w:shd w:val="clear" w:color="auto" w:fill="FFFFFF"/>
            <w:vAlign w:val="center"/>
          </w:tcPr>
          <w:p>
            <w:pPr>
              <w:jc w:val="center"/>
              <w:rPr>
                <w:rFonts w:ascii="宋体" w:hAnsi="宋体" w:eastAsia="宋体"/>
                <w:color w:val="auto"/>
                <w:sz w:val="21"/>
                <w:szCs w:val="21"/>
                <w:lang w:eastAsia="zh-CN"/>
              </w:rPr>
            </w:pPr>
            <w:r>
              <w:rPr>
                <w:rFonts w:hint="eastAsia" w:ascii="宋体" w:hAnsi="宋体" w:eastAsia="宋体" w:cs="Arial"/>
                <w:color w:val="auto"/>
                <w:spacing w:val="10"/>
                <w:sz w:val="21"/>
                <w:szCs w:val="21"/>
              </w:rPr>
              <w:t>30</w:t>
            </w:r>
          </w:p>
        </w:tc>
        <w:tc>
          <w:tcPr>
            <w:tcW w:w="1041" w:type="dxa"/>
            <w:shd w:val="clear" w:color="auto" w:fill="FFFFFF"/>
            <w:vAlign w:val="center"/>
          </w:tcPr>
          <w:p>
            <w:pPr>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乙</w:t>
            </w:r>
          </w:p>
        </w:tc>
        <w:tc>
          <w:tcPr>
            <w:tcW w:w="1137" w:type="dxa"/>
            <w:shd w:val="clear" w:color="auto" w:fill="FFFFFF"/>
            <w:vAlign w:val="center"/>
          </w:tcPr>
          <w:p>
            <w:pPr>
              <w:jc w:val="center"/>
              <w:rPr>
                <w:rFonts w:ascii="宋体" w:hAnsi="宋体" w:eastAsia="宋体"/>
                <w:color w:val="auto"/>
                <w:sz w:val="21"/>
                <w:szCs w:val="21"/>
              </w:rPr>
            </w:pPr>
            <w:r>
              <w:rPr>
                <w:rFonts w:ascii="宋体" w:hAnsi="宋体" w:eastAsia="宋体"/>
                <w:color w:val="auto"/>
                <w:sz w:val="21"/>
                <w:szCs w:val="21"/>
              </w:rPr>
              <w:t>300</w:t>
            </w:r>
          </w:p>
        </w:tc>
        <w:tc>
          <w:tcPr>
            <w:tcW w:w="1501"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rPr>
              <w:t>甲类仓库</w:t>
            </w:r>
          </w:p>
        </w:tc>
        <w:tc>
          <w:tcPr>
            <w:tcW w:w="1007" w:type="dxa"/>
            <w:shd w:val="clear" w:color="auto" w:fill="FFFFFF"/>
            <w:vAlign w:val="center"/>
          </w:tcPr>
          <w:p>
            <w:pPr>
              <w:jc w:val="center"/>
              <w:rPr>
                <w:rFonts w:ascii="宋体" w:hAnsi="宋体" w:eastAsia="宋体"/>
                <w:color w:val="auto"/>
                <w:sz w:val="21"/>
                <w:szCs w:val="21"/>
              </w:rPr>
            </w:pPr>
            <w:r>
              <w:rPr>
                <w:rFonts w:ascii="宋体" w:hAnsi="宋体" w:eastAsia="宋体"/>
                <w:color w:val="auto"/>
                <w:sz w:val="21"/>
                <w:szCs w:val="21"/>
              </w:rPr>
              <w:t>20</w:t>
            </w:r>
          </w:p>
        </w:tc>
        <w:tc>
          <w:tcPr>
            <w:tcW w:w="1007"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rPr>
              <w:t>生产原料</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454" w:hRule="atLeast"/>
          <w:jc w:val="center"/>
        </w:trPr>
        <w:tc>
          <w:tcPr>
            <w:tcW w:w="568"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rPr>
              <w:t>7</w:t>
            </w:r>
          </w:p>
        </w:tc>
        <w:tc>
          <w:tcPr>
            <w:tcW w:w="1483"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rPr>
              <w:t>硝化纤维素溶液</w:t>
            </w:r>
            <w:r>
              <w:rPr>
                <w:rFonts w:ascii="宋体" w:hAnsi="宋体" w:eastAsia="宋体"/>
                <w:color w:val="auto"/>
                <w:sz w:val="21"/>
                <w:szCs w:val="21"/>
              </w:rPr>
              <w:t>[</w:t>
            </w:r>
            <w:r>
              <w:rPr>
                <w:rFonts w:hint="eastAsia" w:ascii="宋体" w:hAnsi="宋体" w:eastAsia="宋体"/>
                <w:color w:val="auto"/>
                <w:sz w:val="21"/>
                <w:szCs w:val="21"/>
              </w:rPr>
              <w:t>含氮量≤</w:t>
            </w:r>
            <w:r>
              <w:rPr>
                <w:rFonts w:ascii="宋体" w:hAnsi="宋体" w:eastAsia="宋体"/>
                <w:color w:val="auto"/>
                <w:sz w:val="21"/>
                <w:szCs w:val="21"/>
              </w:rPr>
              <w:t>12.6%</w:t>
            </w:r>
            <w:r>
              <w:rPr>
                <w:rFonts w:hint="eastAsia" w:ascii="宋体" w:hAnsi="宋体" w:eastAsia="宋体"/>
                <w:color w:val="auto"/>
                <w:sz w:val="21"/>
                <w:szCs w:val="21"/>
              </w:rPr>
              <w:t>，含硝化纤维素≤</w:t>
            </w:r>
            <w:r>
              <w:rPr>
                <w:rFonts w:ascii="宋体" w:hAnsi="宋体" w:eastAsia="宋体"/>
                <w:color w:val="auto"/>
                <w:sz w:val="21"/>
                <w:szCs w:val="21"/>
              </w:rPr>
              <w:t>55%]</w:t>
            </w:r>
          </w:p>
        </w:tc>
        <w:tc>
          <w:tcPr>
            <w:tcW w:w="921"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rPr>
              <w:t>2208</w:t>
            </w:r>
          </w:p>
        </w:tc>
        <w:tc>
          <w:tcPr>
            <w:tcW w:w="949" w:type="dxa"/>
            <w:shd w:val="clear" w:color="auto" w:fill="FFFFFF"/>
            <w:vAlign w:val="center"/>
          </w:tcPr>
          <w:p>
            <w:pPr>
              <w:jc w:val="center"/>
              <w:rPr>
                <w:rFonts w:ascii="宋体" w:hAnsi="宋体" w:eastAsia="宋体"/>
                <w:color w:val="auto"/>
                <w:sz w:val="21"/>
                <w:szCs w:val="21"/>
                <w:lang w:eastAsia="zh-CN"/>
              </w:rPr>
            </w:pPr>
            <w:r>
              <w:rPr>
                <w:rFonts w:hint="eastAsia" w:ascii="宋体" w:hAnsi="宋体" w:eastAsia="宋体" w:cs="宋体"/>
                <w:color w:val="auto"/>
                <w:sz w:val="21"/>
                <w:szCs w:val="21"/>
                <w:lang w:eastAsia="zh-CN"/>
              </w:rPr>
              <w:t>≤</w:t>
            </w:r>
            <w:r>
              <w:rPr>
                <w:rFonts w:hint="eastAsia" w:ascii="宋体" w:hAnsi="宋体" w:eastAsia="宋体" w:cs="Arial"/>
                <w:color w:val="auto"/>
                <w:spacing w:val="10"/>
                <w:sz w:val="21"/>
                <w:szCs w:val="21"/>
              </w:rPr>
              <w:t>-17.8</w:t>
            </w:r>
          </w:p>
        </w:tc>
        <w:tc>
          <w:tcPr>
            <w:tcW w:w="1041" w:type="dxa"/>
            <w:shd w:val="clear" w:color="auto" w:fill="FFFFFF"/>
            <w:vAlign w:val="center"/>
          </w:tcPr>
          <w:p>
            <w:pPr>
              <w:jc w:val="center"/>
              <w:rPr>
                <w:rFonts w:ascii="宋体" w:hAnsi="宋体" w:eastAsia="宋体"/>
                <w:color w:val="auto"/>
                <w:sz w:val="21"/>
                <w:szCs w:val="21"/>
              </w:rPr>
            </w:pPr>
            <w:r>
              <w:rPr>
                <w:rFonts w:ascii="宋体" w:hAnsi="宋体" w:eastAsia="宋体"/>
                <w:color w:val="auto"/>
                <w:sz w:val="21"/>
                <w:szCs w:val="21"/>
              </w:rPr>
              <w:t>甲</w:t>
            </w:r>
          </w:p>
        </w:tc>
        <w:tc>
          <w:tcPr>
            <w:tcW w:w="1137" w:type="dxa"/>
            <w:shd w:val="clear" w:color="auto" w:fill="FFFFFF"/>
            <w:vAlign w:val="center"/>
          </w:tcPr>
          <w:p>
            <w:pPr>
              <w:jc w:val="center"/>
              <w:rPr>
                <w:rFonts w:ascii="宋体" w:hAnsi="宋体" w:eastAsia="宋体"/>
                <w:color w:val="auto"/>
                <w:sz w:val="21"/>
                <w:szCs w:val="21"/>
              </w:rPr>
            </w:pPr>
            <w:r>
              <w:rPr>
                <w:rFonts w:ascii="宋体" w:hAnsi="宋体" w:eastAsia="宋体"/>
                <w:color w:val="auto"/>
                <w:sz w:val="21"/>
                <w:szCs w:val="21"/>
              </w:rPr>
              <w:t>50</w:t>
            </w:r>
          </w:p>
        </w:tc>
        <w:tc>
          <w:tcPr>
            <w:tcW w:w="1501"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rPr>
              <w:t>甲类仓库</w:t>
            </w:r>
          </w:p>
        </w:tc>
        <w:tc>
          <w:tcPr>
            <w:tcW w:w="1007" w:type="dxa"/>
            <w:shd w:val="clear" w:color="auto" w:fill="FFFFFF"/>
            <w:vAlign w:val="center"/>
          </w:tcPr>
          <w:p>
            <w:pPr>
              <w:jc w:val="center"/>
              <w:rPr>
                <w:rFonts w:ascii="宋体" w:hAnsi="宋体" w:eastAsia="宋体"/>
                <w:color w:val="auto"/>
                <w:sz w:val="21"/>
                <w:szCs w:val="21"/>
              </w:rPr>
            </w:pPr>
            <w:r>
              <w:rPr>
                <w:rFonts w:ascii="宋体" w:hAnsi="宋体" w:eastAsia="宋体"/>
                <w:color w:val="auto"/>
                <w:sz w:val="21"/>
                <w:szCs w:val="21"/>
              </w:rPr>
              <w:t>1</w:t>
            </w:r>
          </w:p>
        </w:tc>
        <w:tc>
          <w:tcPr>
            <w:tcW w:w="1007"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rPr>
              <w:t>生产原料</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454" w:hRule="atLeast"/>
          <w:jc w:val="center"/>
        </w:trPr>
        <w:tc>
          <w:tcPr>
            <w:tcW w:w="568" w:type="dxa"/>
            <w:shd w:val="clear" w:color="auto" w:fill="FFFFFF"/>
            <w:vAlign w:val="center"/>
          </w:tcPr>
          <w:p>
            <w:pPr>
              <w:jc w:val="center"/>
              <w:rPr>
                <w:rFonts w:ascii="宋体" w:hAnsi="宋体" w:eastAsia="宋体"/>
                <w:color w:val="auto"/>
                <w:sz w:val="21"/>
                <w:szCs w:val="21"/>
              </w:rPr>
            </w:pPr>
            <w:r>
              <w:rPr>
                <w:rFonts w:ascii="宋体" w:hAnsi="宋体" w:eastAsia="宋体"/>
                <w:color w:val="auto"/>
                <w:sz w:val="21"/>
                <w:szCs w:val="21"/>
              </w:rPr>
              <w:t>8</w:t>
            </w:r>
          </w:p>
        </w:tc>
        <w:tc>
          <w:tcPr>
            <w:tcW w:w="1483"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rPr>
              <w:t>不饱和聚酯树脂</w:t>
            </w:r>
          </w:p>
        </w:tc>
        <w:tc>
          <w:tcPr>
            <w:tcW w:w="921"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rPr>
              <w:t>2828</w:t>
            </w:r>
          </w:p>
        </w:tc>
        <w:tc>
          <w:tcPr>
            <w:tcW w:w="949" w:type="dxa"/>
            <w:shd w:val="clear" w:color="auto" w:fill="FFFFFF"/>
            <w:vAlign w:val="center"/>
          </w:tcPr>
          <w:p>
            <w:pPr>
              <w:jc w:val="center"/>
              <w:rPr>
                <w:rFonts w:ascii="宋体" w:hAnsi="宋体" w:eastAsia="宋体"/>
                <w:color w:val="auto"/>
                <w:sz w:val="21"/>
                <w:szCs w:val="21"/>
                <w:lang w:eastAsia="zh-CN"/>
              </w:rPr>
            </w:pPr>
            <w:r>
              <w:rPr>
                <w:rFonts w:hint="eastAsia" w:ascii="宋体" w:hAnsi="宋体" w:eastAsia="宋体" w:cs="Arial"/>
                <w:color w:val="auto"/>
                <w:spacing w:val="10"/>
                <w:sz w:val="21"/>
                <w:szCs w:val="21"/>
              </w:rPr>
              <w:t>23-61</w:t>
            </w:r>
          </w:p>
        </w:tc>
        <w:tc>
          <w:tcPr>
            <w:tcW w:w="1041"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rPr>
              <w:t>乙</w:t>
            </w:r>
          </w:p>
        </w:tc>
        <w:tc>
          <w:tcPr>
            <w:tcW w:w="1137"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rPr>
              <w:t>200</w:t>
            </w:r>
          </w:p>
        </w:tc>
        <w:tc>
          <w:tcPr>
            <w:tcW w:w="1501"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rPr>
              <w:t>甲类仓库</w:t>
            </w:r>
          </w:p>
        </w:tc>
        <w:tc>
          <w:tcPr>
            <w:tcW w:w="1007"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rPr>
              <w:t>20</w:t>
            </w:r>
          </w:p>
        </w:tc>
        <w:tc>
          <w:tcPr>
            <w:tcW w:w="1007"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rPr>
              <w:t>生产原料</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454" w:hRule="atLeast"/>
          <w:jc w:val="center"/>
        </w:trPr>
        <w:tc>
          <w:tcPr>
            <w:tcW w:w="568" w:type="dxa"/>
            <w:shd w:val="clear" w:color="auto" w:fill="FFFFFF"/>
            <w:vAlign w:val="center"/>
          </w:tcPr>
          <w:p>
            <w:pPr>
              <w:jc w:val="center"/>
              <w:rPr>
                <w:rFonts w:ascii="宋体" w:hAnsi="宋体" w:eastAsia="宋体"/>
                <w:color w:val="auto"/>
                <w:sz w:val="21"/>
                <w:szCs w:val="21"/>
              </w:rPr>
            </w:pPr>
            <w:r>
              <w:rPr>
                <w:rFonts w:ascii="宋体" w:hAnsi="宋体" w:eastAsia="宋体"/>
                <w:color w:val="auto"/>
                <w:sz w:val="21"/>
                <w:szCs w:val="21"/>
              </w:rPr>
              <w:t>9</w:t>
            </w:r>
          </w:p>
        </w:tc>
        <w:tc>
          <w:tcPr>
            <w:tcW w:w="1483"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rPr>
              <w:t>正丁醇</w:t>
            </w:r>
          </w:p>
        </w:tc>
        <w:tc>
          <w:tcPr>
            <w:tcW w:w="921"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rPr>
              <w:t>2761</w:t>
            </w:r>
          </w:p>
        </w:tc>
        <w:tc>
          <w:tcPr>
            <w:tcW w:w="949" w:type="dxa"/>
            <w:shd w:val="clear" w:color="auto" w:fill="FFFFFF"/>
            <w:vAlign w:val="center"/>
          </w:tcPr>
          <w:p>
            <w:pPr>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35</w:t>
            </w:r>
          </w:p>
        </w:tc>
        <w:tc>
          <w:tcPr>
            <w:tcW w:w="1041"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rPr>
              <w:t>乙</w:t>
            </w:r>
          </w:p>
        </w:tc>
        <w:tc>
          <w:tcPr>
            <w:tcW w:w="1137"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rPr>
              <w:t>5</w:t>
            </w:r>
          </w:p>
        </w:tc>
        <w:tc>
          <w:tcPr>
            <w:tcW w:w="1501"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rPr>
              <w:t>甲类仓库</w:t>
            </w:r>
          </w:p>
        </w:tc>
        <w:tc>
          <w:tcPr>
            <w:tcW w:w="1007"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rPr>
              <w:t>2</w:t>
            </w:r>
          </w:p>
        </w:tc>
        <w:tc>
          <w:tcPr>
            <w:tcW w:w="1007"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rPr>
              <w:t>生产原料</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454" w:hRule="atLeast"/>
          <w:jc w:val="center"/>
        </w:trPr>
        <w:tc>
          <w:tcPr>
            <w:tcW w:w="568" w:type="dxa"/>
            <w:shd w:val="clear" w:color="auto" w:fill="FFFFFF"/>
            <w:vAlign w:val="center"/>
          </w:tcPr>
          <w:p>
            <w:pPr>
              <w:jc w:val="center"/>
              <w:rPr>
                <w:rFonts w:ascii="宋体" w:hAnsi="宋体" w:eastAsia="宋体"/>
                <w:color w:val="auto"/>
                <w:sz w:val="21"/>
                <w:szCs w:val="21"/>
              </w:rPr>
            </w:pPr>
            <w:r>
              <w:rPr>
                <w:rFonts w:ascii="宋体" w:hAnsi="宋体" w:eastAsia="宋体"/>
                <w:color w:val="auto"/>
                <w:sz w:val="21"/>
                <w:szCs w:val="21"/>
              </w:rPr>
              <w:t>10</w:t>
            </w:r>
          </w:p>
        </w:tc>
        <w:tc>
          <w:tcPr>
            <w:tcW w:w="1483"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rPr>
              <w:t>混丙醇</w:t>
            </w:r>
          </w:p>
        </w:tc>
        <w:tc>
          <w:tcPr>
            <w:tcW w:w="921"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rPr>
              <w:t>2828</w:t>
            </w:r>
          </w:p>
        </w:tc>
        <w:tc>
          <w:tcPr>
            <w:tcW w:w="949" w:type="dxa"/>
            <w:shd w:val="clear" w:color="auto" w:fill="FFFFFF"/>
            <w:vAlign w:val="center"/>
          </w:tcPr>
          <w:p>
            <w:pPr>
              <w:jc w:val="center"/>
              <w:rPr>
                <w:rFonts w:ascii="宋体" w:hAnsi="宋体" w:eastAsia="宋体"/>
                <w:color w:val="auto"/>
                <w:sz w:val="21"/>
                <w:szCs w:val="21"/>
                <w:lang w:eastAsia="zh-CN"/>
              </w:rPr>
            </w:pPr>
            <w:r>
              <w:rPr>
                <w:rFonts w:hint="eastAsia" w:ascii="宋体" w:hAnsi="宋体" w:eastAsia="宋体" w:cs="Arial"/>
                <w:color w:val="auto"/>
                <w:spacing w:val="10"/>
                <w:sz w:val="21"/>
                <w:szCs w:val="21"/>
              </w:rPr>
              <w:t>12-15</w:t>
            </w:r>
          </w:p>
        </w:tc>
        <w:tc>
          <w:tcPr>
            <w:tcW w:w="1041"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rPr>
              <w:t>甲</w:t>
            </w:r>
          </w:p>
        </w:tc>
        <w:tc>
          <w:tcPr>
            <w:tcW w:w="1137"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rPr>
              <w:t>5</w:t>
            </w:r>
          </w:p>
        </w:tc>
        <w:tc>
          <w:tcPr>
            <w:tcW w:w="1501"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rPr>
              <w:t>甲类仓库</w:t>
            </w:r>
          </w:p>
        </w:tc>
        <w:tc>
          <w:tcPr>
            <w:tcW w:w="1007"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rPr>
              <w:t>2</w:t>
            </w:r>
          </w:p>
        </w:tc>
        <w:tc>
          <w:tcPr>
            <w:tcW w:w="1007"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rPr>
              <w:t>生产原料</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454" w:hRule="atLeast"/>
          <w:jc w:val="center"/>
        </w:trPr>
        <w:tc>
          <w:tcPr>
            <w:tcW w:w="568" w:type="dxa"/>
            <w:shd w:val="clear" w:color="auto" w:fill="FFFFFF"/>
            <w:vAlign w:val="center"/>
          </w:tcPr>
          <w:p>
            <w:pPr>
              <w:jc w:val="center"/>
              <w:rPr>
                <w:rFonts w:ascii="宋体" w:hAnsi="宋体" w:eastAsia="宋体"/>
                <w:color w:val="auto"/>
                <w:sz w:val="21"/>
                <w:szCs w:val="21"/>
              </w:rPr>
            </w:pPr>
            <w:r>
              <w:rPr>
                <w:rFonts w:ascii="宋体" w:hAnsi="宋体" w:eastAsia="宋体"/>
                <w:color w:val="auto"/>
                <w:sz w:val="21"/>
                <w:szCs w:val="21"/>
              </w:rPr>
              <w:t>11</w:t>
            </w:r>
          </w:p>
        </w:tc>
        <w:tc>
          <w:tcPr>
            <w:tcW w:w="1483"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rPr>
              <w:t>乙酸甲酯</w:t>
            </w:r>
          </w:p>
        </w:tc>
        <w:tc>
          <w:tcPr>
            <w:tcW w:w="921"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rPr>
              <w:t>2638</w:t>
            </w:r>
          </w:p>
        </w:tc>
        <w:tc>
          <w:tcPr>
            <w:tcW w:w="949" w:type="dxa"/>
            <w:shd w:val="clear" w:color="auto" w:fill="FFFFFF"/>
            <w:vAlign w:val="center"/>
          </w:tcPr>
          <w:p>
            <w:pPr>
              <w:jc w:val="center"/>
              <w:rPr>
                <w:rFonts w:ascii="宋体" w:hAnsi="宋体" w:eastAsia="宋体"/>
                <w:color w:val="auto"/>
                <w:sz w:val="21"/>
                <w:szCs w:val="21"/>
              </w:rPr>
            </w:pPr>
            <w:r>
              <w:rPr>
                <w:rFonts w:hint="eastAsia" w:ascii="宋体" w:hAnsi="宋体" w:eastAsia="宋体" w:cs="Arial"/>
                <w:color w:val="auto"/>
                <w:spacing w:val="10"/>
                <w:sz w:val="21"/>
                <w:szCs w:val="21"/>
              </w:rPr>
              <w:t>-10</w:t>
            </w:r>
          </w:p>
        </w:tc>
        <w:tc>
          <w:tcPr>
            <w:tcW w:w="1041"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rPr>
              <w:t>甲</w:t>
            </w:r>
          </w:p>
        </w:tc>
        <w:tc>
          <w:tcPr>
            <w:tcW w:w="1137"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rPr>
              <w:t>50</w:t>
            </w:r>
          </w:p>
        </w:tc>
        <w:tc>
          <w:tcPr>
            <w:tcW w:w="1501"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rPr>
              <w:t>甲类仓库</w:t>
            </w:r>
          </w:p>
        </w:tc>
        <w:tc>
          <w:tcPr>
            <w:tcW w:w="1007"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rPr>
              <w:t>5</w:t>
            </w:r>
          </w:p>
        </w:tc>
        <w:tc>
          <w:tcPr>
            <w:tcW w:w="1007"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rPr>
              <w:t>生产原料</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454" w:hRule="atLeast"/>
          <w:jc w:val="center"/>
        </w:trPr>
        <w:tc>
          <w:tcPr>
            <w:tcW w:w="568" w:type="dxa"/>
            <w:shd w:val="clear" w:color="auto" w:fill="FFFFFF"/>
            <w:vAlign w:val="center"/>
          </w:tcPr>
          <w:p>
            <w:pPr>
              <w:jc w:val="center"/>
              <w:rPr>
                <w:rFonts w:ascii="宋体" w:hAnsi="宋体" w:eastAsia="宋体"/>
                <w:color w:val="auto"/>
                <w:sz w:val="21"/>
                <w:szCs w:val="21"/>
              </w:rPr>
            </w:pPr>
            <w:r>
              <w:rPr>
                <w:rFonts w:ascii="宋体" w:hAnsi="宋体" w:eastAsia="宋体"/>
                <w:color w:val="auto"/>
                <w:sz w:val="21"/>
                <w:szCs w:val="21"/>
              </w:rPr>
              <w:t>12</w:t>
            </w:r>
          </w:p>
        </w:tc>
        <w:tc>
          <w:tcPr>
            <w:tcW w:w="1483"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rPr>
              <w:t>乙酸仲丁酯</w:t>
            </w:r>
          </w:p>
        </w:tc>
        <w:tc>
          <w:tcPr>
            <w:tcW w:w="921"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rPr>
              <w:t>2660</w:t>
            </w:r>
          </w:p>
        </w:tc>
        <w:tc>
          <w:tcPr>
            <w:tcW w:w="949" w:type="dxa"/>
            <w:shd w:val="clear" w:color="auto" w:fill="FFFFFF"/>
            <w:vAlign w:val="center"/>
          </w:tcPr>
          <w:p>
            <w:pPr>
              <w:jc w:val="center"/>
              <w:rPr>
                <w:rFonts w:ascii="宋体" w:hAnsi="宋体" w:eastAsia="宋体"/>
                <w:color w:val="auto"/>
                <w:sz w:val="21"/>
                <w:szCs w:val="21"/>
                <w:lang w:eastAsia="zh-CN"/>
              </w:rPr>
            </w:pPr>
            <w:r>
              <w:rPr>
                <w:rFonts w:hint="eastAsia" w:ascii="宋体" w:hAnsi="宋体" w:eastAsia="宋体" w:cs="Arial"/>
                <w:color w:val="auto"/>
                <w:spacing w:val="10"/>
                <w:sz w:val="21"/>
                <w:szCs w:val="21"/>
              </w:rPr>
              <w:t>19</w:t>
            </w:r>
          </w:p>
        </w:tc>
        <w:tc>
          <w:tcPr>
            <w:tcW w:w="1041"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rPr>
              <w:t>甲</w:t>
            </w:r>
          </w:p>
        </w:tc>
        <w:tc>
          <w:tcPr>
            <w:tcW w:w="1137"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rPr>
              <w:t>150</w:t>
            </w:r>
          </w:p>
        </w:tc>
        <w:tc>
          <w:tcPr>
            <w:tcW w:w="1501"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rPr>
              <w:t>甲类仓库</w:t>
            </w:r>
          </w:p>
        </w:tc>
        <w:tc>
          <w:tcPr>
            <w:tcW w:w="1007"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rPr>
              <w:t>10</w:t>
            </w:r>
          </w:p>
        </w:tc>
        <w:tc>
          <w:tcPr>
            <w:tcW w:w="1007"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rPr>
              <w:t>生产原料</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454" w:hRule="atLeast"/>
          <w:jc w:val="center"/>
        </w:trPr>
        <w:tc>
          <w:tcPr>
            <w:tcW w:w="568" w:type="dxa"/>
            <w:shd w:val="clear" w:color="auto" w:fill="FFFFFF"/>
            <w:vAlign w:val="center"/>
          </w:tcPr>
          <w:p>
            <w:pPr>
              <w:jc w:val="center"/>
              <w:rPr>
                <w:rFonts w:ascii="宋体" w:hAnsi="宋体" w:eastAsia="宋体"/>
                <w:color w:val="auto"/>
                <w:sz w:val="21"/>
                <w:szCs w:val="21"/>
              </w:rPr>
            </w:pPr>
            <w:r>
              <w:rPr>
                <w:rFonts w:ascii="宋体" w:hAnsi="宋体" w:eastAsia="宋体"/>
                <w:color w:val="auto"/>
                <w:sz w:val="21"/>
                <w:szCs w:val="21"/>
              </w:rPr>
              <w:t>13</w:t>
            </w:r>
          </w:p>
        </w:tc>
        <w:tc>
          <w:tcPr>
            <w:tcW w:w="1483"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rPr>
              <w:t>N,N-二甲基甲酰胺</w:t>
            </w:r>
          </w:p>
        </w:tc>
        <w:tc>
          <w:tcPr>
            <w:tcW w:w="921"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rPr>
              <w:t>460</w:t>
            </w:r>
          </w:p>
        </w:tc>
        <w:tc>
          <w:tcPr>
            <w:tcW w:w="949" w:type="dxa"/>
            <w:shd w:val="clear" w:color="auto" w:fill="FFFFFF"/>
            <w:vAlign w:val="center"/>
          </w:tcPr>
          <w:p>
            <w:pPr>
              <w:jc w:val="center"/>
              <w:rPr>
                <w:rFonts w:ascii="宋体" w:hAnsi="宋体" w:eastAsia="宋体"/>
                <w:color w:val="auto"/>
                <w:sz w:val="21"/>
                <w:szCs w:val="21"/>
              </w:rPr>
            </w:pPr>
            <w:r>
              <w:rPr>
                <w:rFonts w:hint="eastAsia" w:ascii="宋体" w:hAnsi="宋体" w:eastAsia="宋体" w:cs="Arial"/>
                <w:color w:val="auto"/>
                <w:spacing w:val="10"/>
                <w:sz w:val="21"/>
                <w:szCs w:val="21"/>
              </w:rPr>
              <w:t>58</w:t>
            </w:r>
          </w:p>
        </w:tc>
        <w:tc>
          <w:tcPr>
            <w:tcW w:w="1041"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rPr>
              <w:t>乙</w:t>
            </w:r>
          </w:p>
        </w:tc>
        <w:tc>
          <w:tcPr>
            <w:tcW w:w="1137"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rPr>
              <w:t>5</w:t>
            </w:r>
          </w:p>
        </w:tc>
        <w:tc>
          <w:tcPr>
            <w:tcW w:w="1501"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rPr>
              <w:t>甲类仓库</w:t>
            </w:r>
          </w:p>
        </w:tc>
        <w:tc>
          <w:tcPr>
            <w:tcW w:w="1007"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rPr>
              <w:t>1</w:t>
            </w:r>
          </w:p>
        </w:tc>
        <w:tc>
          <w:tcPr>
            <w:tcW w:w="1007"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rPr>
              <w:t>生产原料</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454" w:hRule="atLeast"/>
          <w:jc w:val="center"/>
        </w:trPr>
        <w:tc>
          <w:tcPr>
            <w:tcW w:w="568" w:type="dxa"/>
            <w:shd w:val="clear" w:color="auto" w:fill="FFFFFF"/>
            <w:vAlign w:val="center"/>
          </w:tcPr>
          <w:p>
            <w:pPr>
              <w:jc w:val="center"/>
              <w:rPr>
                <w:rFonts w:ascii="宋体" w:hAnsi="宋体" w:eastAsia="宋体"/>
                <w:color w:val="auto"/>
                <w:sz w:val="21"/>
                <w:szCs w:val="21"/>
              </w:rPr>
            </w:pPr>
            <w:r>
              <w:rPr>
                <w:rFonts w:ascii="宋体" w:hAnsi="宋体" w:eastAsia="宋体"/>
                <w:color w:val="auto"/>
                <w:sz w:val="21"/>
                <w:szCs w:val="21"/>
              </w:rPr>
              <w:t>14</w:t>
            </w:r>
          </w:p>
        </w:tc>
        <w:tc>
          <w:tcPr>
            <w:tcW w:w="1483"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rPr>
              <w:t>丙二醇甲醚乙酸酯</w:t>
            </w:r>
          </w:p>
        </w:tc>
        <w:tc>
          <w:tcPr>
            <w:tcW w:w="921" w:type="dxa"/>
            <w:shd w:val="clear" w:color="auto" w:fill="FFFFFF"/>
            <w:vAlign w:val="center"/>
          </w:tcPr>
          <w:p>
            <w:pPr>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2828</w:t>
            </w:r>
          </w:p>
        </w:tc>
        <w:tc>
          <w:tcPr>
            <w:tcW w:w="949" w:type="dxa"/>
            <w:shd w:val="clear" w:color="auto" w:fill="FFFFFF"/>
            <w:vAlign w:val="center"/>
          </w:tcPr>
          <w:p>
            <w:pPr>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42</w:t>
            </w:r>
          </w:p>
        </w:tc>
        <w:tc>
          <w:tcPr>
            <w:tcW w:w="1041"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rPr>
              <w:t>乙</w:t>
            </w:r>
          </w:p>
        </w:tc>
        <w:tc>
          <w:tcPr>
            <w:tcW w:w="1137"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rPr>
              <w:t>10</w:t>
            </w:r>
          </w:p>
        </w:tc>
        <w:tc>
          <w:tcPr>
            <w:tcW w:w="1501"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rPr>
              <w:t>甲类仓库</w:t>
            </w:r>
          </w:p>
        </w:tc>
        <w:tc>
          <w:tcPr>
            <w:tcW w:w="1007"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rPr>
              <w:t>2</w:t>
            </w:r>
          </w:p>
        </w:tc>
        <w:tc>
          <w:tcPr>
            <w:tcW w:w="1007"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rPr>
              <w:t>生产原料</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454" w:hRule="atLeast"/>
          <w:jc w:val="center"/>
        </w:trPr>
        <w:tc>
          <w:tcPr>
            <w:tcW w:w="568" w:type="dxa"/>
            <w:shd w:val="clear" w:color="auto" w:fill="FFFFFF"/>
            <w:vAlign w:val="center"/>
          </w:tcPr>
          <w:p>
            <w:pPr>
              <w:jc w:val="center"/>
              <w:rPr>
                <w:rFonts w:ascii="宋体" w:hAnsi="宋体" w:eastAsia="宋体"/>
                <w:color w:val="auto"/>
                <w:sz w:val="21"/>
                <w:szCs w:val="21"/>
              </w:rPr>
            </w:pPr>
            <w:r>
              <w:rPr>
                <w:rFonts w:ascii="宋体" w:hAnsi="宋体" w:eastAsia="宋体"/>
                <w:color w:val="auto"/>
                <w:sz w:val="21"/>
                <w:szCs w:val="21"/>
              </w:rPr>
              <w:t>15</w:t>
            </w:r>
          </w:p>
        </w:tc>
        <w:tc>
          <w:tcPr>
            <w:tcW w:w="1483"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rPr>
              <w:t>聚氨酯漆稀释剂</w:t>
            </w:r>
          </w:p>
        </w:tc>
        <w:tc>
          <w:tcPr>
            <w:tcW w:w="921"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rPr>
              <w:t>2828</w:t>
            </w:r>
          </w:p>
        </w:tc>
        <w:tc>
          <w:tcPr>
            <w:tcW w:w="949" w:type="dxa"/>
            <w:shd w:val="clear" w:color="auto" w:fill="FFFFFF"/>
            <w:vAlign w:val="center"/>
          </w:tcPr>
          <w:p>
            <w:pPr>
              <w:jc w:val="center"/>
              <w:rPr>
                <w:rFonts w:ascii="宋体" w:hAnsi="宋体" w:eastAsia="宋体"/>
                <w:color w:val="auto"/>
                <w:sz w:val="21"/>
                <w:szCs w:val="21"/>
                <w:lang w:eastAsia="zh-CN"/>
              </w:rPr>
            </w:pPr>
            <w:r>
              <w:rPr>
                <w:rFonts w:hint="eastAsia" w:ascii="宋体" w:hAnsi="宋体" w:eastAsia="宋体" w:cs="宋体"/>
                <w:color w:val="auto"/>
                <w:sz w:val="21"/>
                <w:szCs w:val="21"/>
                <w:lang w:eastAsia="zh-CN"/>
              </w:rPr>
              <w:t>27</w:t>
            </w:r>
          </w:p>
        </w:tc>
        <w:tc>
          <w:tcPr>
            <w:tcW w:w="1041" w:type="dxa"/>
            <w:shd w:val="clear" w:color="auto" w:fill="FFFFFF"/>
            <w:vAlign w:val="center"/>
          </w:tcPr>
          <w:p>
            <w:pPr>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乙</w:t>
            </w:r>
          </w:p>
        </w:tc>
        <w:tc>
          <w:tcPr>
            <w:tcW w:w="1137" w:type="dxa"/>
            <w:shd w:val="clear" w:color="auto" w:fill="FFFFFF"/>
            <w:vAlign w:val="center"/>
          </w:tcPr>
          <w:p>
            <w:pPr>
              <w:jc w:val="center"/>
              <w:rPr>
                <w:rFonts w:ascii="宋体" w:hAnsi="宋体" w:eastAsia="宋体"/>
                <w:color w:val="auto"/>
                <w:sz w:val="21"/>
                <w:szCs w:val="21"/>
              </w:rPr>
            </w:pPr>
            <w:r>
              <w:rPr>
                <w:rFonts w:ascii="宋体" w:hAnsi="宋体" w:eastAsia="宋体"/>
                <w:color w:val="auto"/>
                <w:sz w:val="21"/>
                <w:szCs w:val="21"/>
              </w:rPr>
              <w:t>20</w:t>
            </w:r>
          </w:p>
        </w:tc>
        <w:tc>
          <w:tcPr>
            <w:tcW w:w="1501"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rPr>
              <w:t>甲类仓库</w:t>
            </w:r>
          </w:p>
        </w:tc>
        <w:tc>
          <w:tcPr>
            <w:tcW w:w="1007" w:type="dxa"/>
            <w:shd w:val="clear" w:color="auto" w:fill="FFFFFF"/>
            <w:vAlign w:val="center"/>
          </w:tcPr>
          <w:p>
            <w:pPr>
              <w:jc w:val="center"/>
              <w:rPr>
                <w:rFonts w:ascii="宋体" w:hAnsi="宋体" w:eastAsia="宋体"/>
                <w:color w:val="auto"/>
                <w:sz w:val="21"/>
                <w:szCs w:val="21"/>
              </w:rPr>
            </w:pPr>
            <w:r>
              <w:rPr>
                <w:rFonts w:ascii="宋体" w:hAnsi="宋体" w:eastAsia="宋体"/>
                <w:color w:val="auto"/>
                <w:sz w:val="21"/>
                <w:szCs w:val="21"/>
              </w:rPr>
              <w:t>20</w:t>
            </w:r>
          </w:p>
        </w:tc>
        <w:tc>
          <w:tcPr>
            <w:tcW w:w="1007" w:type="dxa"/>
            <w:shd w:val="clear" w:color="auto" w:fill="FFFFFF"/>
            <w:vAlign w:val="center"/>
          </w:tcPr>
          <w:p>
            <w:pPr>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产品</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454" w:hRule="atLeast"/>
          <w:jc w:val="center"/>
        </w:trPr>
        <w:tc>
          <w:tcPr>
            <w:tcW w:w="568" w:type="dxa"/>
            <w:shd w:val="clear" w:color="auto" w:fill="FFFFFF"/>
            <w:vAlign w:val="center"/>
          </w:tcPr>
          <w:p>
            <w:pPr>
              <w:jc w:val="center"/>
              <w:rPr>
                <w:rFonts w:ascii="宋体" w:hAnsi="宋体" w:eastAsia="宋体"/>
                <w:color w:val="auto"/>
                <w:sz w:val="21"/>
                <w:szCs w:val="21"/>
              </w:rPr>
            </w:pPr>
            <w:r>
              <w:rPr>
                <w:rFonts w:ascii="宋体" w:hAnsi="宋体" w:eastAsia="宋体"/>
                <w:color w:val="auto"/>
                <w:sz w:val="21"/>
                <w:szCs w:val="21"/>
              </w:rPr>
              <w:t>16</w:t>
            </w:r>
          </w:p>
        </w:tc>
        <w:tc>
          <w:tcPr>
            <w:tcW w:w="1483"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rPr>
              <w:t>聚酯树脂清漆</w:t>
            </w:r>
          </w:p>
        </w:tc>
        <w:tc>
          <w:tcPr>
            <w:tcW w:w="921"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rPr>
              <w:t>2828</w:t>
            </w:r>
          </w:p>
        </w:tc>
        <w:tc>
          <w:tcPr>
            <w:tcW w:w="949" w:type="dxa"/>
            <w:shd w:val="clear" w:color="auto" w:fill="FFFFFF"/>
            <w:vAlign w:val="center"/>
          </w:tcPr>
          <w:p>
            <w:pPr>
              <w:jc w:val="center"/>
              <w:rPr>
                <w:rFonts w:ascii="宋体" w:hAnsi="宋体" w:eastAsia="宋体"/>
                <w:color w:val="auto"/>
                <w:sz w:val="21"/>
                <w:szCs w:val="21"/>
              </w:rPr>
            </w:pPr>
            <w:r>
              <w:rPr>
                <w:rFonts w:hint="eastAsia" w:ascii="宋体" w:hAnsi="宋体" w:eastAsia="宋体" w:cs="宋体"/>
                <w:color w:val="auto"/>
                <w:sz w:val="21"/>
                <w:szCs w:val="21"/>
                <w:lang w:eastAsia="zh-CN"/>
              </w:rPr>
              <w:t>25</w:t>
            </w:r>
          </w:p>
        </w:tc>
        <w:tc>
          <w:tcPr>
            <w:tcW w:w="1041" w:type="dxa"/>
            <w:shd w:val="clear" w:color="auto" w:fill="FFFFFF"/>
            <w:vAlign w:val="center"/>
          </w:tcPr>
          <w:p>
            <w:pPr>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乙</w:t>
            </w:r>
          </w:p>
        </w:tc>
        <w:tc>
          <w:tcPr>
            <w:tcW w:w="1137" w:type="dxa"/>
            <w:shd w:val="clear" w:color="auto" w:fill="FFFFFF"/>
            <w:vAlign w:val="center"/>
          </w:tcPr>
          <w:p>
            <w:pPr>
              <w:jc w:val="center"/>
              <w:rPr>
                <w:rFonts w:ascii="宋体" w:hAnsi="宋体" w:eastAsia="宋体"/>
                <w:color w:val="auto"/>
                <w:sz w:val="21"/>
                <w:szCs w:val="21"/>
              </w:rPr>
            </w:pPr>
            <w:r>
              <w:rPr>
                <w:rFonts w:ascii="宋体" w:hAnsi="宋体" w:eastAsia="宋体"/>
                <w:color w:val="auto"/>
                <w:sz w:val="21"/>
                <w:szCs w:val="21"/>
              </w:rPr>
              <w:t>20</w:t>
            </w:r>
          </w:p>
        </w:tc>
        <w:tc>
          <w:tcPr>
            <w:tcW w:w="1501"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rPr>
              <w:t>甲类仓库</w:t>
            </w:r>
          </w:p>
        </w:tc>
        <w:tc>
          <w:tcPr>
            <w:tcW w:w="1007" w:type="dxa"/>
            <w:shd w:val="clear" w:color="auto" w:fill="FFFFFF"/>
            <w:vAlign w:val="center"/>
          </w:tcPr>
          <w:p>
            <w:pPr>
              <w:jc w:val="center"/>
              <w:rPr>
                <w:rFonts w:ascii="宋体" w:hAnsi="宋体" w:eastAsia="宋体"/>
                <w:color w:val="auto"/>
                <w:sz w:val="21"/>
                <w:szCs w:val="21"/>
              </w:rPr>
            </w:pPr>
            <w:r>
              <w:rPr>
                <w:rFonts w:ascii="宋体" w:hAnsi="宋体" w:eastAsia="宋体"/>
                <w:color w:val="auto"/>
                <w:sz w:val="21"/>
                <w:szCs w:val="21"/>
              </w:rPr>
              <w:t>20</w:t>
            </w:r>
          </w:p>
        </w:tc>
        <w:tc>
          <w:tcPr>
            <w:tcW w:w="1007"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lang w:eastAsia="zh-CN"/>
              </w:rPr>
              <w:t>产品</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454" w:hRule="atLeast"/>
          <w:jc w:val="center"/>
        </w:trPr>
        <w:tc>
          <w:tcPr>
            <w:tcW w:w="568" w:type="dxa"/>
            <w:shd w:val="clear" w:color="auto" w:fill="FFFFFF"/>
            <w:vAlign w:val="center"/>
          </w:tcPr>
          <w:p>
            <w:pPr>
              <w:jc w:val="center"/>
              <w:rPr>
                <w:rFonts w:ascii="宋体" w:hAnsi="宋体" w:eastAsia="宋体"/>
                <w:color w:val="auto"/>
                <w:sz w:val="21"/>
                <w:szCs w:val="21"/>
              </w:rPr>
            </w:pPr>
            <w:r>
              <w:rPr>
                <w:rFonts w:ascii="宋体" w:hAnsi="宋体" w:eastAsia="宋体"/>
                <w:color w:val="auto"/>
                <w:sz w:val="21"/>
                <w:szCs w:val="21"/>
              </w:rPr>
              <w:t>17</w:t>
            </w:r>
          </w:p>
        </w:tc>
        <w:tc>
          <w:tcPr>
            <w:tcW w:w="1483"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rPr>
              <w:t>硝基清漆</w:t>
            </w:r>
          </w:p>
        </w:tc>
        <w:tc>
          <w:tcPr>
            <w:tcW w:w="921" w:type="dxa"/>
            <w:shd w:val="clear" w:color="auto" w:fill="FFFFFF"/>
            <w:vAlign w:val="center"/>
          </w:tcPr>
          <w:p>
            <w:pPr>
              <w:jc w:val="center"/>
              <w:rPr>
                <w:rFonts w:ascii="宋体" w:hAnsi="宋体" w:eastAsia="宋体"/>
                <w:color w:val="auto"/>
                <w:sz w:val="21"/>
                <w:szCs w:val="21"/>
              </w:rPr>
            </w:pPr>
            <w:r>
              <w:rPr>
                <w:rFonts w:ascii="宋体" w:hAnsi="宋体" w:eastAsia="宋体"/>
                <w:color w:val="auto"/>
                <w:sz w:val="21"/>
                <w:szCs w:val="21"/>
              </w:rPr>
              <w:t>2828</w:t>
            </w:r>
          </w:p>
        </w:tc>
        <w:tc>
          <w:tcPr>
            <w:tcW w:w="949" w:type="dxa"/>
            <w:shd w:val="clear" w:color="auto" w:fill="FFFFFF"/>
            <w:vAlign w:val="center"/>
          </w:tcPr>
          <w:p>
            <w:pPr>
              <w:jc w:val="center"/>
              <w:rPr>
                <w:rFonts w:ascii="宋体" w:hAnsi="宋体" w:eastAsia="宋体"/>
                <w:color w:val="auto"/>
                <w:sz w:val="21"/>
                <w:szCs w:val="21"/>
                <w:lang w:eastAsia="zh-CN"/>
              </w:rPr>
            </w:pPr>
            <w:r>
              <w:rPr>
                <w:rFonts w:hint="eastAsia" w:ascii="宋体" w:hAnsi="宋体" w:eastAsia="宋体" w:cs="宋体"/>
                <w:color w:val="auto"/>
                <w:sz w:val="21"/>
                <w:szCs w:val="21"/>
                <w:lang w:eastAsia="zh-CN"/>
              </w:rPr>
              <w:t>15</w:t>
            </w:r>
          </w:p>
        </w:tc>
        <w:tc>
          <w:tcPr>
            <w:tcW w:w="1041" w:type="dxa"/>
            <w:shd w:val="clear" w:color="auto" w:fill="FFFFFF"/>
            <w:vAlign w:val="center"/>
          </w:tcPr>
          <w:p>
            <w:pPr>
              <w:jc w:val="center"/>
              <w:rPr>
                <w:rFonts w:ascii="宋体" w:hAnsi="宋体" w:eastAsia="宋体"/>
                <w:color w:val="auto"/>
                <w:sz w:val="21"/>
                <w:szCs w:val="21"/>
              </w:rPr>
            </w:pPr>
            <w:r>
              <w:rPr>
                <w:rFonts w:ascii="宋体" w:hAnsi="宋体" w:eastAsia="宋体"/>
                <w:color w:val="auto"/>
                <w:sz w:val="21"/>
                <w:szCs w:val="21"/>
              </w:rPr>
              <w:t>甲</w:t>
            </w:r>
          </w:p>
        </w:tc>
        <w:tc>
          <w:tcPr>
            <w:tcW w:w="1137" w:type="dxa"/>
            <w:shd w:val="clear" w:color="auto" w:fill="FFFFFF"/>
            <w:vAlign w:val="center"/>
          </w:tcPr>
          <w:p>
            <w:pPr>
              <w:jc w:val="center"/>
              <w:rPr>
                <w:rFonts w:ascii="宋体" w:hAnsi="宋体" w:eastAsia="宋体"/>
                <w:color w:val="auto"/>
                <w:sz w:val="21"/>
                <w:szCs w:val="21"/>
              </w:rPr>
            </w:pPr>
            <w:r>
              <w:rPr>
                <w:rFonts w:ascii="宋体" w:hAnsi="宋体" w:eastAsia="宋体"/>
                <w:color w:val="auto"/>
                <w:sz w:val="21"/>
                <w:szCs w:val="21"/>
              </w:rPr>
              <w:t>5</w:t>
            </w:r>
          </w:p>
        </w:tc>
        <w:tc>
          <w:tcPr>
            <w:tcW w:w="1501"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rPr>
              <w:t>甲类仓库</w:t>
            </w:r>
          </w:p>
        </w:tc>
        <w:tc>
          <w:tcPr>
            <w:tcW w:w="1007" w:type="dxa"/>
            <w:shd w:val="clear" w:color="auto" w:fill="FFFFFF"/>
            <w:vAlign w:val="center"/>
          </w:tcPr>
          <w:p>
            <w:pPr>
              <w:jc w:val="center"/>
              <w:rPr>
                <w:rFonts w:ascii="宋体" w:hAnsi="宋体" w:eastAsia="宋体"/>
                <w:color w:val="auto"/>
                <w:sz w:val="21"/>
                <w:szCs w:val="21"/>
              </w:rPr>
            </w:pPr>
            <w:r>
              <w:rPr>
                <w:rFonts w:ascii="宋体" w:hAnsi="宋体" w:eastAsia="宋体"/>
                <w:color w:val="auto"/>
                <w:sz w:val="21"/>
                <w:szCs w:val="21"/>
              </w:rPr>
              <w:t>5</w:t>
            </w:r>
          </w:p>
        </w:tc>
        <w:tc>
          <w:tcPr>
            <w:tcW w:w="1007"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lang w:eastAsia="zh-CN"/>
              </w:rPr>
              <w:t>产品</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454" w:hRule="atLeast"/>
          <w:jc w:val="center"/>
        </w:trPr>
        <w:tc>
          <w:tcPr>
            <w:tcW w:w="568" w:type="dxa"/>
            <w:shd w:val="clear" w:color="auto" w:fill="FFFFFF"/>
            <w:vAlign w:val="center"/>
          </w:tcPr>
          <w:p>
            <w:pPr>
              <w:jc w:val="center"/>
              <w:rPr>
                <w:rFonts w:ascii="宋体" w:hAnsi="宋体" w:eastAsia="宋体"/>
                <w:color w:val="auto"/>
                <w:sz w:val="21"/>
                <w:szCs w:val="21"/>
              </w:rPr>
            </w:pPr>
            <w:r>
              <w:rPr>
                <w:rFonts w:ascii="宋体" w:hAnsi="宋体" w:eastAsia="宋体"/>
                <w:color w:val="auto"/>
                <w:sz w:val="21"/>
                <w:szCs w:val="21"/>
              </w:rPr>
              <w:t>18</w:t>
            </w:r>
          </w:p>
        </w:tc>
        <w:tc>
          <w:tcPr>
            <w:tcW w:w="1483"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rPr>
              <w:t>硝基漆稀释剂</w:t>
            </w:r>
          </w:p>
        </w:tc>
        <w:tc>
          <w:tcPr>
            <w:tcW w:w="921" w:type="dxa"/>
            <w:shd w:val="clear" w:color="auto" w:fill="FFFFFF"/>
            <w:vAlign w:val="center"/>
          </w:tcPr>
          <w:p>
            <w:pPr>
              <w:jc w:val="center"/>
              <w:rPr>
                <w:rFonts w:ascii="宋体" w:hAnsi="宋体" w:eastAsia="宋体"/>
                <w:color w:val="auto"/>
                <w:sz w:val="21"/>
                <w:szCs w:val="21"/>
              </w:rPr>
            </w:pPr>
            <w:r>
              <w:rPr>
                <w:rFonts w:ascii="宋体" w:hAnsi="宋体" w:eastAsia="宋体"/>
                <w:color w:val="auto"/>
                <w:sz w:val="21"/>
                <w:szCs w:val="21"/>
              </w:rPr>
              <w:t>2828</w:t>
            </w:r>
          </w:p>
        </w:tc>
        <w:tc>
          <w:tcPr>
            <w:tcW w:w="949" w:type="dxa"/>
            <w:shd w:val="clear" w:color="auto" w:fill="FFFFFF"/>
            <w:vAlign w:val="center"/>
          </w:tcPr>
          <w:p>
            <w:pPr>
              <w:jc w:val="center"/>
              <w:rPr>
                <w:rFonts w:ascii="宋体" w:hAnsi="宋体" w:eastAsia="宋体"/>
                <w:color w:val="auto"/>
                <w:sz w:val="21"/>
                <w:szCs w:val="21"/>
                <w:lang w:eastAsia="zh-CN"/>
              </w:rPr>
            </w:pPr>
            <w:r>
              <w:rPr>
                <w:rFonts w:hint="eastAsia" w:ascii="宋体" w:hAnsi="宋体" w:eastAsia="宋体" w:cs="宋体"/>
                <w:color w:val="auto"/>
                <w:sz w:val="21"/>
                <w:szCs w:val="21"/>
                <w:lang w:eastAsia="zh-CN"/>
              </w:rPr>
              <w:t>7</w:t>
            </w:r>
          </w:p>
        </w:tc>
        <w:tc>
          <w:tcPr>
            <w:tcW w:w="1041" w:type="dxa"/>
            <w:shd w:val="clear" w:color="auto" w:fill="FFFFFF"/>
            <w:vAlign w:val="center"/>
          </w:tcPr>
          <w:p>
            <w:pPr>
              <w:jc w:val="center"/>
              <w:rPr>
                <w:rFonts w:ascii="宋体" w:hAnsi="宋体" w:eastAsia="宋体"/>
                <w:color w:val="auto"/>
                <w:sz w:val="21"/>
                <w:szCs w:val="21"/>
              </w:rPr>
            </w:pPr>
            <w:r>
              <w:rPr>
                <w:rFonts w:ascii="宋体" w:hAnsi="宋体" w:eastAsia="宋体"/>
                <w:color w:val="auto"/>
                <w:sz w:val="21"/>
                <w:szCs w:val="21"/>
              </w:rPr>
              <w:t>甲</w:t>
            </w:r>
          </w:p>
        </w:tc>
        <w:tc>
          <w:tcPr>
            <w:tcW w:w="1137" w:type="dxa"/>
            <w:shd w:val="clear" w:color="auto" w:fill="FFFFFF"/>
            <w:vAlign w:val="center"/>
          </w:tcPr>
          <w:p>
            <w:pPr>
              <w:jc w:val="center"/>
              <w:rPr>
                <w:rFonts w:ascii="宋体" w:hAnsi="宋体" w:eastAsia="宋体"/>
                <w:color w:val="auto"/>
                <w:sz w:val="21"/>
                <w:szCs w:val="21"/>
              </w:rPr>
            </w:pPr>
            <w:r>
              <w:rPr>
                <w:rFonts w:ascii="宋体" w:hAnsi="宋体" w:eastAsia="宋体"/>
                <w:color w:val="auto"/>
                <w:sz w:val="21"/>
                <w:szCs w:val="21"/>
              </w:rPr>
              <w:t>5</w:t>
            </w:r>
          </w:p>
        </w:tc>
        <w:tc>
          <w:tcPr>
            <w:tcW w:w="1501"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rPr>
              <w:t>甲类仓库</w:t>
            </w:r>
          </w:p>
        </w:tc>
        <w:tc>
          <w:tcPr>
            <w:tcW w:w="1007" w:type="dxa"/>
            <w:shd w:val="clear" w:color="auto" w:fill="FFFFFF"/>
            <w:vAlign w:val="center"/>
          </w:tcPr>
          <w:p>
            <w:pPr>
              <w:jc w:val="center"/>
              <w:rPr>
                <w:rFonts w:ascii="宋体" w:hAnsi="宋体" w:eastAsia="宋体"/>
                <w:color w:val="auto"/>
                <w:sz w:val="21"/>
                <w:szCs w:val="21"/>
              </w:rPr>
            </w:pPr>
            <w:r>
              <w:rPr>
                <w:rFonts w:ascii="宋体" w:hAnsi="宋体" w:eastAsia="宋体"/>
                <w:color w:val="auto"/>
                <w:sz w:val="21"/>
                <w:szCs w:val="21"/>
              </w:rPr>
              <w:t>5</w:t>
            </w:r>
          </w:p>
        </w:tc>
        <w:tc>
          <w:tcPr>
            <w:tcW w:w="1007" w:type="dxa"/>
            <w:shd w:val="clear" w:color="auto" w:fill="FFFFFF"/>
            <w:vAlign w:val="center"/>
          </w:tcPr>
          <w:p>
            <w:pPr>
              <w:jc w:val="center"/>
              <w:rPr>
                <w:rFonts w:ascii="宋体" w:hAnsi="宋体" w:eastAsia="宋体"/>
                <w:color w:val="auto"/>
                <w:sz w:val="21"/>
                <w:szCs w:val="21"/>
              </w:rPr>
            </w:pPr>
            <w:r>
              <w:rPr>
                <w:rFonts w:hint="eastAsia" w:ascii="宋体" w:hAnsi="宋体" w:eastAsia="宋体"/>
                <w:color w:val="auto"/>
                <w:sz w:val="21"/>
                <w:szCs w:val="21"/>
                <w:lang w:eastAsia="zh-CN"/>
              </w:rPr>
              <w:t>产品</w:t>
            </w:r>
          </w:p>
        </w:tc>
      </w:tr>
    </w:tbl>
    <w:p>
      <w:pPr>
        <w:spacing w:line="560" w:lineRule="exact"/>
        <w:ind w:firstLine="425" w:firstLineChars="152"/>
        <w:rPr>
          <w:rFonts w:ascii="宋体" w:hAnsi="宋体" w:eastAsia="宋体"/>
          <w:color w:val="auto"/>
          <w:sz w:val="28"/>
          <w:szCs w:val="28"/>
        </w:rPr>
      </w:pPr>
      <w:r>
        <w:rPr>
          <w:rFonts w:hint="eastAsia" w:ascii="宋体" w:hAnsi="宋体" w:eastAsia="宋体"/>
          <w:color w:val="auto"/>
          <w:sz w:val="28"/>
          <w:szCs w:val="28"/>
          <w:lang w:eastAsia="zh-CN"/>
        </w:rPr>
        <w:t>1)</w:t>
      </w:r>
      <w:r>
        <w:rPr>
          <w:rFonts w:ascii="宋体" w:hAnsi="宋体" w:eastAsia="宋体"/>
          <w:color w:val="auto"/>
          <w:sz w:val="28"/>
          <w:szCs w:val="28"/>
        </w:rPr>
        <w:t>易燃易爆性</w:t>
      </w:r>
    </w:p>
    <w:p>
      <w:pPr>
        <w:spacing w:line="560" w:lineRule="exact"/>
        <w:ind w:firstLine="425" w:firstLineChars="152"/>
        <w:rPr>
          <w:rFonts w:ascii="宋体" w:hAnsi="宋体" w:eastAsia="宋体"/>
          <w:color w:val="auto"/>
          <w:sz w:val="28"/>
          <w:szCs w:val="28"/>
        </w:rPr>
      </w:pPr>
      <w:r>
        <w:rPr>
          <w:rFonts w:ascii="宋体" w:hAnsi="宋体" w:eastAsia="宋体"/>
          <w:color w:val="auto"/>
          <w:sz w:val="28"/>
          <w:szCs w:val="28"/>
        </w:rPr>
        <w:t>该公司使用的原料如</w:t>
      </w:r>
      <w:r>
        <w:rPr>
          <w:rFonts w:hint="eastAsia" w:ascii="宋体" w:hAnsi="宋体" w:eastAsia="宋体"/>
          <w:color w:val="auto"/>
          <w:sz w:val="28"/>
          <w:szCs w:val="28"/>
          <w:lang w:eastAsia="zh-CN"/>
        </w:rPr>
        <w:t>二甲苯异构体混合物、乙酸乙酯、醇酸树脂</w:t>
      </w:r>
      <w:r>
        <w:rPr>
          <w:rFonts w:ascii="宋体" w:hAnsi="宋体" w:eastAsia="宋体"/>
          <w:color w:val="auto"/>
          <w:sz w:val="28"/>
          <w:szCs w:val="28"/>
        </w:rPr>
        <w:t>等及产品等为易燃液体，其挥发出的可燃蒸气可与空气形成爆炸性混合物，遇火源有发生火灾、爆炸的危险。其蒸气比空气重，能在较低处扩散到相当远的地方，遇火源引着回燃。</w:t>
      </w:r>
    </w:p>
    <w:p>
      <w:pPr>
        <w:spacing w:line="560" w:lineRule="exact"/>
        <w:ind w:firstLine="425" w:firstLineChars="152"/>
        <w:rPr>
          <w:rFonts w:ascii="宋体" w:hAnsi="宋体" w:eastAsia="宋体"/>
          <w:color w:val="auto"/>
          <w:sz w:val="28"/>
          <w:szCs w:val="28"/>
        </w:rPr>
      </w:pPr>
      <w:r>
        <w:rPr>
          <w:rFonts w:hint="eastAsia" w:ascii="宋体" w:hAnsi="宋体" w:eastAsia="宋体"/>
          <w:color w:val="auto"/>
          <w:sz w:val="28"/>
          <w:szCs w:val="28"/>
          <w:lang w:eastAsia="zh-CN"/>
        </w:rPr>
        <w:t>2)</w:t>
      </w:r>
      <w:r>
        <w:rPr>
          <w:rFonts w:ascii="宋体" w:hAnsi="宋体" w:eastAsia="宋体"/>
          <w:color w:val="auto"/>
          <w:sz w:val="28"/>
          <w:szCs w:val="28"/>
        </w:rPr>
        <w:t>毒害性</w:t>
      </w:r>
    </w:p>
    <w:p>
      <w:pPr>
        <w:spacing w:line="560" w:lineRule="exact"/>
        <w:ind w:firstLine="425" w:firstLineChars="152"/>
        <w:rPr>
          <w:rFonts w:ascii="宋体" w:hAnsi="宋体" w:eastAsia="宋体"/>
          <w:color w:val="auto"/>
          <w:sz w:val="28"/>
          <w:szCs w:val="28"/>
        </w:rPr>
      </w:pPr>
      <w:r>
        <w:rPr>
          <w:rFonts w:ascii="宋体" w:hAnsi="宋体" w:eastAsia="宋体"/>
          <w:color w:val="auto"/>
          <w:sz w:val="28"/>
          <w:szCs w:val="28"/>
        </w:rPr>
        <w:t>生产过程中使用到易燃液体如</w:t>
      </w:r>
      <w:r>
        <w:rPr>
          <w:rFonts w:hint="eastAsia" w:ascii="宋体" w:hAnsi="宋体" w:eastAsia="宋体"/>
          <w:color w:val="auto"/>
          <w:sz w:val="28"/>
          <w:szCs w:val="28"/>
          <w:lang w:eastAsia="zh-CN"/>
        </w:rPr>
        <w:t>二甲苯异构体混合物、乙酸乙酯、醇酸树脂</w:t>
      </w:r>
      <w:r>
        <w:rPr>
          <w:rFonts w:ascii="宋体" w:hAnsi="宋体" w:eastAsia="宋体"/>
          <w:color w:val="auto"/>
          <w:sz w:val="28"/>
          <w:szCs w:val="28"/>
        </w:rPr>
        <w:t>等均有一定的毒害性，如人员长期吸入过量的有害物质，可导致人员的急性中毒或慢性中毒。</w:t>
      </w:r>
    </w:p>
    <w:p>
      <w:pPr>
        <w:spacing w:line="560" w:lineRule="exact"/>
        <w:ind w:firstLine="425" w:firstLineChars="152"/>
        <w:rPr>
          <w:rFonts w:ascii="宋体" w:hAnsi="宋体" w:eastAsia="宋体"/>
          <w:color w:val="auto"/>
          <w:sz w:val="28"/>
          <w:szCs w:val="28"/>
        </w:rPr>
      </w:pPr>
      <w:r>
        <w:rPr>
          <w:rFonts w:hint="eastAsia" w:ascii="宋体" w:hAnsi="宋体" w:eastAsia="宋体"/>
          <w:color w:val="auto"/>
          <w:sz w:val="28"/>
          <w:szCs w:val="28"/>
          <w:lang w:eastAsia="zh-CN"/>
        </w:rPr>
        <w:t>3)</w:t>
      </w:r>
      <w:r>
        <w:rPr>
          <w:rFonts w:ascii="宋体" w:hAnsi="宋体" w:eastAsia="宋体"/>
          <w:color w:val="auto"/>
          <w:sz w:val="28"/>
          <w:szCs w:val="28"/>
        </w:rPr>
        <w:t>刺激性</w:t>
      </w:r>
    </w:p>
    <w:p>
      <w:pPr>
        <w:spacing w:line="560" w:lineRule="exact"/>
        <w:ind w:firstLine="425" w:firstLineChars="152"/>
        <w:rPr>
          <w:rFonts w:ascii="宋体" w:hAnsi="宋体" w:eastAsia="宋体"/>
          <w:color w:val="auto"/>
          <w:sz w:val="28"/>
          <w:szCs w:val="28"/>
        </w:rPr>
      </w:pPr>
      <w:r>
        <w:rPr>
          <w:rFonts w:hint="eastAsia" w:ascii="宋体" w:hAnsi="宋体" w:eastAsia="宋体"/>
          <w:color w:val="auto"/>
          <w:sz w:val="28"/>
          <w:szCs w:val="28"/>
          <w:lang w:eastAsia="zh-CN"/>
        </w:rPr>
        <w:t>二甲苯异构体混合物、乙酸乙酯、醇酸树脂、混丙醇</w:t>
      </w:r>
      <w:r>
        <w:rPr>
          <w:rFonts w:ascii="宋体" w:hAnsi="宋体" w:eastAsia="宋体"/>
          <w:color w:val="auto"/>
          <w:sz w:val="28"/>
          <w:szCs w:val="28"/>
        </w:rPr>
        <w:t>等物质对皮肤、粘膜、眼睛有刺激作用，其蒸气对呼吸道有刺激性。</w:t>
      </w:r>
    </w:p>
    <w:p>
      <w:pPr>
        <w:spacing w:line="560" w:lineRule="exact"/>
        <w:ind w:firstLine="425" w:firstLineChars="152"/>
        <w:rPr>
          <w:rFonts w:ascii="宋体" w:hAnsi="宋体" w:eastAsia="宋体"/>
          <w:color w:val="auto"/>
          <w:sz w:val="28"/>
          <w:szCs w:val="28"/>
        </w:rPr>
      </w:pPr>
      <w:r>
        <w:rPr>
          <w:rFonts w:hint="eastAsia" w:ascii="宋体" w:hAnsi="宋体" w:eastAsia="宋体"/>
          <w:color w:val="auto"/>
          <w:sz w:val="28"/>
          <w:szCs w:val="28"/>
          <w:lang w:eastAsia="zh-CN"/>
        </w:rPr>
        <w:t>4)</w:t>
      </w:r>
      <w:r>
        <w:rPr>
          <w:rFonts w:ascii="宋体" w:hAnsi="宋体" w:eastAsia="宋体"/>
          <w:color w:val="auto"/>
          <w:sz w:val="28"/>
          <w:szCs w:val="28"/>
        </w:rPr>
        <w:t>易积聚静电</w:t>
      </w:r>
    </w:p>
    <w:p>
      <w:pPr>
        <w:spacing w:line="560" w:lineRule="exact"/>
        <w:ind w:firstLine="425" w:firstLineChars="152"/>
        <w:rPr>
          <w:rFonts w:ascii="宋体" w:hAnsi="宋体" w:eastAsia="PMingLiU"/>
          <w:color w:val="auto"/>
          <w:sz w:val="28"/>
          <w:szCs w:val="28"/>
        </w:rPr>
      </w:pPr>
      <w:r>
        <w:rPr>
          <w:rFonts w:hint="eastAsia" w:ascii="宋体" w:hAnsi="宋体" w:eastAsia="宋体"/>
          <w:color w:val="auto"/>
          <w:sz w:val="28"/>
          <w:szCs w:val="28"/>
          <w:lang w:eastAsia="zh-CN"/>
        </w:rPr>
        <w:t>二甲苯异构体混合物、乙酸乙酯、醇酸树脂</w:t>
      </w:r>
      <w:r>
        <w:rPr>
          <w:rFonts w:ascii="宋体" w:hAnsi="宋体" w:eastAsia="宋体"/>
          <w:color w:val="auto"/>
          <w:sz w:val="28"/>
          <w:szCs w:val="28"/>
        </w:rPr>
        <w:t>等各种易燃液体在生产搅拌时与器壁、管壁摩擦易产生静电积聚。</w:t>
      </w:r>
    </w:p>
    <w:p>
      <w:pPr>
        <w:spacing w:line="560" w:lineRule="exact"/>
        <w:jc w:val="center"/>
        <w:rPr>
          <w:rFonts w:ascii="宋体" w:hAnsi="宋体" w:eastAsia="PMingLiU"/>
          <w:b/>
          <w:color w:val="auto"/>
        </w:rPr>
      </w:pPr>
      <w:r>
        <w:rPr>
          <w:rFonts w:ascii="宋体" w:hAnsi="宋体" w:eastAsia="宋体"/>
          <w:b/>
          <w:color w:val="auto"/>
        </w:rPr>
        <w:t>附表1-</w:t>
      </w:r>
      <w:r>
        <w:rPr>
          <w:rFonts w:hint="eastAsia" w:ascii="宋体" w:hAnsi="宋体" w:eastAsia="宋体"/>
          <w:b/>
          <w:color w:val="auto"/>
          <w:lang w:eastAsia="zh-CN"/>
        </w:rPr>
        <w:t>2</w:t>
      </w:r>
      <w:r>
        <w:rPr>
          <w:rFonts w:hint="eastAsia" w:ascii="宋体" w:hAnsi="宋体" w:eastAsia="宋体"/>
          <w:b/>
          <w:color w:val="auto"/>
        </w:rPr>
        <w:t>危险化学品分类信息表</w:t>
      </w:r>
    </w:p>
    <w:tbl>
      <w:tblPr>
        <w:tblStyle w:val="45"/>
        <w:tblW w:w="5000" w:type="pct"/>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 w:type="dxa"/>
          <w:bottom w:w="0" w:type="dxa"/>
          <w:right w:w="10" w:type="dxa"/>
        </w:tblCellMar>
      </w:tblPr>
      <w:tblGrid>
        <w:gridCol w:w="708"/>
        <w:gridCol w:w="2274"/>
        <w:gridCol w:w="995"/>
        <w:gridCol w:w="5221"/>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454" w:hRule="atLeast"/>
          <w:tblHeader/>
          <w:jc w:val="center"/>
        </w:trPr>
        <w:tc>
          <w:tcPr>
            <w:tcW w:w="708" w:type="dxa"/>
            <w:shd w:val="clear" w:color="auto" w:fill="FFFFFF"/>
            <w:vAlign w:val="center"/>
          </w:tcPr>
          <w:p>
            <w:pPr>
              <w:spacing w:line="276" w:lineRule="auto"/>
              <w:jc w:val="center"/>
              <w:rPr>
                <w:rFonts w:ascii="宋体" w:hAnsi="宋体" w:eastAsia="宋体"/>
                <w:b/>
                <w:color w:val="auto"/>
                <w:sz w:val="21"/>
                <w:szCs w:val="21"/>
              </w:rPr>
            </w:pPr>
            <w:r>
              <w:rPr>
                <w:rFonts w:ascii="宋体" w:hAnsi="宋体" w:eastAsia="宋体"/>
                <w:b/>
                <w:color w:val="auto"/>
                <w:sz w:val="21"/>
                <w:szCs w:val="21"/>
              </w:rPr>
              <w:t>序号</w:t>
            </w:r>
          </w:p>
        </w:tc>
        <w:tc>
          <w:tcPr>
            <w:tcW w:w="2274" w:type="dxa"/>
            <w:shd w:val="clear" w:color="auto" w:fill="FFFFFF"/>
            <w:vAlign w:val="center"/>
          </w:tcPr>
          <w:p>
            <w:pPr>
              <w:spacing w:line="276" w:lineRule="auto"/>
              <w:jc w:val="center"/>
              <w:rPr>
                <w:rFonts w:ascii="宋体" w:hAnsi="宋体" w:eastAsia="宋体"/>
                <w:b/>
                <w:color w:val="auto"/>
                <w:sz w:val="21"/>
                <w:szCs w:val="21"/>
              </w:rPr>
            </w:pPr>
            <w:r>
              <w:rPr>
                <w:rFonts w:ascii="宋体" w:hAnsi="宋体" w:eastAsia="宋体"/>
                <w:b/>
                <w:color w:val="auto"/>
                <w:sz w:val="21"/>
                <w:szCs w:val="21"/>
              </w:rPr>
              <w:t>名称</w:t>
            </w:r>
          </w:p>
        </w:tc>
        <w:tc>
          <w:tcPr>
            <w:tcW w:w="995" w:type="dxa"/>
            <w:shd w:val="clear" w:color="auto" w:fill="FFFFFF"/>
            <w:vAlign w:val="center"/>
          </w:tcPr>
          <w:p>
            <w:pPr>
              <w:spacing w:line="276" w:lineRule="auto"/>
              <w:jc w:val="center"/>
              <w:rPr>
                <w:rFonts w:ascii="宋体" w:hAnsi="宋体" w:eastAsia="宋体"/>
                <w:b/>
                <w:color w:val="auto"/>
                <w:sz w:val="21"/>
                <w:szCs w:val="21"/>
              </w:rPr>
            </w:pPr>
            <w:r>
              <w:rPr>
                <w:rFonts w:ascii="宋体" w:hAnsi="宋体" w:eastAsia="宋体"/>
                <w:b/>
                <w:color w:val="auto"/>
                <w:sz w:val="21"/>
                <w:szCs w:val="21"/>
              </w:rPr>
              <w:t>危险化学品序号</w:t>
            </w:r>
          </w:p>
        </w:tc>
        <w:tc>
          <w:tcPr>
            <w:tcW w:w="5221" w:type="dxa"/>
            <w:shd w:val="clear" w:color="auto" w:fill="FFFFFF"/>
            <w:vAlign w:val="center"/>
          </w:tcPr>
          <w:p>
            <w:pPr>
              <w:spacing w:line="276" w:lineRule="auto"/>
              <w:jc w:val="center"/>
              <w:rPr>
                <w:rFonts w:ascii="宋体" w:hAnsi="宋体" w:eastAsia="宋体"/>
                <w:b/>
                <w:color w:val="auto"/>
                <w:sz w:val="21"/>
                <w:szCs w:val="21"/>
              </w:rPr>
            </w:pPr>
            <w:r>
              <w:rPr>
                <w:rFonts w:ascii="宋体" w:hAnsi="宋体" w:eastAsia="宋体"/>
                <w:b/>
                <w:color w:val="auto"/>
                <w:sz w:val="21"/>
                <w:szCs w:val="21"/>
              </w:rPr>
              <w:t>危险化学品分类信息</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454" w:hRule="atLeast"/>
          <w:jc w:val="center"/>
        </w:trPr>
        <w:tc>
          <w:tcPr>
            <w:tcW w:w="708" w:type="dxa"/>
            <w:shd w:val="clear" w:color="auto" w:fill="FFFFFF"/>
            <w:vAlign w:val="center"/>
          </w:tcPr>
          <w:p>
            <w:pPr>
              <w:spacing w:line="276" w:lineRule="auto"/>
              <w:jc w:val="center"/>
              <w:rPr>
                <w:rFonts w:ascii="宋体" w:hAnsi="宋体" w:eastAsia="宋体"/>
                <w:color w:val="auto"/>
                <w:sz w:val="21"/>
                <w:szCs w:val="21"/>
              </w:rPr>
            </w:pPr>
            <w:r>
              <w:rPr>
                <w:rFonts w:ascii="宋体" w:hAnsi="宋体" w:eastAsia="宋体"/>
                <w:color w:val="auto"/>
                <w:sz w:val="21"/>
                <w:szCs w:val="21"/>
              </w:rPr>
              <w:t>1</w:t>
            </w:r>
          </w:p>
        </w:tc>
        <w:tc>
          <w:tcPr>
            <w:tcW w:w="2274" w:type="dxa"/>
            <w:shd w:val="clear" w:color="auto" w:fill="FFFFFF"/>
            <w:vAlign w:val="center"/>
          </w:tcPr>
          <w:p>
            <w:pPr>
              <w:spacing w:line="276" w:lineRule="auto"/>
              <w:jc w:val="center"/>
              <w:rPr>
                <w:rFonts w:ascii="宋体" w:hAnsi="宋体" w:eastAsia="宋体"/>
                <w:color w:val="auto"/>
                <w:sz w:val="21"/>
                <w:szCs w:val="21"/>
              </w:rPr>
            </w:pPr>
            <w:r>
              <w:rPr>
                <w:rFonts w:hint="eastAsia" w:ascii="宋体" w:hAnsi="宋体" w:eastAsia="宋体"/>
                <w:color w:val="auto"/>
                <w:sz w:val="21"/>
                <w:szCs w:val="21"/>
              </w:rPr>
              <w:t>二甲苯异构体混合物</w:t>
            </w:r>
          </w:p>
        </w:tc>
        <w:tc>
          <w:tcPr>
            <w:tcW w:w="995" w:type="dxa"/>
            <w:shd w:val="clear" w:color="auto" w:fill="FFFFFF"/>
            <w:vAlign w:val="center"/>
          </w:tcPr>
          <w:p>
            <w:pPr>
              <w:spacing w:line="276" w:lineRule="auto"/>
              <w:jc w:val="center"/>
              <w:rPr>
                <w:rFonts w:ascii="宋体" w:hAnsi="宋体" w:eastAsia="宋体"/>
                <w:color w:val="auto"/>
                <w:sz w:val="21"/>
                <w:szCs w:val="21"/>
              </w:rPr>
            </w:pPr>
            <w:r>
              <w:rPr>
                <w:rFonts w:hint="eastAsia" w:ascii="宋体" w:hAnsi="宋体" w:eastAsia="宋体"/>
                <w:color w:val="auto"/>
                <w:sz w:val="21"/>
                <w:szCs w:val="21"/>
              </w:rPr>
              <w:t>358</w:t>
            </w:r>
          </w:p>
        </w:tc>
        <w:tc>
          <w:tcPr>
            <w:tcW w:w="5221" w:type="dxa"/>
            <w:shd w:val="clear" w:color="auto" w:fill="FFFFFF"/>
            <w:vAlign w:val="center"/>
          </w:tcPr>
          <w:p>
            <w:pPr>
              <w:widowControl/>
              <w:spacing w:line="276" w:lineRule="auto"/>
              <w:rPr>
                <w:rFonts w:ascii="宋体" w:hAnsi="宋体" w:eastAsia="宋体" w:cs="宋体"/>
                <w:color w:val="auto"/>
                <w:sz w:val="21"/>
                <w:szCs w:val="21"/>
              </w:rPr>
            </w:pPr>
            <w:r>
              <w:rPr>
                <w:rFonts w:ascii="宋体" w:hAnsi="宋体" w:eastAsia="宋体" w:cs="宋体"/>
                <w:color w:val="auto"/>
                <w:sz w:val="21"/>
                <w:szCs w:val="21"/>
              </w:rPr>
              <w:t>易燃液体,类别3</w:t>
            </w:r>
          </w:p>
          <w:p>
            <w:pPr>
              <w:widowControl/>
              <w:spacing w:line="276" w:lineRule="auto"/>
              <w:rPr>
                <w:rFonts w:ascii="宋体" w:hAnsi="宋体" w:eastAsia="宋体" w:cs="宋体"/>
                <w:color w:val="auto"/>
                <w:sz w:val="21"/>
                <w:szCs w:val="21"/>
              </w:rPr>
            </w:pPr>
            <w:r>
              <w:rPr>
                <w:rFonts w:ascii="宋体" w:hAnsi="宋体" w:eastAsia="宋体" w:cs="宋体"/>
                <w:color w:val="auto"/>
                <w:sz w:val="21"/>
                <w:szCs w:val="21"/>
              </w:rPr>
              <w:t>皮肤腐蚀/刺激,类别2</w:t>
            </w:r>
          </w:p>
          <w:p>
            <w:pPr>
              <w:spacing w:line="276" w:lineRule="auto"/>
              <w:ind w:right="94" w:rightChars="39"/>
              <w:jc w:val="both"/>
              <w:rPr>
                <w:rFonts w:ascii="宋体" w:hAnsi="宋体" w:eastAsia="宋体"/>
                <w:color w:val="auto"/>
                <w:sz w:val="21"/>
                <w:szCs w:val="21"/>
              </w:rPr>
            </w:pPr>
            <w:r>
              <w:rPr>
                <w:rFonts w:ascii="宋体" w:hAnsi="宋体" w:eastAsia="宋体" w:cs="宋体"/>
                <w:color w:val="auto"/>
                <w:sz w:val="21"/>
                <w:szCs w:val="21"/>
              </w:rPr>
              <w:t>危害水生环境-急性危害,类别2</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454" w:hRule="atLeast"/>
          <w:jc w:val="center"/>
        </w:trPr>
        <w:tc>
          <w:tcPr>
            <w:tcW w:w="708" w:type="dxa"/>
            <w:shd w:val="clear" w:color="auto" w:fill="FFFFFF"/>
            <w:vAlign w:val="center"/>
          </w:tcPr>
          <w:p>
            <w:pPr>
              <w:spacing w:line="276" w:lineRule="auto"/>
              <w:jc w:val="center"/>
              <w:rPr>
                <w:rFonts w:ascii="宋体" w:hAnsi="宋体" w:eastAsia="宋体"/>
                <w:color w:val="auto"/>
                <w:sz w:val="21"/>
                <w:szCs w:val="21"/>
              </w:rPr>
            </w:pPr>
            <w:r>
              <w:rPr>
                <w:rFonts w:ascii="宋体" w:hAnsi="宋体" w:eastAsia="宋体"/>
                <w:color w:val="auto"/>
                <w:sz w:val="21"/>
                <w:szCs w:val="21"/>
              </w:rPr>
              <w:t>2</w:t>
            </w:r>
          </w:p>
        </w:tc>
        <w:tc>
          <w:tcPr>
            <w:tcW w:w="2274" w:type="dxa"/>
            <w:shd w:val="clear" w:color="auto" w:fill="FFFFFF"/>
            <w:vAlign w:val="center"/>
          </w:tcPr>
          <w:p>
            <w:pPr>
              <w:spacing w:line="276" w:lineRule="auto"/>
              <w:jc w:val="center"/>
              <w:rPr>
                <w:rFonts w:ascii="宋体" w:hAnsi="宋体" w:eastAsia="宋体"/>
                <w:color w:val="auto"/>
                <w:sz w:val="21"/>
                <w:szCs w:val="21"/>
              </w:rPr>
            </w:pPr>
            <w:r>
              <w:rPr>
                <w:rFonts w:hint="eastAsia" w:ascii="宋体" w:hAnsi="宋体" w:eastAsia="宋体"/>
                <w:color w:val="auto"/>
                <w:sz w:val="21"/>
                <w:szCs w:val="21"/>
              </w:rPr>
              <w:t>乙酸正丁酯</w:t>
            </w:r>
          </w:p>
        </w:tc>
        <w:tc>
          <w:tcPr>
            <w:tcW w:w="995" w:type="dxa"/>
            <w:shd w:val="clear" w:color="auto" w:fill="FFFFFF"/>
            <w:vAlign w:val="center"/>
          </w:tcPr>
          <w:p>
            <w:pPr>
              <w:spacing w:line="276" w:lineRule="auto"/>
              <w:jc w:val="center"/>
              <w:rPr>
                <w:rFonts w:ascii="宋体" w:hAnsi="宋体" w:eastAsia="宋体"/>
                <w:color w:val="auto"/>
                <w:sz w:val="21"/>
                <w:szCs w:val="21"/>
              </w:rPr>
            </w:pPr>
            <w:r>
              <w:rPr>
                <w:rFonts w:hint="eastAsia" w:ascii="宋体" w:hAnsi="宋体" w:eastAsia="宋体"/>
                <w:color w:val="auto"/>
                <w:sz w:val="21"/>
                <w:szCs w:val="21"/>
              </w:rPr>
              <w:t>2657</w:t>
            </w:r>
          </w:p>
        </w:tc>
        <w:tc>
          <w:tcPr>
            <w:tcW w:w="5221" w:type="dxa"/>
            <w:shd w:val="clear" w:color="auto" w:fill="FFFFFF"/>
            <w:vAlign w:val="center"/>
          </w:tcPr>
          <w:p>
            <w:pPr>
              <w:widowControl/>
              <w:spacing w:line="276" w:lineRule="auto"/>
              <w:rPr>
                <w:rFonts w:ascii="宋体" w:hAnsi="宋体" w:eastAsia="宋体" w:cs="宋体"/>
                <w:color w:val="auto"/>
                <w:sz w:val="21"/>
                <w:szCs w:val="21"/>
              </w:rPr>
            </w:pPr>
            <w:r>
              <w:rPr>
                <w:rFonts w:ascii="宋体" w:hAnsi="宋体" w:eastAsia="宋体" w:cs="宋体"/>
                <w:color w:val="auto"/>
                <w:sz w:val="21"/>
                <w:szCs w:val="21"/>
              </w:rPr>
              <w:t>易燃液体,类别3</w:t>
            </w:r>
          </w:p>
          <w:p>
            <w:pPr>
              <w:spacing w:line="276" w:lineRule="auto"/>
              <w:ind w:right="94" w:rightChars="39"/>
              <w:jc w:val="both"/>
              <w:rPr>
                <w:rFonts w:ascii="宋体" w:hAnsi="宋体" w:eastAsia="宋体"/>
                <w:color w:val="auto"/>
                <w:sz w:val="21"/>
                <w:szCs w:val="21"/>
              </w:rPr>
            </w:pPr>
            <w:r>
              <w:rPr>
                <w:rFonts w:ascii="宋体" w:hAnsi="宋体" w:eastAsia="宋体" w:cs="宋体"/>
                <w:color w:val="auto"/>
                <w:sz w:val="21"/>
                <w:szCs w:val="21"/>
              </w:rPr>
              <w:t>特异性靶器官毒性-一次接触,类别3（麻醉效应）</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454" w:hRule="atLeast"/>
          <w:jc w:val="center"/>
        </w:trPr>
        <w:tc>
          <w:tcPr>
            <w:tcW w:w="708" w:type="dxa"/>
            <w:shd w:val="clear" w:color="auto" w:fill="FFFFFF"/>
            <w:vAlign w:val="center"/>
          </w:tcPr>
          <w:p>
            <w:pPr>
              <w:spacing w:line="276" w:lineRule="auto"/>
              <w:jc w:val="center"/>
              <w:rPr>
                <w:rFonts w:ascii="宋体" w:hAnsi="宋体" w:eastAsia="宋体"/>
                <w:color w:val="auto"/>
                <w:sz w:val="21"/>
                <w:szCs w:val="21"/>
              </w:rPr>
            </w:pPr>
            <w:r>
              <w:rPr>
                <w:rFonts w:ascii="宋体" w:hAnsi="宋体" w:eastAsia="宋体"/>
                <w:color w:val="auto"/>
                <w:sz w:val="21"/>
                <w:szCs w:val="21"/>
              </w:rPr>
              <w:t>3</w:t>
            </w:r>
          </w:p>
        </w:tc>
        <w:tc>
          <w:tcPr>
            <w:tcW w:w="2274" w:type="dxa"/>
            <w:shd w:val="clear" w:color="auto" w:fill="FFFFFF"/>
            <w:vAlign w:val="center"/>
          </w:tcPr>
          <w:p>
            <w:pPr>
              <w:spacing w:line="276" w:lineRule="auto"/>
              <w:jc w:val="center"/>
              <w:rPr>
                <w:rFonts w:ascii="宋体" w:hAnsi="宋体" w:eastAsia="宋体"/>
                <w:color w:val="auto"/>
                <w:sz w:val="21"/>
                <w:szCs w:val="21"/>
              </w:rPr>
            </w:pPr>
            <w:r>
              <w:rPr>
                <w:rFonts w:hint="eastAsia" w:ascii="宋体" w:hAnsi="宋体" w:eastAsia="宋体"/>
                <w:color w:val="auto"/>
                <w:sz w:val="21"/>
                <w:szCs w:val="21"/>
              </w:rPr>
              <w:t>环己酮</w:t>
            </w:r>
          </w:p>
        </w:tc>
        <w:tc>
          <w:tcPr>
            <w:tcW w:w="995" w:type="dxa"/>
            <w:shd w:val="clear" w:color="auto" w:fill="FFFFFF"/>
            <w:vAlign w:val="center"/>
          </w:tcPr>
          <w:p>
            <w:pPr>
              <w:spacing w:line="276"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952</w:t>
            </w:r>
          </w:p>
        </w:tc>
        <w:tc>
          <w:tcPr>
            <w:tcW w:w="5221" w:type="dxa"/>
            <w:shd w:val="clear" w:color="auto" w:fill="FFFFFF"/>
            <w:vAlign w:val="center"/>
          </w:tcPr>
          <w:p>
            <w:pPr>
              <w:spacing w:line="276" w:lineRule="auto"/>
              <w:ind w:right="94" w:rightChars="39"/>
              <w:jc w:val="both"/>
              <w:rPr>
                <w:rFonts w:ascii="宋体" w:hAnsi="宋体" w:eastAsia="宋体"/>
                <w:color w:val="auto"/>
                <w:sz w:val="21"/>
                <w:szCs w:val="21"/>
              </w:rPr>
            </w:pPr>
            <w:r>
              <w:rPr>
                <w:rFonts w:ascii="宋体" w:hAnsi="宋体" w:eastAsia="宋体" w:cs="宋体"/>
                <w:color w:val="auto"/>
                <w:sz w:val="21"/>
                <w:szCs w:val="21"/>
              </w:rPr>
              <w:t>易燃液体,类别3</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454" w:hRule="atLeast"/>
          <w:jc w:val="center"/>
        </w:trPr>
        <w:tc>
          <w:tcPr>
            <w:tcW w:w="708" w:type="dxa"/>
            <w:shd w:val="clear" w:color="auto" w:fill="FFFFFF"/>
            <w:vAlign w:val="center"/>
          </w:tcPr>
          <w:p>
            <w:pPr>
              <w:spacing w:line="276" w:lineRule="auto"/>
              <w:jc w:val="center"/>
              <w:rPr>
                <w:rFonts w:ascii="宋体" w:hAnsi="宋体" w:eastAsia="宋体"/>
                <w:color w:val="auto"/>
                <w:sz w:val="21"/>
                <w:szCs w:val="21"/>
              </w:rPr>
            </w:pPr>
            <w:r>
              <w:rPr>
                <w:rFonts w:ascii="宋体" w:hAnsi="宋体" w:eastAsia="宋体"/>
                <w:color w:val="auto"/>
                <w:sz w:val="21"/>
                <w:szCs w:val="21"/>
              </w:rPr>
              <w:t>4</w:t>
            </w:r>
          </w:p>
        </w:tc>
        <w:tc>
          <w:tcPr>
            <w:tcW w:w="2274" w:type="dxa"/>
            <w:shd w:val="clear" w:color="auto" w:fill="FFFFFF"/>
            <w:vAlign w:val="center"/>
          </w:tcPr>
          <w:p>
            <w:pPr>
              <w:spacing w:line="276" w:lineRule="auto"/>
              <w:jc w:val="center"/>
              <w:rPr>
                <w:rFonts w:ascii="宋体" w:hAnsi="宋体" w:eastAsia="宋体"/>
                <w:color w:val="auto"/>
                <w:sz w:val="21"/>
                <w:szCs w:val="21"/>
              </w:rPr>
            </w:pPr>
            <w:r>
              <w:rPr>
                <w:rFonts w:hint="eastAsia" w:ascii="宋体" w:hAnsi="宋体" w:eastAsia="宋体"/>
                <w:color w:val="auto"/>
                <w:sz w:val="21"/>
                <w:szCs w:val="21"/>
              </w:rPr>
              <w:t>苯乙烯【抑制了的】</w:t>
            </w:r>
          </w:p>
        </w:tc>
        <w:tc>
          <w:tcPr>
            <w:tcW w:w="995" w:type="dxa"/>
            <w:shd w:val="clear" w:color="auto" w:fill="FFFFFF"/>
            <w:vAlign w:val="center"/>
          </w:tcPr>
          <w:p>
            <w:pPr>
              <w:spacing w:line="276" w:lineRule="auto"/>
              <w:jc w:val="center"/>
              <w:rPr>
                <w:rFonts w:ascii="宋体" w:hAnsi="宋体" w:eastAsia="宋体"/>
                <w:color w:val="auto"/>
                <w:sz w:val="21"/>
                <w:szCs w:val="21"/>
              </w:rPr>
            </w:pPr>
            <w:r>
              <w:rPr>
                <w:rFonts w:hint="eastAsia" w:ascii="宋体" w:hAnsi="宋体" w:eastAsia="宋体"/>
                <w:color w:val="auto"/>
                <w:sz w:val="21"/>
                <w:szCs w:val="21"/>
              </w:rPr>
              <w:t>96</w:t>
            </w:r>
          </w:p>
        </w:tc>
        <w:tc>
          <w:tcPr>
            <w:tcW w:w="5221" w:type="dxa"/>
            <w:shd w:val="clear" w:color="auto" w:fill="FFFFFF"/>
            <w:vAlign w:val="center"/>
          </w:tcPr>
          <w:p>
            <w:pPr>
              <w:widowControl/>
              <w:spacing w:line="276" w:lineRule="auto"/>
              <w:rPr>
                <w:rFonts w:ascii="宋体" w:hAnsi="宋体" w:eastAsia="宋体" w:cs="宋体"/>
                <w:color w:val="auto"/>
                <w:sz w:val="21"/>
                <w:szCs w:val="21"/>
              </w:rPr>
            </w:pPr>
            <w:r>
              <w:rPr>
                <w:rFonts w:ascii="宋体" w:hAnsi="宋体" w:eastAsia="宋体" w:cs="宋体"/>
                <w:color w:val="auto"/>
                <w:sz w:val="21"/>
                <w:szCs w:val="21"/>
              </w:rPr>
              <w:t>易燃液体,类别3</w:t>
            </w:r>
          </w:p>
          <w:p>
            <w:pPr>
              <w:widowControl/>
              <w:spacing w:line="276" w:lineRule="auto"/>
              <w:rPr>
                <w:rFonts w:ascii="宋体" w:hAnsi="宋体" w:eastAsia="宋体" w:cs="宋体"/>
                <w:color w:val="auto"/>
                <w:sz w:val="21"/>
                <w:szCs w:val="21"/>
              </w:rPr>
            </w:pPr>
            <w:r>
              <w:rPr>
                <w:rFonts w:ascii="宋体" w:hAnsi="宋体" w:eastAsia="宋体" w:cs="宋体"/>
                <w:color w:val="auto"/>
                <w:sz w:val="21"/>
                <w:szCs w:val="21"/>
              </w:rPr>
              <w:t>皮肤腐蚀/刺激,类别2</w:t>
            </w:r>
          </w:p>
          <w:p>
            <w:pPr>
              <w:widowControl/>
              <w:spacing w:line="276" w:lineRule="auto"/>
              <w:rPr>
                <w:rFonts w:ascii="宋体" w:hAnsi="宋体" w:eastAsia="宋体" w:cs="宋体"/>
                <w:color w:val="auto"/>
                <w:sz w:val="21"/>
                <w:szCs w:val="21"/>
              </w:rPr>
            </w:pPr>
            <w:r>
              <w:rPr>
                <w:rFonts w:ascii="宋体" w:hAnsi="宋体" w:eastAsia="宋体" w:cs="宋体"/>
                <w:color w:val="auto"/>
                <w:sz w:val="21"/>
                <w:szCs w:val="21"/>
              </w:rPr>
              <w:t>严重眼损伤/眼刺激,类别2</w:t>
            </w:r>
          </w:p>
          <w:p>
            <w:pPr>
              <w:widowControl/>
              <w:spacing w:line="276" w:lineRule="auto"/>
              <w:rPr>
                <w:rFonts w:ascii="宋体" w:hAnsi="宋体" w:eastAsia="宋体" w:cs="宋体"/>
                <w:color w:val="auto"/>
                <w:sz w:val="21"/>
                <w:szCs w:val="21"/>
              </w:rPr>
            </w:pPr>
            <w:r>
              <w:rPr>
                <w:rFonts w:ascii="宋体" w:hAnsi="宋体" w:eastAsia="宋体" w:cs="宋体"/>
                <w:color w:val="auto"/>
                <w:sz w:val="21"/>
                <w:szCs w:val="21"/>
              </w:rPr>
              <w:t>致癌性,类别2</w:t>
            </w:r>
          </w:p>
          <w:p>
            <w:pPr>
              <w:widowControl/>
              <w:spacing w:line="276" w:lineRule="auto"/>
              <w:rPr>
                <w:rFonts w:ascii="宋体" w:hAnsi="宋体" w:eastAsia="宋体" w:cs="宋体"/>
                <w:color w:val="auto"/>
                <w:sz w:val="21"/>
                <w:szCs w:val="21"/>
              </w:rPr>
            </w:pPr>
            <w:r>
              <w:rPr>
                <w:rFonts w:ascii="宋体" w:hAnsi="宋体" w:eastAsia="宋体" w:cs="宋体"/>
                <w:color w:val="auto"/>
                <w:sz w:val="21"/>
                <w:szCs w:val="21"/>
              </w:rPr>
              <w:t>生殖毒性,类别2</w:t>
            </w:r>
          </w:p>
          <w:p>
            <w:pPr>
              <w:widowControl/>
              <w:spacing w:line="276" w:lineRule="auto"/>
              <w:rPr>
                <w:rFonts w:ascii="宋体" w:hAnsi="宋体" w:eastAsia="宋体" w:cs="宋体"/>
                <w:color w:val="auto"/>
                <w:sz w:val="21"/>
                <w:szCs w:val="21"/>
              </w:rPr>
            </w:pPr>
            <w:r>
              <w:rPr>
                <w:rFonts w:ascii="宋体" w:hAnsi="宋体" w:eastAsia="宋体" w:cs="宋体"/>
                <w:color w:val="auto"/>
                <w:sz w:val="21"/>
                <w:szCs w:val="21"/>
              </w:rPr>
              <w:t>特异性靶器官毒性-反复接触,类别1</w:t>
            </w:r>
          </w:p>
          <w:p>
            <w:pPr>
              <w:spacing w:line="276" w:lineRule="auto"/>
              <w:ind w:right="94" w:rightChars="39"/>
              <w:jc w:val="both"/>
              <w:rPr>
                <w:rFonts w:ascii="宋体" w:hAnsi="宋体" w:eastAsia="宋体"/>
                <w:color w:val="auto"/>
                <w:sz w:val="21"/>
                <w:szCs w:val="21"/>
              </w:rPr>
            </w:pPr>
            <w:r>
              <w:rPr>
                <w:rFonts w:ascii="宋体" w:hAnsi="宋体" w:eastAsia="宋体" w:cs="宋体"/>
                <w:color w:val="auto"/>
                <w:sz w:val="21"/>
                <w:szCs w:val="21"/>
              </w:rPr>
              <w:t>危害水生环境-急性危害,类别2</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454" w:hRule="atLeast"/>
          <w:jc w:val="center"/>
        </w:trPr>
        <w:tc>
          <w:tcPr>
            <w:tcW w:w="708" w:type="dxa"/>
            <w:shd w:val="clear" w:color="auto" w:fill="FFFFFF"/>
            <w:vAlign w:val="center"/>
          </w:tcPr>
          <w:p>
            <w:pPr>
              <w:spacing w:line="276" w:lineRule="auto"/>
              <w:jc w:val="center"/>
              <w:rPr>
                <w:rFonts w:ascii="宋体" w:hAnsi="宋体" w:eastAsia="宋体"/>
                <w:color w:val="auto"/>
                <w:sz w:val="21"/>
                <w:szCs w:val="21"/>
              </w:rPr>
            </w:pPr>
            <w:r>
              <w:rPr>
                <w:rFonts w:ascii="宋体" w:hAnsi="宋体" w:eastAsia="宋体"/>
                <w:color w:val="auto"/>
                <w:sz w:val="21"/>
                <w:szCs w:val="21"/>
              </w:rPr>
              <w:t>5</w:t>
            </w:r>
          </w:p>
        </w:tc>
        <w:tc>
          <w:tcPr>
            <w:tcW w:w="2274" w:type="dxa"/>
            <w:shd w:val="clear" w:color="auto" w:fill="FFFFFF"/>
            <w:vAlign w:val="center"/>
          </w:tcPr>
          <w:p>
            <w:pPr>
              <w:spacing w:line="276" w:lineRule="auto"/>
              <w:jc w:val="center"/>
              <w:rPr>
                <w:rFonts w:ascii="宋体" w:hAnsi="宋体" w:eastAsia="宋体"/>
                <w:color w:val="auto"/>
                <w:sz w:val="21"/>
                <w:szCs w:val="21"/>
              </w:rPr>
            </w:pPr>
            <w:r>
              <w:rPr>
                <w:rFonts w:hint="eastAsia" w:ascii="宋体" w:hAnsi="宋体" w:eastAsia="宋体"/>
                <w:color w:val="auto"/>
                <w:sz w:val="21"/>
                <w:szCs w:val="21"/>
              </w:rPr>
              <w:t>乙酸乙酯</w:t>
            </w:r>
          </w:p>
        </w:tc>
        <w:tc>
          <w:tcPr>
            <w:tcW w:w="995" w:type="dxa"/>
            <w:shd w:val="clear" w:color="auto" w:fill="FFFFFF"/>
            <w:vAlign w:val="center"/>
          </w:tcPr>
          <w:p>
            <w:pPr>
              <w:spacing w:line="276" w:lineRule="auto"/>
              <w:jc w:val="center"/>
              <w:rPr>
                <w:rFonts w:ascii="宋体" w:hAnsi="宋体" w:eastAsia="宋体"/>
                <w:color w:val="auto"/>
                <w:sz w:val="21"/>
                <w:szCs w:val="21"/>
              </w:rPr>
            </w:pPr>
            <w:r>
              <w:rPr>
                <w:rFonts w:hint="eastAsia" w:ascii="宋体" w:hAnsi="宋体" w:eastAsia="宋体"/>
                <w:color w:val="auto"/>
                <w:sz w:val="21"/>
                <w:szCs w:val="21"/>
              </w:rPr>
              <w:t>2651</w:t>
            </w:r>
          </w:p>
        </w:tc>
        <w:tc>
          <w:tcPr>
            <w:tcW w:w="5221" w:type="dxa"/>
            <w:shd w:val="clear" w:color="auto" w:fill="FFFFFF"/>
            <w:vAlign w:val="center"/>
          </w:tcPr>
          <w:p>
            <w:pPr>
              <w:widowControl/>
              <w:spacing w:line="276" w:lineRule="auto"/>
              <w:rPr>
                <w:rFonts w:ascii="宋体" w:hAnsi="宋体" w:eastAsia="宋体" w:cs="宋体"/>
                <w:color w:val="auto"/>
                <w:sz w:val="21"/>
                <w:szCs w:val="21"/>
              </w:rPr>
            </w:pPr>
            <w:r>
              <w:rPr>
                <w:rFonts w:ascii="宋体" w:hAnsi="宋体" w:eastAsia="宋体" w:cs="宋体"/>
                <w:color w:val="auto"/>
                <w:sz w:val="21"/>
                <w:szCs w:val="21"/>
              </w:rPr>
              <w:t>易燃液体,类别2</w:t>
            </w:r>
          </w:p>
          <w:p>
            <w:pPr>
              <w:widowControl/>
              <w:spacing w:line="276" w:lineRule="auto"/>
              <w:rPr>
                <w:rFonts w:ascii="宋体" w:hAnsi="宋体" w:eastAsia="宋体" w:cs="宋体"/>
                <w:color w:val="auto"/>
                <w:sz w:val="21"/>
                <w:szCs w:val="21"/>
              </w:rPr>
            </w:pPr>
            <w:r>
              <w:rPr>
                <w:rFonts w:ascii="宋体" w:hAnsi="宋体" w:eastAsia="宋体" w:cs="宋体"/>
                <w:color w:val="auto"/>
                <w:sz w:val="21"/>
                <w:szCs w:val="21"/>
              </w:rPr>
              <w:t>严重眼损伤/眼刺激,类别2</w:t>
            </w:r>
          </w:p>
          <w:p>
            <w:pPr>
              <w:spacing w:line="276" w:lineRule="auto"/>
              <w:ind w:right="94" w:rightChars="39"/>
              <w:jc w:val="both"/>
              <w:rPr>
                <w:rFonts w:ascii="宋体" w:hAnsi="宋体" w:eastAsia="宋体"/>
                <w:color w:val="auto"/>
                <w:sz w:val="21"/>
                <w:szCs w:val="21"/>
              </w:rPr>
            </w:pPr>
            <w:r>
              <w:rPr>
                <w:rFonts w:ascii="宋体" w:hAnsi="宋体" w:eastAsia="宋体" w:cs="宋体"/>
                <w:color w:val="auto"/>
                <w:sz w:val="21"/>
                <w:szCs w:val="21"/>
              </w:rPr>
              <w:t>特异性靶器官毒性-一次接触,类别3（麻醉效应）</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454" w:hRule="atLeast"/>
          <w:jc w:val="center"/>
        </w:trPr>
        <w:tc>
          <w:tcPr>
            <w:tcW w:w="708" w:type="dxa"/>
            <w:shd w:val="clear" w:color="auto" w:fill="FFFFFF"/>
            <w:vAlign w:val="center"/>
          </w:tcPr>
          <w:p>
            <w:pPr>
              <w:spacing w:line="276" w:lineRule="auto"/>
              <w:jc w:val="center"/>
              <w:rPr>
                <w:rFonts w:ascii="宋体" w:hAnsi="宋体" w:eastAsia="宋体"/>
                <w:color w:val="auto"/>
                <w:sz w:val="21"/>
                <w:szCs w:val="21"/>
              </w:rPr>
            </w:pPr>
            <w:r>
              <w:rPr>
                <w:rFonts w:ascii="宋体" w:hAnsi="宋体" w:eastAsia="宋体"/>
                <w:color w:val="auto"/>
                <w:sz w:val="21"/>
                <w:szCs w:val="21"/>
              </w:rPr>
              <w:t>6</w:t>
            </w:r>
          </w:p>
        </w:tc>
        <w:tc>
          <w:tcPr>
            <w:tcW w:w="2274" w:type="dxa"/>
            <w:shd w:val="clear" w:color="auto" w:fill="FFFFFF"/>
            <w:vAlign w:val="center"/>
          </w:tcPr>
          <w:p>
            <w:pPr>
              <w:spacing w:line="276" w:lineRule="auto"/>
              <w:jc w:val="center"/>
              <w:rPr>
                <w:rFonts w:ascii="宋体" w:hAnsi="宋体" w:eastAsia="宋体"/>
                <w:color w:val="auto"/>
                <w:sz w:val="21"/>
                <w:szCs w:val="21"/>
              </w:rPr>
            </w:pPr>
            <w:r>
              <w:rPr>
                <w:rFonts w:hint="eastAsia" w:ascii="宋体" w:hAnsi="宋体" w:eastAsia="宋体"/>
                <w:color w:val="auto"/>
                <w:sz w:val="21"/>
                <w:szCs w:val="21"/>
              </w:rPr>
              <w:t>醇酸树脂</w:t>
            </w:r>
          </w:p>
        </w:tc>
        <w:tc>
          <w:tcPr>
            <w:tcW w:w="995" w:type="dxa"/>
            <w:shd w:val="clear" w:color="auto" w:fill="FFFFFF"/>
            <w:vAlign w:val="center"/>
          </w:tcPr>
          <w:p>
            <w:pPr>
              <w:spacing w:line="276" w:lineRule="auto"/>
              <w:jc w:val="center"/>
              <w:rPr>
                <w:rFonts w:ascii="宋体" w:hAnsi="宋体" w:eastAsia="宋体"/>
                <w:color w:val="auto"/>
                <w:sz w:val="21"/>
                <w:szCs w:val="21"/>
              </w:rPr>
            </w:pPr>
            <w:r>
              <w:rPr>
                <w:rFonts w:hint="eastAsia" w:ascii="宋体" w:hAnsi="宋体" w:eastAsia="宋体"/>
                <w:color w:val="auto"/>
                <w:sz w:val="21"/>
                <w:szCs w:val="21"/>
              </w:rPr>
              <w:t>2828</w:t>
            </w:r>
          </w:p>
        </w:tc>
        <w:tc>
          <w:tcPr>
            <w:tcW w:w="5221" w:type="dxa"/>
            <w:shd w:val="clear" w:color="auto" w:fill="FFFFFF"/>
            <w:vAlign w:val="center"/>
          </w:tcPr>
          <w:p>
            <w:pPr>
              <w:widowControl/>
              <w:spacing w:line="276" w:lineRule="auto"/>
              <w:rPr>
                <w:rFonts w:ascii="宋体" w:hAnsi="宋体" w:eastAsia="宋体" w:cs="宋体"/>
                <w:color w:val="auto"/>
                <w:sz w:val="21"/>
                <w:szCs w:val="21"/>
              </w:rPr>
            </w:pPr>
            <w:r>
              <w:rPr>
                <w:rFonts w:ascii="宋体" w:hAnsi="宋体" w:eastAsia="宋体" w:cs="宋体"/>
                <w:color w:val="auto"/>
                <w:sz w:val="21"/>
                <w:szCs w:val="21"/>
              </w:rPr>
              <w:t>23℃≤闪点≤60℃：</w:t>
            </w:r>
          </w:p>
          <w:p>
            <w:pPr>
              <w:spacing w:line="276" w:lineRule="auto"/>
              <w:ind w:right="94" w:rightChars="39"/>
              <w:jc w:val="both"/>
              <w:rPr>
                <w:rFonts w:ascii="宋体" w:hAnsi="宋体" w:eastAsia="宋体"/>
                <w:color w:val="auto"/>
                <w:sz w:val="21"/>
                <w:szCs w:val="21"/>
              </w:rPr>
            </w:pPr>
            <w:r>
              <w:rPr>
                <w:rFonts w:ascii="宋体" w:hAnsi="宋体" w:eastAsia="宋体" w:cs="宋体"/>
                <w:color w:val="auto"/>
                <w:sz w:val="21"/>
                <w:szCs w:val="21"/>
              </w:rPr>
              <w:t>易燃液体，类别3</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454" w:hRule="atLeast"/>
          <w:jc w:val="center"/>
        </w:trPr>
        <w:tc>
          <w:tcPr>
            <w:tcW w:w="708" w:type="dxa"/>
            <w:shd w:val="clear" w:color="auto" w:fill="FFFFFF"/>
            <w:vAlign w:val="center"/>
          </w:tcPr>
          <w:p>
            <w:pPr>
              <w:spacing w:line="276" w:lineRule="auto"/>
              <w:jc w:val="center"/>
              <w:rPr>
                <w:rFonts w:ascii="宋体" w:hAnsi="宋体" w:eastAsia="宋体"/>
                <w:color w:val="auto"/>
                <w:sz w:val="21"/>
                <w:szCs w:val="21"/>
              </w:rPr>
            </w:pPr>
            <w:r>
              <w:rPr>
                <w:rFonts w:hint="eastAsia" w:ascii="宋体" w:hAnsi="宋体" w:eastAsia="宋体"/>
                <w:color w:val="auto"/>
                <w:sz w:val="21"/>
                <w:szCs w:val="21"/>
              </w:rPr>
              <w:t>7</w:t>
            </w:r>
          </w:p>
        </w:tc>
        <w:tc>
          <w:tcPr>
            <w:tcW w:w="2274" w:type="dxa"/>
            <w:shd w:val="clear" w:color="auto" w:fill="FFFFFF"/>
            <w:vAlign w:val="center"/>
          </w:tcPr>
          <w:p>
            <w:pPr>
              <w:spacing w:line="276" w:lineRule="auto"/>
              <w:jc w:val="center"/>
              <w:rPr>
                <w:rFonts w:ascii="宋体" w:hAnsi="宋体" w:eastAsia="宋体"/>
                <w:color w:val="auto"/>
                <w:sz w:val="21"/>
                <w:szCs w:val="21"/>
              </w:rPr>
            </w:pPr>
            <w:r>
              <w:rPr>
                <w:rFonts w:hint="eastAsia" w:ascii="宋体" w:hAnsi="宋体" w:eastAsia="宋体"/>
                <w:color w:val="auto"/>
                <w:sz w:val="21"/>
                <w:szCs w:val="21"/>
              </w:rPr>
              <w:t>硝化纤维素溶液</w:t>
            </w:r>
            <w:r>
              <w:rPr>
                <w:rFonts w:ascii="宋体" w:hAnsi="宋体" w:eastAsia="宋体"/>
                <w:color w:val="auto"/>
                <w:sz w:val="21"/>
                <w:szCs w:val="21"/>
              </w:rPr>
              <w:t>[</w:t>
            </w:r>
            <w:r>
              <w:rPr>
                <w:rFonts w:hint="eastAsia" w:ascii="宋体" w:hAnsi="宋体" w:eastAsia="宋体"/>
                <w:color w:val="auto"/>
                <w:sz w:val="21"/>
                <w:szCs w:val="21"/>
              </w:rPr>
              <w:t>含氮量≤</w:t>
            </w:r>
            <w:r>
              <w:rPr>
                <w:rFonts w:ascii="宋体" w:hAnsi="宋体" w:eastAsia="宋体"/>
                <w:color w:val="auto"/>
                <w:sz w:val="21"/>
                <w:szCs w:val="21"/>
              </w:rPr>
              <w:t>12.6%</w:t>
            </w:r>
            <w:r>
              <w:rPr>
                <w:rFonts w:hint="eastAsia" w:ascii="宋体" w:hAnsi="宋体" w:eastAsia="宋体"/>
                <w:color w:val="auto"/>
                <w:sz w:val="21"/>
                <w:szCs w:val="21"/>
              </w:rPr>
              <w:t>，含硝化纤维素≤</w:t>
            </w:r>
            <w:r>
              <w:rPr>
                <w:rFonts w:ascii="宋体" w:hAnsi="宋体" w:eastAsia="宋体"/>
                <w:color w:val="auto"/>
                <w:sz w:val="21"/>
                <w:szCs w:val="21"/>
              </w:rPr>
              <w:t>55%]</w:t>
            </w:r>
          </w:p>
        </w:tc>
        <w:tc>
          <w:tcPr>
            <w:tcW w:w="995" w:type="dxa"/>
            <w:shd w:val="clear" w:color="auto" w:fill="FFFFFF"/>
            <w:vAlign w:val="center"/>
          </w:tcPr>
          <w:p>
            <w:pPr>
              <w:spacing w:line="276" w:lineRule="auto"/>
              <w:jc w:val="center"/>
              <w:rPr>
                <w:rFonts w:ascii="宋体" w:hAnsi="宋体" w:eastAsia="宋体"/>
                <w:color w:val="auto"/>
                <w:sz w:val="21"/>
                <w:szCs w:val="21"/>
              </w:rPr>
            </w:pPr>
            <w:r>
              <w:rPr>
                <w:rFonts w:hint="eastAsia" w:ascii="宋体" w:hAnsi="宋体" w:eastAsia="宋体"/>
                <w:color w:val="auto"/>
                <w:sz w:val="21"/>
                <w:szCs w:val="21"/>
              </w:rPr>
              <w:t>2208</w:t>
            </w:r>
          </w:p>
        </w:tc>
        <w:tc>
          <w:tcPr>
            <w:tcW w:w="5221" w:type="dxa"/>
            <w:shd w:val="clear" w:color="auto" w:fill="FFFFFF"/>
            <w:vAlign w:val="center"/>
          </w:tcPr>
          <w:p>
            <w:pPr>
              <w:spacing w:line="276" w:lineRule="auto"/>
              <w:ind w:right="94" w:rightChars="39"/>
              <w:jc w:val="both"/>
              <w:rPr>
                <w:rFonts w:ascii="宋体" w:hAnsi="宋体" w:eastAsia="宋体"/>
                <w:color w:val="auto"/>
                <w:sz w:val="21"/>
                <w:szCs w:val="21"/>
              </w:rPr>
            </w:pPr>
            <w:r>
              <w:rPr>
                <w:rFonts w:ascii="宋体" w:hAnsi="宋体" w:eastAsia="宋体" w:cs="宋体"/>
                <w:color w:val="auto"/>
                <w:sz w:val="21"/>
                <w:szCs w:val="21"/>
              </w:rPr>
              <w:t>易燃液体,类别2</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454" w:hRule="atLeast"/>
          <w:jc w:val="center"/>
        </w:trPr>
        <w:tc>
          <w:tcPr>
            <w:tcW w:w="708" w:type="dxa"/>
            <w:shd w:val="clear" w:color="auto" w:fill="FFFFFF"/>
            <w:vAlign w:val="center"/>
          </w:tcPr>
          <w:p>
            <w:pPr>
              <w:spacing w:line="276" w:lineRule="auto"/>
              <w:jc w:val="center"/>
              <w:rPr>
                <w:rFonts w:ascii="宋体" w:hAnsi="宋体" w:eastAsia="宋体"/>
                <w:color w:val="auto"/>
                <w:sz w:val="21"/>
                <w:szCs w:val="21"/>
              </w:rPr>
            </w:pPr>
            <w:r>
              <w:rPr>
                <w:rFonts w:ascii="宋体" w:hAnsi="宋体" w:eastAsia="宋体"/>
                <w:color w:val="auto"/>
                <w:sz w:val="21"/>
                <w:szCs w:val="21"/>
              </w:rPr>
              <w:t>8</w:t>
            </w:r>
          </w:p>
        </w:tc>
        <w:tc>
          <w:tcPr>
            <w:tcW w:w="2274" w:type="dxa"/>
            <w:shd w:val="clear" w:color="auto" w:fill="FFFFFF"/>
            <w:vAlign w:val="center"/>
          </w:tcPr>
          <w:p>
            <w:pPr>
              <w:spacing w:line="276" w:lineRule="auto"/>
              <w:jc w:val="center"/>
              <w:rPr>
                <w:rFonts w:ascii="宋体" w:hAnsi="宋体" w:eastAsia="宋体"/>
                <w:color w:val="auto"/>
                <w:sz w:val="21"/>
                <w:szCs w:val="21"/>
              </w:rPr>
            </w:pPr>
            <w:r>
              <w:rPr>
                <w:rFonts w:hint="eastAsia" w:ascii="宋体" w:hAnsi="宋体" w:eastAsia="宋体"/>
                <w:color w:val="auto"/>
                <w:sz w:val="21"/>
                <w:szCs w:val="21"/>
              </w:rPr>
              <w:t>不饱和聚酯树脂</w:t>
            </w:r>
          </w:p>
        </w:tc>
        <w:tc>
          <w:tcPr>
            <w:tcW w:w="995" w:type="dxa"/>
            <w:shd w:val="clear" w:color="auto" w:fill="FFFFFF"/>
            <w:vAlign w:val="center"/>
          </w:tcPr>
          <w:p>
            <w:pPr>
              <w:spacing w:line="276" w:lineRule="auto"/>
              <w:jc w:val="center"/>
              <w:rPr>
                <w:rFonts w:ascii="宋体" w:hAnsi="宋体" w:eastAsia="宋体"/>
                <w:color w:val="auto"/>
                <w:sz w:val="21"/>
                <w:szCs w:val="21"/>
              </w:rPr>
            </w:pPr>
            <w:r>
              <w:rPr>
                <w:rFonts w:hint="eastAsia" w:ascii="宋体" w:hAnsi="宋体" w:eastAsia="宋体"/>
                <w:color w:val="auto"/>
                <w:sz w:val="21"/>
                <w:szCs w:val="21"/>
              </w:rPr>
              <w:t>2828</w:t>
            </w:r>
          </w:p>
        </w:tc>
        <w:tc>
          <w:tcPr>
            <w:tcW w:w="5221" w:type="dxa"/>
            <w:shd w:val="clear" w:color="auto" w:fill="FFFFFF"/>
            <w:vAlign w:val="center"/>
          </w:tcPr>
          <w:p>
            <w:pPr>
              <w:spacing w:line="276" w:lineRule="auto"/>
              <w:ind w:right="94" w:rightChars="39"/>
              <w:jc w:val="both"/>
              <w:rPr>
                <w:rFonts w:ascii="宋体" w:hAnsi="宋体" w:eastAsia="宋体" w:cs="宋体"/>
                <w:color w:val="auto"/>
                <w:sz w:val="21"/>
                <w:szCs w:val="21"/>
                <w:lang w:eastAsia="zh-CN"/>
              </w:rPr>
            </w:pPr>
            <w:r>
              <w:rPr>
                <w:rFonts w:ascii="宋体" w:hAnsi="宋体" w:eastAsia="宋体" w:cs="宋体"/>
                <w:color w:val="auto"/>
                <w:sz w:val="21"/>
                <w:szCs w:val="21"/>
              </w:rPr>
              <w:t>23℃≤闪点≤60℃：</w:t>
            </w:r>
          </w:p>
          <w:p>
            <w:pPr>
              <w:spacing w:line="276" w:lineRule="auto"/>
              <w:ind w:right="94" w:rightChars="39"/>
              <w:jc w:val="both"/>
              <w:rPr>
                <w:rFonts w:ascii="宋体" w:hAnsi="宋体" w:eastAsia="宋体" w:cs="宋体"/>
                <w:color w:val="auto"/>
                <w:sz w:val="21"/>
                <w:szCs w:val="21"/>
                <w:lang w:eastAsia="zh-CN"/>
              </w:rPr>
            </w:pPr>
            <w:r>
              <w:rPr>
                <w:rFonts w:ascii="宋体" w:hAnsi="宋体" w:eastAsia="宋体" w:cs="宋体"/>
                <w:color w:val="auto"/>
                <w:sz w:val="21"/>
                <w:szCs w:val="21"/>
              </w:rPr>
              <w:t>易燃液体，类别3</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454" w:hRule="atLeast"/>
          <w:jc w:val="center"/>
        </w:trPr>
        <w:tc>
          <w:tcPr>
            <w:tcW w:w="708" w:type="dxa"/>
            <w:shd w:val="clear" w:color="auto" w:fill="FFFFFF"/>
            <w:vAlign w:val="center"/>
          </w:tcPr>
          <w:p>
            <w:pPr>
              <w:spacing w:line="276" w:lineRule="auto"/>
              <w:jc w:val="center"/>
              <w:rPr>
                <w:rFonts w:ascii="宋体" w:hAnsi="宋体" w:eastAsia="宋体"/>
                <w:color w:val="auto"/>
                <w:sz w:val="21"/>
                <w:szCs w:val="21"/>
              </w:rPr>
            </w:pPr>
            <w:r>
              <w:rPr>
                <w:rFonts w:ascii="宋体" w:hAnsi="宋体" w:eastAsia="宋体"/>
                <w:color w:val="auto"/>
                <w:sz w:val="21"/>
                <w:szCs w:val="21"/>
              </w:rPr>
              <w:t>9</w:t>
            </w:r>
          </w:p>
        </w:tc>
        <w:tc>
          <w:tcPr>
            <w:tcW w:w="2274" w:type="dxa"/>
            <w:shd w:val="clear" w:color="auto" w:fill="FFFFFF"/>
            <w:vAlign w:val="center"/>
          </w:tcPr>
          <w:p>
            <w:pPr>
              <w:spacing w:line="276" w:lineRule="auto"/>
              <w:jc w:val="center"/>
              <w:rPr>
                <w:rFonts w:ascii="宋体" w:hAnsi="宋体" w:eastAsia="宋体"/>
                <w:color w:val="auto"/>
                <w:sz w:val="21"/>
                <w:szCs w:val="21"/>
              </w:rPr>
            </w:pPr>
            <w:r>
              <w:rPr>
                <w:rFonts w:hint="eastAsia" w:ascii="宋体" w:hAnsi="宋体" w:eastAsia="宋体"/>
                <w:color w:val="auto"/>
                <w:sz w:val="21"/>
                <w:szCs w:val="21"/>
              </w:rPr>
              <w:t>正丁醇</w:t>
            </w:r>
          </w:p>
        </w:tc>
        <w:tc>
          <w:tcPr>
            <w:tcW w:w="995" w:type="dxa"/>
            <w:shd w:val="clear" w:color="auto" w:fill="FFFFFF"/>
            <w:vAlign w:val="center"/>
          </w:tcPr>
          <w:p>
            <w:pPr>
              <w:spacing w:line="276" w:lineRule="auto"/>
              <w:jc w:val="center"/>
              <w:rPr>
                <w:rFonts w:ascii="宋体" w:hAnsi="宋体" w:eastAsia="宋体"/>
                <w:color w:val="auto"/>
                <w:sz w:val="21"/>
                <w:szCs w:val="21"/>
              </w:rPr>
            </w:pPr>
            <w:r>
              <w:rPr>
                <w:rFonts w:hint="eastAsia" w:ascii="宋体" w:hAnsi="宋体" w:eastAsia="宋体"/>
                <w:color w:val="auto"/>
                <w:sz w:val="21"/>
                <w:szCs w:val="21"/>
              </w:rPr>
              <w:t>2761</w:t>
            </w:r>
          </w:p>
        </w:tc>
        <w:tc>
          <w:tcPr>
            <w:tcW w:w="5221" w:type="dxa"/>
            <w:shd w:val="clear" w:color="auto" w:fill="FFFFFF"/>
            <w:vAlign w:val="center"/>
          </w:tcPr>
          <w:p>
            <w:pPr>
              <w:widowControl/>
              <w:spacing w:line="276" w:lineRule="auto"/>
              <w:rPr>
                <w:rFonts w:ascii="宋体" w:hAnsi="宋体" w:eastAsia="宋体" w:cs="宋体"/>
                <w:color w:val="auto"/>
                <w:sz w:val="21"/>
                <w:szCs w:val="21"/>
              </w:rPr>
            </w:pPr>
            <w:r>
              <w:rPr>
                <w:rFonts w:ascii="宋体" w:hAnsi="宋体" w:eastAsia="宋体" w:cs="宋体"/>
                <w:color w:val="auto"/>
                <w:sz w:val="21"/>
                <w:szCs w:val="21"/>
              </w:rPr>
              <w:t>易燃液体,类别3</w:t>
            </w:r>
          </w:p>
          <w:p>
            <w:pPr>
              <w:widowControl/>
              <w:spacing w:line="276" w:lineRule="auto"/>
              <w:rPr>
                <w:rFonts w:ascii="宋体" w:hAnsi="宋体" w:eastAsia="宋体" w:cs="宋体"/>
                <w:color w:val="auto"/>
                <w:sz w:val="21"/>
                <w:szCs w:val="21"/>
              </w:rPr>
            </w:pPr>
            <w:r>
              <w:rPr>
                <w:rFonts w:ascii="宋体" w:hAnsi="宋体" w:eastAsia="宋体" w:cs="宋体"/>
                <w:color w:val="auto"/>
                <w:sz w:val="21"/>
                <w:szCs w:val="21"/>
              </w:rPr>
              <w:t>皮肤腐蚀/刺激,类别2</w:t>
            </w:r>
          </w:p>
          <w:p>
            <w:pPr>
              <w:widowControl/>
              <w:spacing w:line="276" w:lineRule="auto"/>
              <w:rPr>
                <w:rFonts w:ascii="宋体" w:hAnsi="宋体" w:eastAsia="宋体" w:cs="宋体"/>
                <w:color w:val="auto"/>
                <w:sz w:val="21"/>
                <w:szCs w:val="21"/>
              </w:rPr>
            </w:pPr>
            <w:r>
              <w:rPr>
                <w:rFonts w:ascii="宋体" w:hAnsi="宋体" w:eastAsia="宋体" w:cs="宋体"/>
                <w:color w:val="auto"/>
                <w:sz w:val="21"/>
                <w:szCs w:val="21"/>
              </w:rPr>
              <w:t>严重眼损伤/眼刺激,类别1</w:t>
            </w:r>
          </w:p>
          <w:p>
            <w:pPr>
              <w:spacing w:line="276" w:lineRule="auto"/>
              <w:ind w:right="94" w:rightChars="39"/>
              <w:jc w:val="both"/>
              <w:rPr>
                <w:rFonts w:ascii="宋体" w:hAnsi="宋体" w:eastAsia="宋体"/>
                <w:color w:val="auto"/>
                <w:sz w:val="21"/>
                <w:szCs w:val="21"/>
              </w:rPr>
            </w:pPr>
            <w:r>
              <w:rPr>
                <w:rFonts w:ascii="宋体" w:hAnsi="宋体" w:eastAsia="宋体" w:cs="宋体"/>
                <w:color w:val="auto"/>
                <w:sz w:val="21"/>
                <w:szCs w:val="21"/>
              </w:rPr>
              <w:t>特异性靶器官毒性-一次接触,类别3（呼吸道刺激、麻醉效应）</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454" w:hRule="atLeast"/>
          <w:jc w:val="center"/>
        </w:trPr>
        <w:tc>
          <w:tcPr>
            <w:tcW w:w="708" w:type="dxa"/>
            <w:shd w:val="clear" w:color="auto" w:fill="FFFFFF"/>
            <w:vAlign w:val="center"/>
          </w:tcPr>
          <w:p>
            <w:pPr>
              <w:spacing w:line="276" w:lineRule="auto"/>
              <w:jc w:val="center"/>
              <w:rPr>
                <w:rFonts w:ascii="宋体" w:hAnsi="宋体" w:eastAsia="宋体"/>
                <w:color w:val="auto"/>
                <w:sz w:val="21"/>
                <w:szCs w:val="21"/>
              </w:rPr>
            </w:pPr>
            <w:r>
              <w:rPr>
                <w:rFonts w:ascii="宋体" w:hAnsi="宋体" w:eastAsia="宋体"/>
                <w:color w:val="auto"/>
                <w:sz w:val="21"/>
                <w:szCs w:val="21"/>
              </w:rPr>
              <w:t>10</w:t>
            </w:r>
          </w:p>
        </w:tc>
        <w:tc>
          <w:tcPr>
            <w:tcW w:w="2274" w:type="dxa"/>
            <w:shd w:val="clear" w:color="auto" w:fill="FFFFFF"/>
            <w:vAlign w:val="center"/>
          </w:tcPr>
          <w:p>
            <w:pPr>
              <w:spacing w:line="276" w:lineRule="auto"/>
              <w:jc w:val="center"/>
              <w:rPr>
                <w:rFonts w:ascii="宋体" w:hAnsi="宋体" w:eastAsia="宋体"/>
                <w:color w:val="auto"/>
                <w:sz w:val="21"/>
                <w:szCs w:val="21"/>
              </w:rPr>
            </w:pPr>
            <w:r>
              <w:rPr>
                <w:rFonts w:hint="eastAsia" w:ascii="宋体" w:hAnsi="宋体" w:eastAsia="宋体"/>
                <w:color w:val="auto"/>
                <w:sz w:val="21"/>
                <w:szCs w:val="21"/>
              </w:rPr>
              <w:t>混丙醇</w:t>
            </w:r>
          </w:p>
        </w:tc>
        <w:tc>
          <w:tcPr>
            <w:tcW w:w="995" w:type="dxa"/>
            <w:shd w:val="clear" w:color="auto" w:fill="FFFFFF"/>
            <w:vAlign w:val="center"/>
          </w:tcPr>
          <w:p>
            <w:pPr>
              <w:spacing w:line="276" w:lineRule="auto"/>
              <w:jc w:val="center"/>
              <w:rPr>
                <w:rFonts w:ascii="宋体" w:hAnsi="宋体" w:eastAsia="宋体"/>
                <w:color w:val="auto"/>
                <w:sz w:val="21"/>
                <w:szCs w:val="21"/>
              </w:rPr>
            </w:pPr>
            <w:r>
              <w:rPr>
                <w:rFonts w:hint="eastAsia" w:ascii="宋体" w:hAnsi="宋体" w:eastAsia="宋体"/>
                <w:color w:val="auto"/>
                <w:sz w:val="21"/>
                <w:szCs w:val="21"/>
              </w:rPr>
              <w:t>2828</w:t>
            </w:r>
          </w:p>
        </w:tc>
        <w:tc>
          <w:tcPr>
            <w:tcW w:w="5221" w:type="dxa"/>
            <w:shd w:val="clear" w:color="auto" w:fill="FFFFFF"/>
            <w:vAlign w:val="center"/>
          </w:tcPr>
          <w:p>
            <w:pPr>
              <w:widowControl/>
              <w:spacing w:line="276" w:lineRule="auto"/>
              <w:rPr>
                <w:rFonts w:ascii="宋体" w:hAnsi="宋体" w:eastAsia="宋体" w:cs="宋体"/>
                <w:color w:val="auto"/>
                <w:sz w:val="21"/>
                <w:szCs w:val="21"/>
              </w:rPr>
            </w:pPr>
            <w:r>
              <w:rPr>
                <w:rFonts w:ascii="宋体" w:hAnsi="宋体" w:eastAsia="宋体" w:cs="宋体"/>
                <w:color w:val="auto"/>
                <w:sz w:val="21"/>
                <w:szCs w:val="21"/>
              </w:rPr>
              <w:t>闪点＜23℃和初沸点＞35℃：</w:t>
            </w:r>
          </w:p>
          <w:p>
            <w:pPr>
              <w:widowControl/>
              <w:spacing w:line="276" w:lineRule="auto"/>
              <w:rPr>
                <w:rFonts w:ascii="宋体" w:hAnsi="宋体" w:eastAsia="宋体" w:cs="宋体"/>
                <w:color w:val="auto"/>
                <w:sz w:val="21"/>
                <w:szCs w:val="21"/>
              </w:rPr>
            </w:pPr>
            <w:r>
              <w:rPr>
                <w:rFonts w:ascii="宋体" w:hAnsi="宋体" w:eastAsia="宋体" w:cs="宋体"/>
                <w:color w:val="auto"/>
                <w:sz w:val="21"/>
                <w:szCs w:val="21"/>
              </w:rPr>
              <w:t>易燃液体，类别2</w:t>
            </w:r>
          </w:p>
          <w:p>
            <w:pPr>
              <w:widowControl/>
              <w:spacing w:line="276" w:lineRule="auto"/>
              <w:rPr>
                <w:rFonts w:ascii="宋体" w:hAnsi="宋体" w:eastAsia="宋体" w:cs="宋体"/>
                <w:color w:val="auto"/>
                <w:sz w:val="21"/>
                <w:szCs w:val="21"/>
              </w:rPr>
            </w:pPr>
            <w:r>
              <w:rPr>
                <w:rFonts w:ascii="宋体" w:hAnsi="宋体" w:eastAsia="宋体" w:cs="宋体"/>
                <w:color w:val="auto"/>
                <w:sz w:val="21"/>
                <w:szCs w:val="21"/>
              </w:rPr>
              <w:t>严重眼损伤/眼刺激,类别</w:t>
            </w:r>
            <w:r>
              <w:rPr>
                <w:rFonts w:hint="eastAsia" w:ascii="宋体" w:hAnsi="宋体" w:eastAsia="宋体" w:cs="宋体"/>
                <w:color w:val="auto"/>
                <w:sz w:val="21"/>
                <w:szCs w:val="21"/>
              </w:rPr>
              <w:t>1</w:t>
            </w:r>
          </w:p>
          <w:p>
            <w:pPr>
              <w:spacing w:line="276" w:lineRule="auto"/>
              <w:ind w:right="94" w:rightChars="39"/>
              <w:jc w:val="both"/>
              <w:rPr>
                <w:rFonts w:ascii="宋体" w:hAnsi="宋体" w:eastAsia="宋体"/>
                <w:color w:val="auto"/>
                <w:sz w:val="21"/>
                <w:szCs w:val="21"/>
              </w:rPr>
            </w:pPr>
            <w:r>
              <w:rPr>
                <w:rFonts w:ascii="宋体" w:hAnsi="宋体" w:eastAsia="宋体" w:cs="宋体"/>
                <w:color w:val="auto"/>
                <w:sz w:val="21"/>
                <w:szCs w:val="21"/>
              </w:rPr>
              <w:t>特异性靶器官毒性-一次接触,类别3（麻醉效应）</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454" w:hRule="atLeast"/>
          <w:jc w:val="center"/>
        </w:trPr>
        <w:tc>
          <w:tcPr>
            <w:tcW w:w="708" w:type="dxa"/>
            <w:shd w:val="clear" w:color="auto" w:fill="FFFFFF"/>
            <w:vAlign w:val="center"/>
          </w:tcPr>
          <w:p>
            <w:pPr>
              <w:spacing w:line="276" w:lineRule="auto"/>
              <w:jc w:val="center"/>
              <w:rPr>
                <w:rFonts w:ascii="宋体" w:hAnsi="宋体" w:eastAsia="宋体"/>
                <w:color w:val="auto"/>
                <w:sz w:val="21"/>
                <w:szCs w:val="21"/>
              </w:rPr>
            </w:pPr>
            <w:r>
              <w:rPr>
                <w:rFonts w:ascii="宋体" w:hAnsi="宋体" w:eastAsia="宋体"/>
                <w:color w:val="auto"/>
                <w:sz w:val="21"/>
                <w:szCs w:val="21"/>
              </w:rPr>
              <w:t>11</w:t>
            </w:r>
          </w:p>
        </w:tc>
        <w:tc>
          <w:tcPr>
            <w:tcW w:w="2274" w:type="dxa"/>
            <w:shd w:val="clear" w:color="auto" w:fill="FFFFFF"/>
            <w:vAlign w:val="center"/>
          </w:tcPr>
          <w:p>
            <w:pPr>
              <w:spacing w:line="276" w:lineRule="auto"/>
              <w:jc w:val="center"/>
              <w:rPr>
                <w:rFonts w:ascii="宋体" w:hAnsi="宋体" w:eastAsia="宋体"/>
                <w:color w:val="auto"/>
                <w:sz w:val="21"/>
                <w:szCs w:val="21"/>
              </w:rPr>
            </w:pPr>
            <w:r>
              <w:rPr>
                <w:rFonts w:hint="eastAsia" w:ascii="宋体" w:hAnsi="宋体" w:eastAsia="宋体"/>
                <w:color w:val="auto"/>
                <w:sz w:val="21"/>
                <w:szCs w:val="21"/>
              </w:rPr>
              <w:t>乙酸甲酯</w:t>
            </w:r>
          </w:p>
        </w:tc>
        <w:tc>
          <w:tcPr>
            <w:tcW w:w="995" w:type="dxa"/>
            <w:shd w:val="clear" w:color="auto" w:fill="FFFFFF"/>
            <w:vAlign w:val="center"/>
          </w:tcPr>
          <w:p>
            <w:pPr>
              <w:spacing w:line="276" w:lineRule="auto"/>
              <w:jc w:val="center"/>
              <w:rPr>
                <w:rFonts w:ascii="宋体" w:hAnsi="宋体" w:eastAsia="宋体"/>
                <w:color w:val="auto"/>
                <w:sz w:val="21"/>
                <w:szCs w:val="21"/>
              </w:rPr>
            </w:pPr>
            <w:r>
              <w:rPr>
                <w:rFonts w:hint="eastAsia" w:ascii="宋体" w:hAnsi="宋体" w:eastAsia="宋体"/>
                <w:color w:val="auto"/>
                <w:sz w:val="21"/>
                <w:szCs w:val="21"/>
              </w:rPr>
              <w:t>2638</w:t>
            </w:r>
          </w:p>
        </w:tc>
        <w:tc>
          <w:tcPr>
            <w:tcW w:w="5221" w:type="dxa"/>
            <w:shd w:val="clear" w:color="auto" w:fill="FFFFFF"/>
            <w:vAlign w:val="center"/>
          </w:tcPr>
          <w:p>
            <w:pPr>
              <w:widowControl/>
              <w:spacing w:line="276" w:lineRule="auto"/>
              <w:rPr>
                <w:rFonts w:ascii="宋体" w:hAnsi="宋体" w:eastAsia="宋体" w:cs="宋体"/>
                <w:color w:val="auto"/>
                <w:sz w:val="21"/>
                <w:szCs w:val="21"/>
              </w:rPr>
            </w:pPr>
            <w:r>
              <w:rPr>
                <w:rFonts w:ascii="宋体" w:hAnsi="宋体" w:eastAsia="宋体" w:cs="宋体"/>
                <w:color w:val="auto"/>
                <w:sz w:val="21"/>
                <w:szCs w:val="21"/>
              </w:rPr>
              <w:t>易燃液体,类别2</w:t>
            </w:r>
          </w:p>
          <w:p>
            <w:pPr>
              <w:widowControl/>
              <w:spacing w:line="276" w:lineRule="auto"/>
              <w:rPr>
                <w:rFonts w:ascii="宋体" w:hAnsi="宋体" w:eastAsia="宋体" w:cs="宋体"/>
                <w:color w:val="auto"/>
                <w:sz w:val="21"/>
                <w:szCs w:val="21"/>
              </w:rPr>
            </w:pPr>
            <w:r>
              <w:rPr>
                <w:rFonts w:ascii="宋体" w:hAnsi="宋体" w:eastAsia="宋体" w:cs="宋体"/>
                <w:color w:val="auto"/>
                <w:sz w:val="21"/>
                <w:szCs w:val="21"/>
              </w:rPr>
              <w:t>严重眼损伤/眼刺激,类别2</w:t>
            </w:r>
          </w:p>
          <w:p>
            <w:pPr>
              <w:spacing w:line="276" w:lineRule="auto"/>
              <w:ind w:right="94" w:rightChars="39"/>
              <w:jc w:val="both"/>
              <w:rPr>
                <w:rFonts w:ascii="宋体" w:hAnsi="宋体" w:eastAsia="宋体"/>
                <w:color w:val="auto"/>
                <w:sz w:val="21"/>
                <w:szCs w:val="21"/>
              </w:rPr>
            </w:pPr>
            <w:r>
              <w:rPr>
                <w:rFonts w:ascii="宋体" w:hAnsi="宋体" w:eastAsia="宋体" w:cs="宋体"/>
                <w:color w:val="auto"/>
                <w:sz w:val="21"/>
                <w:szCs w:val="21"/>
              </w:rPr>
              <w:t>特异性靶器官毒性-一次接触,类别3（麻醉效应）</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454" w:hRule="atLeast"/>
          <w:jc w:val="center"/>
        </w:trPr>
        <w:tc>
          <w:tcPr>
            <w:tcW w:w="708" w:type="dxa"/>
            <w:shd w:val="clear" w:color="auto" w:fill="FFFFFF"/>
            <w:vAlign w:val="center"/>
          </w:tcPr>
          <w:p>
            <w:pPr>
              <w:spacing w:line="276" w:lineRule="auto"/>
              <w:jc w:val="center"/>
              <w:rPr>
                <w:rFonts w:ascii="宋体" w:hAnsi="宋体" w:eastAsia="宋体"/>
                <w:color w:val="auto"/>
                <w:sz w:val="21"/>
                <w:szCs w:val="21"/>
              </w:rPr>
            </w:pPr>
            <w:r>
              <w:rPr>
                <w:rFonts w:ascii="宋体" w:hAnsi="宋体" w:eastAsia="宋体"/>
                <w:color w:val="auto"/>
                <w:sz w:val="21"/>
                <w:szCs w:val="21"/>
              </w:rPr>
              <w:t>12</w:t>
            </w:r>
          </w:p>
        </w:tc>
        <w:tc>
          <w:tcPr>
            <w:tcW w:w="2274" w:type="dxa"/>
            <w:shd w:val="clear" w:color="auto" w:fill="FFFFFF"/>
            <w:vAlign w:val="center"/>
          </w:tcPr>
          <w:p>
            <w:pPr>
              <w:spacing w:line="276" w:lineRule="auto"/>
              <w:jc w:val="center"/>
              <w:rPr>
                <w:rFonts w:ascii="宋体" w:hAnsi="宋体" w:eastAsia="宋体"/>
                <w:color w:val="auto"/>
                <w:sz w:val="21"/>
                <w:szCs w:val="21"/>
              </w:rPr>
            </w:pPr>
            <w:r>
              <w:rPr>
                <w:rFonts w:hint="eastAsia" w:ascii="宋体" w:hAnsi="宋体" w:eastAsia="宋体"/>
                <w:color w:val="auto"/>
                <w:sz w:val="21"/>
                <w:szCs w:val="21"/>
              </w:rPr>
              <w:t>乙酸仲丁酯</w:t>
            </w:r>
          </w:p>
        </w:tc>
        <w:tc>
          <w:tcPr>
            <w:tcW w:w="995" w:type="dxa"/>
            <w:shd w:val="clear" w:color="auto" w:fill="FFFFFF"/>
            <w:vAlign w:val="center"/>
          </w:tcPr>
          <w:p>
            <w:pPr>
              <w:spacing w:line="276" w:lineRule="auto"/>
              <w:jc w:val="center"/>
              <w:rPr>
                <w:rFonts w:ascii="宋体" w:hAnsi="宋体" w:eastAsia="宋体"/>
                <w:color w:val="auto"/>
                <w:sz w:val="21"/>
                <w:szCs w:val="21"/>
              </w:rPr>
            </w:pPr>
            <w:r>
              <w:rPr>
                <w:rFonts w:hint="eastAsia" w:ascii="宋体" w:hAnsi="宋体" w:eastAsia="宋体"/>
                <w:color w:val="auto"/>
                <w:sz w:val="21"/>
                <w:szCs w:val="21"/>
              </w:rPr>
              <w:t>2660</w:t>
            </w:r>
          </w:p>
        </w:tc>
        <w:tc>
          <w:tcPr>
            <w:tcW w:w="5221" w:type="dxa"/>
            <w:shd w:val="clear" w:color="auto" w:fill="FFFFFF"/>
            <w:vAlign w:val="center"/>
          </w:tcPr>
          <w:p>
            <w:pPr>
              <w:spacing w:line="276" w:lineRule="auto"/>
              <w:ind w:right="94" w:rightChars="39"/>
              <w:jc w:val="both"/>
              <w:rPr>
                <w:rFonts w:ascii="宋体" w:hAnsi="宋体" w:eastAsia="宋体"/>
                <w:color w:val="auto"/>
                <w:sz w:val="21"/>
                <w:szCs w:val="21"/>
              </w:rPr>
            </w:pPr>
            <w:r>
              <w:rPr>
                <w:rFonts w:ascii="宋体" w:hAnsi="宋体" w:eastAsia="宋体" w:cs="宋体"/>
                <w:color w:val="auto"/>
                <w:sz w:val="21"/>
                <w:szCs w:val="21"/>
              </w:rPr>
              <w:t>易燃液体,类别2</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735" w:hRule="atLeast"/>
          <w:jc w:val="center"/>
        </w:trPr>
        <w:tc>
          <w:tcPr>
            <w:tcW w:w="708" w:type="dxa"/>
            <w:tcBorders>
              <w:bottom w:val="single" w:color="auto" w:sz="4" w:space="0"/>
            </w:tcBorders>
            <w:shd w:val="clear" w:color="auto" w:fill="FFFFFF"/>
            <w:vAlign w:val="center"/>
          </w:tcPr>
          <w:p>
            <w:pPr>
              <w:spacing w:line="276" w:lineRule="auto"/>
              <w:jc w:val="center"/>
              <w:rPr>
                <w:rFonts w:ascii="宋体" w:hAnsi="宋体" w:eastAsia="宋体"/>
                <w:color w:val="auto"/>
                <w:sz w:val="21"/>
                <w:szCs w:val="21"/>
              </w:rPr>
            </w:pPr>
            <w:r>
              <w:rPr>
                <w:rFonts w:ascii="宋体" w:hAnsi="宋体" w:eastAsia="宋体"/>
                <w:color w:val="auto"/>
                <w:sz w:val="21"/>
                <w:szCs w:val="21"/>
              </w:rPr>
              <w:t>13</w:t>
            </w:r>
          </w:p>
        </w:tc>
        <w:tc>
          <w:tcPr>
            <w:tcW w:w="2274" w:type="dxa"/>
            <w:tcBorders>
              <w:bottom w:val="single" w:color="auto" w:sz="4" w:space="0"/>
            </w:tcBorders>
            <w:shd w:val="clear" w:color="auto" w:fill="FFFFFF"/>
            <w:vAlign w:val="center"/>
          </w:tcPr>
          <w:p>
            <w:pPr>
              <w:spacing w:line="276" w:lineRule="auto"/>
              <w:jc w:val="center"/>
              <w:rPr>
                <w:rFonts w:ascii="宋体" w:hAnsi="宋体" w:eastAsia="宋体"/>
                <w:color w:val="auto"/>
                <w:sz w:val="21"/>
                <w:szCs w:val="21"/>
              </w:rPr>
            </w:pPr>
            <w:r>
              <w:rPr>
                <w:rFonts w:hint="eastAsia" w:ascii="宋体" w:hAnsi="宋体" w:eastAsia="宋体"/>
                <w:color w:val="auto"/>
                <w:sz w:val="21"/>
                <w:szCs w:val="21"/>
              </w:rPr>
              <w:t>N,N-二甲基甲酰胺</w:t>
            </w:r>
          </w:p>
        </w:tc>
        <w:tc>
          <w:tcPr>
            <w:tcW w:w="995" w:type="dxa"/>
            <w:tcBorders>
              <w:bottom w:val="single" w:color="auto" w:sz="4" w:space="0"/>
            </w:tcBorders>
            <w:shd w:val="clear" w:color="auto" w:fill="FFFFFF"/>
            <w:vAlign w:val="center"/>
          </w:tcPr>
          <w:p>
            <w:pPr>
              <w:widowControl/>
              <w:spacing w:line="276" w:lineRule="auto"/>
              <w:jc w:val="center"/>
              <w:rPr>
                <w:rFonts w:ascii="宋体" w:hAnsi="宋体" w:eastAsia="宋体" w:cs="宋体"/>
                <w:color w:val="auto"/>
                <w:sz w:val="21"/>
                <w:szCs w:val="21"/>
              </w:rPr>
            </w:pPr>
            <w:r>
              <w:rPr>
                <w:rFonts w:hint="eastAsia" w:ascii="宋体" w:hAnsi="宋体" w:eastAsia="宋体" w:cs="宋体"/>
                <w:color w:val="auto"/>
                <w:sz w:val="21"/>
                <w:szCs w:val="21"/>
              </w:rPr>
              <w:t>460</w:t>
            </w:r>
          </w:p>
        </w:tc>
        <w:tc>
          <w:tcPr>
            <w:tcW w:w="5221" w:type="dxa"/>
            <w:tcBorders>
              <w:bottom w:val="single" w:color="auto" w:sz="4" w:space="0"/>
            </w:tcBorders>
            <w:shd w:val="clear" w:color="auto" w:fill="FFFFFF"/>
            <w:vAlign w:val="center"/>
          </w:tcPr>
          <w:p>
            <w:pPr>
              <w:widowControl/>
              <w:spacing w:line="276" w:lineRule="auto"/>
              <w:rPr>
                <w:rFonts w:ascii="宋体" w:hAnsi="宋体" w:eastAsia="宋体" w:cs="宋体"/>
                <w:color w:val="auto"/>
                <w:sz w:val="21"/>
                <w:szCs w:val="21"/>
              </w:rPr>
            </w:pPr>
            <w:r>
              <w:rPr>
                <w:rFonts w:ascii="宋体" w:hAnsi="宋体" w:eastAsia="宋体" w:cs="宋体"/>
                <w:color w:val="auto"/>
                <w:sz w:val="21"/>
                <w:szCs w:val="21"/>
              </w:rPr>
              <w:t>易燃液体,类别3</w:t>
            </w:r>
          </w:p>
          <w:p>
            <w:pPr>
              <w:widowControl/>
              <w:spacing w:line="276" w:lineRule="auto"/>
              <w:rPr>
                <w:rFonts w:ascii="宋体" w:hAnsi="宋体" w:eastAsia="宋体" w:cs="宋体"/>
                <w:color w:val="auto"/>
                <w:sz w:val="21"/>
                <w:szCs w:val="21"/>
              </w:rPr>
            </w:pPr>
            <w:r>
              <w:rPr>
                <w:rFonts w:ascii="宋体" w:hAnsi="宋体" w:eastAsia="宋体" w:cs="宋体"/>
                <w:color w:val="auto"/>
                <w:sz w:val="21"/>
                <w:szCs w:val="21"/>
              </w:rPr>
              <w:t>严重眼损伤/眼刺激,类别2</w:t>
            </w:r>
          </w:p>
          <w:p>
            <w:pPr>
              <w:widowControl/>
              <w:spacing w:line="276" w:lineRule="auto"/>
              <w:ind w:right="94" w:rightChars="39"/>
              <w:rPr>
                <w:rFonts w:ascii="宋体" w:hAnsi="宋体" w:eastAsia="宋体" w:cs="宋体"/>
                <w:color w:val="auto"/>
                <w:sz w:val="21"/>
                <w:szCs w:val="21"/>
              </w:rPr>
            </w:pPr>
            <w:r>
              <w:rPr>
                <w:rFonts w:ascii="宋体" w:hAnsi="宋体" w:eastAsia="宋体" w:cs="宋体"/>
                <w:color w:val="auto"/>
                <w:sz w:val="21"/>
                <w:szCs w:val="21"/>
              </w:rPr>
              <w:t>生殖毒性,类别1B</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180" w:hRule="atLeast"/>
          <w:jc w:val="center"/>
        </w:trPr>
        <w:tc>
          <w:tcPr>
            <w:tcW w:w="708" w:type="dxa"/>
            <w:tcBorders>
              <w:top w:val="single" w:color="auto" w:sz="4" w:space="0"/>
            </w:tcBorders>
            <w:shd w:val="clear" w:color="auto" w:fill="FFFFFF"/>
            <w:vAlign w:val="center"/>
          </w:tcPr>
          <w:p>
            <w:pPr>
              <w:spacing w:line="276"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14</w:t>
            </w:r>
          </w:p>
        </w:tc>
        <w:tc>
          <w:tcPr>
            <w:tcW w:w="2274" w:type="dxa"/>
            <w:tcBorders>
              <w:top w:val="single" w:color="auto" w:sz="4" w:space="0"/>
            </w:tcBorders>
            <w:shd w:val="clear" w:color="auto" w:fill="FFFFFF"/>
            <w:vAlign w:val="center"/>
          </w:tcPr>
          <w:p>
            <w:pPr>
              <w:spacing w:line="276" w:lineRule="auto"/>
              <w:jc w:val="center"/>
              <w:rPr>
                <w:rFonts w:ascii="宋体" w:hAnsi="宋体" w:eastAsia="宋体"/>
                <w:color w:val="auto"/>
                <w:sz w:val="21"/>
                <w:szCs w:val="21"/>
              </w:rPr>
            </w:pPr>
            <w:r>
              <w:rPr>
                <w:rFonts w:hint="eastAsia" w:ascii="宋体" w:hAnsi="宋体" w:eastAsia="宋体"/>
                <w:color w:val="auto"/>
                <w:sz w:val="21"/>
                <w:szCs w:val="21"/>
              </w:rPr>
              <w:t>丙二醇甲醚乙酸酯</w:t>
            </w:r>
          </w:p>
        </w:tc>
        <w:tc>
          <w:tcPr>
            <w:tcW w:w="995" w:type="dxa"/>
            <w:tcBorders>
              <w:top w:val="single" w:color="auto" w:sz="4" w:space="0"/>
            </w:tcBorders>
            <w:shd w:val="clear" w:color="auto" w:fill="FFFFFF"/>
            <w:vAlign w:val="center"/>
          </w:tcPr>
          <w:p>
            <w:pPr>
              <w:widowControl/>
              <w:spacing w:line="276" w:lineRule="auto"/>
              <w:jc w:val="center"/>
              <w:rPr>
                <w:rFonts w:ascii="宋体" w:hAnsi="宋体" w:eastAsia="宋体" w:cs="宋体"/>
                <w:color w:val="auto"/>
                <w:sz w:val="21"/>
                <w:szCs w:val="21"/>
                <w:lang w:eastAsia="zh-CN"/>
              </w:rPr>
            </w:pPr>
            <w:r>
              <w:rPr>
                <w:rFonts w:hint="eastAsia" w:ascii="宋体" w:hAnsi="宋体" w:eastAsia="宋体" w:cs="宋体"/>
                <w:color w:val="auto"/>
                <w:sz w:val="21"/>
                <w:szCs w:val="21"/>
                <w:lang w:eastAsia="zh-CN"/>
              </w:rPr>
              <w:t>2828</w:t>
            </w:r>
          </w:p>
        </w:tc>
        <w:tc>
          <w:tcPr>
            <w:tcW w:w="5221" w:type="dxa"/>
            <w:tcBorders>
              <w:top w:val="single" w:color="auto" w:sz="4" w:space="0"/>
            </w:tcBorders>
            <w:shd w:val="clear" w:color="auto" w:fill="FFFFFF"/>
            <w:vAlign w:val="center"/>
          </w:tcPr>
          <w:p>
            <w:pPr>
              <w:widowControl/>
              <w:spacing w:line="276" w:lineRule="auto"/>
              <w:rPr>
                <w:rFonts w:ascii="宋体" w:hAnsi="宋体" w:eastAsia="宋体" w:cs="宋体"/>
                <w:color w:val="auto"/>
                <w:sz w:val="21"/>
                <w:szCs w:val="21"/>
                <w:lang w:eastAsia="zh-CN"/>
              </w:rPr>
            </w:pPr>
            <w:r>
              <w:rPr>
                <w:rFonts w:ascii="宋体" w:hAnsi="宋体" w:eastAsia="宋体" w:cs="宋体"/>
                <w:color w:val="auto"/>
                <w:sz w:val="21"/>
                <w:szCs w:val="21"/>
              </w:rPr>
              <w:t>易燃液体,类别3</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454" w:hRule="atLeast"/>
          <w:jc w:val="center"/>
        </w:trPr>
        <w:tc>
          <w:tcPr>
            <w:tcW w:w="708" w:type="dxa"/>
            <w:shd w:val="clear" w:color="auto" w:fill="FFFFFF"/>
            <w:vAlign w:val="center"/>
          </w:tcPr>
          <w:p>
            <w:pPr>
              <w:spacing w:line="276"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15</w:t>
            </w:r>
          </w:p>
        </w:tc>
        <w:tc>
          <w:tcPr>
            <w:tcW w:w="2274" w:type="dxa"/>
            <w:shd w:val="clear" w:color="auto" w:fill="FFFFFF"/>
            <w:vAlign w:val="center"/>
          </w:tcPr>
          <w:p>
            <w:pPr>
              <w:spacing w:line="276" w:lineRule="auto"/>
              <w:jc w:val="center"/>
              <w:rPr>
                <w:rFonts w:ascii="宋体" w:hAnsi="宋体" w:eastAsia="宋体"/>
                <w:color w:val="auto"/>
                <w:sz w:val="21"/>
                <w:szCs w:val="21"/>
              </w:rPr>
            </w:pPr>
            <w:r>
              <w:rPr>
                <w:rFonts w:hint="eastAsia" w:ascii="宋体" w:hAnsi="宋体" w:eastAsia="宋体"/>
                <w:color w:val="auto"/>
                <w:sz w:val="21"/>
                <w:szCs w:val="21"/>
              </w:rPr>
              <w:t>聚氨酯漆稀释剂</w:t>
            </w:r>
          </w:p>
        </w:tc>
        <w:tc>
          <w:tcPr>
            <w:tcW w:w="995" w:type="dxa"/>
            <w:shd w:val="clear" w:color="auto" w:fill="FFFFFF"/>
            <w:vAlign w:val="center"/>
          </w:tcPr>
          <w:p>
            <w:pPr>
              <w:spacing w:line="276" w:lineRule="auto"/>
              <w:jc w:val="center"/>
              <w:rPr>
                <w:rFonts w:ascii="宋体" w:hAnsi="宋体" w:eastAsia="宋体"/>
                <w:color w:val="auto"/>
                <w:sz w:val="21"/>
                <w:szCs w:val="21"/>
              </w:rPr>
            </w:pPr>
            <w:r>
              <w:rPr>
                <w:rFonts w:hint="eastAsia" w:ascii="宋体" w:hAnsi="宋体" w:eastAsia="宋体"/>
                <w:color w:val="auto"/>
                <w:sz w:val="21"/>
                <w:szCs w:val="21"/>
              </w:rPr>
              <w:t>2828</w:t>
            </w:r>
          </w:p>
        </w:tc>
        <w:tc>
          <w:tcPr>
            <w:tcW w:w="5221" w:type="dxa"/>
            <w:shd w:val="clear" w:color="auto" w:fill="FFFFFF"/>
            <w:vAlign w:val="center"/>
          </w:tcPr>
          <w:p>
            <w:pPr>
              <w:spacing w:line="276" w:lineRule="auto"/>
              <w:ind w:right="94" w:rightChars="39"/>
              <w:jc w:val="both"/>
              <w:rPr>
                <w:rFonts w:ascii="宋体" w:hAnsi="宋体" w:eastAsia="宋体" w:cs="宋体"/>
                <w:color w:val="auto"/>
                <w:sz w:val="21"/>
                <w:szCs w:val="21"/>
                <w:lang w:eastAsia="zh-CN"/>
              </w:rPr>
            </w:pPr>
            <w:r>
              <w:rPr>
                <w:rFonts w:hint="eastAsia" w:ascii="宋体" w:hAnsi="宋体" w:eastAsia="宋体" w:cs="宋体"/>
                <w:color w:val="auto"/>
                <w:sz w:val="21"/>
                <w:szCs w:val="21"/>
              </w:rPr>
              <w:t>易燃液体，类别</w:t>
            </w:r>
            <w:r>
              <w:rPr>
                <w:rFonts w:hint="eastAsia" w:ascii="宋体" w:hAnsi="宋体" w:eastAsia="宋体" w:cs="宋体"/>
                <w:color w:val="auto"/>
                <w:sz w:val="21"/>
                <w:szCs w:val="21"/>
                <w:lang w:eastAsia="zh-CN"/>
              </w:rPr>
              <w:t>3；</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454" w:hRule="atLeast"/>
          <w:jc w:val="center"/>
        </w:trPr>
        <w:tc>
          <w:tcPr>
            <w:tcW w:w="708" w:type="dxa"/>
            <w:shd w:val="clear" w:color="auto" w:fill="FFFFFF"/>
            <w:vAlign w:val="center"/>
          </w:tcPr>
          <w:p>
            <w:pPr>
              <w:spacing w:line="276"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16</w:t>
            </w:r>
          </w:p>
        </w:tc>
        <w:tc>
          <w:tcPr>
            <w:tcW w:w="2274" w:type="dxa"/>
            <w:shd w:val="clear" w:color="auto" w:fill="FFFFFF"/>
            <w:vAlign w:val="center"/>
          </w:tcPr>
          <w:p>
            <w:pPr>
              <w:spacing w:line="276" w:lineRule="auto"/>
              <w:jc w:val="center"/>
              <w:rPr>
                <w:rFonts w:ascii="宋体" w:hAnsi="宋体" w:eastAsia="宋体"/>
                <w:color w:val="auto"/>
                <w:sz w:val="21"/>
                <w:szCs w:val="21"/>
              </w:rPr>
            </w:pPr>
            <w:r>
              <w:rPr>
                <w:rFonts w:hint="eastAsia" w:ascii="宋体" w:hAnsi="宋体" w:eastAsia="宋体"/>
                <w:color w:val="auto"/>
                <w:sz w:val="21"/>
                <w:szCs w:val="21"/>
              </w:rPr>
              <w:t>聚酯树脂清漆</w:t>
            </w:r>
          </w:p>
        </w:tc>
        <w:tc>
          <w:tcPr>
            <w:tcW w:w="995" w:type="dxa"/>
            <w:shd w:val="clear" w:color="auto" w:fill="FFFFFF"/>
            <w:vAlign w:val="center"/>
          </w:tcPr>
          <w:p>
            <w:pPr>
              <w:spacing w:line="276" w:lineRule="auto"/>
              <w:jc w:val="center"/>
              <w:rPr>
                <w:rFonts w:ascii="宋体" w:hAnsi="宋体" w:eastAsia="宋体"/>
                <w:color w:val="auto"/>
                <w:sz w:val="21"/>
                <w:szCs w:val="21"/>
              </w:rPr>
            </w:pPr>
            <w:r>
              <w:rPr>
                <w:rFonts w:hint="eastAsia" w:ascii="宋体" w:hAnsi="宋体" w:eastAsia="宋体"/>
                <w:color w:val="auto"/>
                <w:sz w:val="21"/>
                <w:szCs w:val="21"/>
              </w:rPr>
              <w:t>2828</w:t>
            </w:r>
          </w:p>
        </w:tc>
        <w:tc>
          <w:tcPr>
            <w:tcW w:w="5221" w:type="dxa"/>
            <w:shd w:val="clear" w:color="auto" w:fill="FFFFFF"/>
            <w:vAlign w:val="center"/>
          </w:tcPr>
          <w:p>
            <w:pPr>
              <w:spacing w:line="276" w:lineRule="auto"/>
              <w:jc w:val="both"/>
              <w:rPr>
                <w:rFonts w:ascii="宋体" w:hAnsi="宋体" w:eastAsia="宋体"/>
                <w:color w:val="auto"/>
                <w:sz w:val="21"/>
                <w:szCs w:val="21"/>
              </w:rPr>
            </w:pPr>
            <w:r>
              <w:rPr>
                <w:rFonts w:hint="eastAsia" w:ascii="宋体" w:hAnsi="宋体" w:eastAsia="宋体" w:cs="宋体"/>
                <w:color w:val="auto"/>
                <w:sz w:val="21"/>
                <w:szCs w:val="21"/>
              </w:rPr>
              <w:t>易燃液体，类别</w:t>
            </w:r>
            <w:r>
              <w:rPr>
                <w:rFonts w:hint="eastAsia" w:ascii="宋体" w:hAnsi="宋体" w:eastAsia="宋体" w:cs="宋体"/>
                <w:color w:val="auto"/>
                <w:sz w:val="21"/>
                <w:szCs w:val="21"/>
                <w:lang w:eastAsia="zh-CN"/>
              </w:rPr>
              <w:t>3；</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454" w:hRule="atLeast"/>
          <w:jc w:val="center"/>
        </w:trPr>
        <w:tc>
          <w:tcPr>
            <w:tcW w:w="708" w:type="dxa"/>
            <w:shd w:val="clear" w:color="auto" w:fill="FFFFFF"/>
            <w:vAlign w:val="center"/>
          </w:tcPr>
          <w:p>
            <w:pPr>
              <w:spacing w:line="276"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17</w:t>
            </w:r>
          </w:p>
        </w:tc>
        <w:tc>
          <w:tcPr>
            <w:tcW w:w="2274" w:type="dxa"/>
            <w:shd w:val="clear" w:color="auto" w:fill="FFFFFF"/>
            <w:vAlign w:val="center"/>
          </w:tcPr>
          <w:p>
            <w:pPr>
              <w:spacing w:line="276" w:lineRule="auto"/>
              <w:jc w:val="center"/>
              <w:rPr>
                <w:rFonts w:ascii="宋体" w:hAnsi="宋体" w:eastAsia="宋体"/>
                <w:color w:val="auto"/>
                <w:sz w:val="21"/>
                <w:szCs w:val="21"/>
              </w:rPr>
            </w:pPr>
            <w:r>
              <w:rPr>
                <w:rFonts w:hint="eastAsia" w:ascii="宋体" w:hAnsi="宋体" w:eastAsia="宋体"/>
                <w:color w:val="auto"/>
                <w:sz w:val="21"/>
                <w:szCs w:val="21"/>
              </w:rPr>
              <w:t>硝基清漆</w:t>
            </w:r>
          </w:p>
        </w:tc>
        <w:tc>
          <w:tcPr>
            <w:tcW w:w="995" w:type="dxa"/>
            <w:shd w:val="clear" w:color="auto" w:fill="FFFFFF"/>
            <w:vAlign w:val="center"/>
          </w:tcPr>
          <w:p>
            <w:pPr>
              <w:spacing w:line="276" w:lineRule="auto"/>
              <w:jc w:val="center"/>
              <w:rPr>
                <w:rFonts w:ascii="宋体" w:hAnsi="宋体" w:eastAsia="宋体"/>
                <w:color w:val="auto"/>
                <w:sz w:val="21"/>
                <w:szCs w:val="21"/>
              </w:rPr>
            </w:pPr>
            <w:r>
              <w:rPr>
                <w:rFonts w:ascii="宋体" w:hAnsi="宋体" w:eastAsia="宋体"/>
                <w:color w:val="auto"/>
                <w:sz w:val="21"/>
                <w:szCs w:val="21"/>
              </w:rPr>
              <w:t>2828</w:t>
            </w:r>
          </w:p>
        </w:tc>
        <w:tc>
          <w:tcPr>
            <w:tcW w:w="5221" w:type="dxa"/>
            <w:shd w:val="clear" w:color="auto" w:fill="FFFFFF"/>
            <w:vAlign w:val="center"/>
          </w:tcPr>
          <w:p>
            <w:pPr>
              <w:spacing w:line="276" w:lineRule="auto"/>
              <w:jc w:val="both"/>
              <w:rPr>
                <w:rFonts w:ascii="宋体" w:hAnsi="宋体" w:eastAsia="宋体"/>
                <w:color w:val="auto"/>
                <w:sz w:val="21"/>
                <w:szCs w:val="21"/>
              </w:rPr>
            </w:pPr>
            <w:r>
              <w:rPr>
                <w:rFonts w:hint="eastAsia" w:ascii="宋体" w:hAnsi="宋体" w:eastAsia="宋体" w:cs="宋体"/>
                <w:color w:val="auto"/>
                <w:sz w:val="21"/>
                <w:szCs w:val="21"/>
              </w:rPr>
              <w:t>易燃液体，类别</w:t>
            </w:r>
            <w:r>
              <w:rPr>
                <w:rFonts w:hint="eastAsia" w:ascii="宋体" w:hAnsi="宋体" w:eastAsia="宋体" w:cs="宋体"/>
                <w:color w:val="auto"/>
                <w:sz w:val="21"/>
                <w:szCs w:val="21"/>
                <w:lang w:eastAsia="zh-CN"/>
              </w:rPr>
              <w:t>2；</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454" w:hRule="atLeast"/>
          <w:jc w:val="center"/>
        </w:trPr>
        <w:tc>
          <w:tcPr>
            <w:tcW w:w="708" w:type="dxa"/>
            <w:shd w:val="clear" w:color="auto" w:fill="FFFFFF"/>
            <w:vAlign w:val="center"/>
          </w:tcPr>
          <w:p>
            <w:pPr>
              <w:spacing w:line="276" w:lineRule="auto"/>
              <w:jc w:val="center"/>
              <w:rPr>
                <w:rFonts w:ascii="宋体" w:hAnsi="宋体" w:eastAsia="宋体"/>
                <w:color w:val="auto"/>
                <w:sz w:val="21"/>
                <w:szCs w:val="21"/>
                <w:lang w:eastAsia="zh-CN"/>
              </w:rPr>
            </w:pPr>
            <w:r>
              <w:rPr>
                <w:rFonts w:ascii="宋体" w:hAnsi="宋体" w:eastAsia="宋体"/>
                <w:color w:val="auto"/>
                <w:sz w:val="21"/>
                <w:szCs w:val="21"/>
              </w:rPr>
              <w:t>1</w:t>
            </w:r>
            <w:r>
              <w:rPr>
                <w:rFonts w:hint="eastAsia" w:ascii="宋体" w:hAnsi="宋体" w:eastAsia="宋体"/>
                <w:color w:val="auto"/>
                <w:sz w:val="21"/>
                <w:szCs w:val="21"/>
                <w:lang w:eastAsia="zh-CN"/>
              </w:rPr>
              <w:t>8</w:t>
            </w:r>
          </w:p>
        </w:tc>
        <w:tc>
          <w:tcPr>
            <w:tcW w:w="2274" w:type="dxa"/>
            <w:shd w:val="clear" w:color="auto" w:fill="FFFFFF"/>
            <w:vAlign w:val="center"/>
          </w:tcPr>
          <w:p>
            <w:pPr>
              <w:spacing w:line="276" w:lineRule="auto"/>
              <w:jc w:val="center"/>
              <w:rPr>
                <w:rFonts w:ascii="宋体" w:hAnsi="宋体" w:eastAsia="宋体"/>
                <w:color w:val="auto"/>
                <w:sz w:val="21"/>
                <w:szCs w:val="21"/>
              </w:rPr>
            </w:pPr>
            <w:r>
              <w:rPr>
                <w:rFonts w:hint="eastAsia" w:ascii="宋体" w:hAnsi="宋体" w:eastAsia="宋体"/>
                <w:color w:val="auto"/>
                <w:sz w:val="21"/>
                <w:szCs w:val="21"/>
              </w:rPr>
              <w:t>硝基漆稀释剂</w:t>
            </w:r>
          </w:p>
        </w:tc>
        <w:tc>
          <w:tcPr>
            <w:tcW w:w="995" w:type="dxa"/>
            <w:shd w:val="clear" w:color="auto" w:fill="FFFFFF"/>
            <w:vAlign w:val="center"/>
          </w:tcPr>
          <w:p>
            <w:pPr>
              <w:spacing w:line="276" w:lineRule="auto"/>
              <w:jc w:val="center"/>
              <w:rPr>
                <w:rFonts w:ascii="宋体" w:hAnsi="宋体" w:eastAsia="宋体"/>
                <w:color w:val="auto"/>
                <w:sz w:val="21"/>
                <w:szCs w:val="21"/>
              </w:rPr>
            </w:pPr>
            <w:r>
              <w:rPr>
                <w:rFonts w:ascii="宋体" w:hAnsi="宋体" w:eastAsia="宋体"/>
                <w:color w:val="auto"/>
                <w:sz w:val="21"/>
                <w:szCs w:val="21"/>
              </w:rPr>
              <w:t>2828</w:t>
            </w:r>
          </w:p>
        </w:tc>
        <w:tc>
          <w:tcPr>
            <w:tcW w:w="5221" w:type="dxa"/>
            <w:shd w:val="clear" w:color="auto" w:fill="FFFFFF"/>
            <w:vAlign w:val="center"/>
          </w:tcPr>
          <w:p>
            <w:pPr>
              <w:spacing w:line="276" w:lineRule="auto"/>
              <w:jc w:val="both"/>
              <w:rPr>
                <w:rFonts w:ascii="宋体" w:hAnsi="宋体" w:eastAsia="宋体"/>
                <w:color w:val="auto"/>
                <w:sz w:val="21"/>
                <w:szCs w:val="21"/>
              </w:rPr>
            </w:pPr>
            <w:r>
              <w:rPr>
                <w:rFonts w:hint="eastAsia" w:ascii="宋体" w:hAnsi="宋体" w:eastAsia="宋体" w:cs="宋体"/>
                <w:color w:val="auto"/>
                <w:sz w:val="21"/>
                <w:szCs w:val="21"/>
              </w:rPr>
              <w:t>易燃液体，类别</w:t>
            </w:r>
            <w:r>
              <w:rPr>
                <w:rFonts w:hint="eastAsia" w:ascii="宋体" w:hAnsi="宋体" w:eastAsia="宋体" w:cs="宋体"/>
                <w:color w:val="auto"/>
                <w:sz w:val="21"/>
                <w:szCs w:val="21"/>
                <w:lang w:eastAsia="zh-CN"/>
              </w:rPr>
              <w:t>2；</w:t>
            </w:r>
          </w:p>
        </w:tc>
      </w:tr>
    </w:tbl>
    <w:p>
      <w:pPr>
        <w:spacing w:line="560" w:lineRule="exact"/>
        <w:ind w:firstLine="425" w:firstLineChars="152"/>
        <w:rPr>
          <w:rFonts w:ascii="宋体" w:hAnsi="宋体" w:eastAsia="宋体"/>
          <w:color w:val="auto"/>
          <w:sz w:val="28"/>
          <w:szCs w:val="28"/>
        </w:rPr>
      </w:pPr>
      <w:r>
        <w:rPr>
          <w:rFonts w:ascii="宋体" w:hAnsi="宋体" w:eastAsia="宋体"/>
          <w:color w:val="auto"/>
          <w:sz w:val="28"/>
          <w:szCs w:val="28"/>
        </w:rPr>
        <w:t>该公司生产中涉及的危险化学品的理化性质与危险特性主要从《化学品安全卫生综合信息系统》(1.2版，国家化学品登记中心，2003年出版)中危险物质的《安全技术说明书》获得，或从《新编危险物品安全手册》(化学工业出版社)中获得</w:t>
      </w:r>
      <w:r>
        <w:rPr>
          <w:rFonts w:hint="eastAsia" w:ascii="宋体" w:hAnsi="宋体" w:eastAsia="宋体"/>
          <w:color w:val="auto"/>
          <w:sz w:val="28"/>
          <w:szCs w:val="28"/>
          <w:lang w:eastAsia="zh-CN"/>
        </w:rPr>
        <w:t>，整</w:t>
      </w:r>
      <w:r>
        <w:rPr>
          <w:rFonts w:ascii="宋体" w:hAnsi="宋体" w:eastAsia="宋体"/>
          <w:color w:val="auto"/>
          <w:sz w:val="28"/>
          <w:szCs w:val="28"/>
        </w:rPr>
        <w:t>理列表如下。</w:t>
      </w:r>
    </w:p>
    <w:p>
      <w:pPr>
        <w:spacing w:line="560" w:lineRule="exact"/>
        <w:jc w:val="center"/>
        <w:outlineLvl w:val="2"/>
        <w:rPr>
          <w:rFonts w:ascii="宋体" w:hAnsi="宋体" w:eastAsia="宋体" w:cs="Times New Roman"/>
          <w:b/>
          <w:bCs/>
          <w:color w:val="auto"/>
          <w:kern w:val="2"/>
          <w:lang w:val="en-US" w:bidi="ar-SA"/>
        </w:rPr>
      </w:pPr>
      <w:r>
        <w:rPr>
          <w:rFonts w:hint="eastAsia" w:ascii="宋体" w:hAnsi="宋体" w:eastAsia="宋体" w:cs="Times New Roman"/>
          <w:b/>
          <w:bCs/>
          <w:color w:val="auto"/>
          <w:kern w:val="2"/>
          <w:lang w:val="en-US" w:bidi="ar-SA"/>
        </w:rPr>
        <w:t>附表1-3正丁酯</w:t>
      </w:r>
      <w:r>
        <w:rPr>
          <w:rFonts w:ascii="宋体" w:hAnsi="宋体" w:eastAsia="宋体" w:cs="Times New Roman"/>
          <w:b/>
          <w:bCs/>
          <w:color w:val="auto"/>
          <w:kern w:val="2"/>
          <w:lang w:val="en-US" w:bidi="ar-SA"/>
        </w:rPr>
        <w:t>的理化特性表</w:t>
      </w:r>
    </w:p>
    <w:tbl>
      <w:tblPr>
        <w:tblStyle w:val="45"/>
        <w:tblW w:w="91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6"/>
        <w:gridCol w:w="1558"/>
        <w:gridCol w:w="1202"/>
        <w:gridCol w:w="255"/>
        <w:gridCol w:w="343"/>
        <w:gridCol w:w="1236"/>
        <w:gridCol w:w="45"/>
        <w:gridCol w:w="709"/>
        <w:gridCol w:w="425"/>
        <w:gridCol w:w="1560"/>
        <w:gridCol w:w="566"/>
        <w:gridCol w:w="8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9" w:hRule="atLeast"/>
          <w:jc w:val="center"/>
        </w:trPr>
        <w:tc>
          <w:tcPr>
            <w:tcW w:w="476" w:type="dxa"/>
            <w:vMerge w:val="restart"/>
            <w:vAlign w:val="center"/>
          </w:tcPr>
          <w:p>
            <w:pPr>
              <w:spacing w:line="360" w:lineRule="auto"/>
              <w:rPr>
                <w:rFonts w:ascii="宋体" w:hAnsi="宋体" w:eastAsia="宋体"/>
                <w:color w:val="auto"/>
                <w:spacing w:val="10"/>
                <w:sz w:val="21"/>
                <w:szCs w:val="21"/>
              </w:rPr>
            </w:pPr>
            <w:bookmarkStart w:id="159" w:name="_Toc524426321"/>
            <w:bookmarkStart w:id="160" w:name="_Toc174954585"/>
            <w:r>
              <w:rPr>
                <w:rFonts w:ascii="宋体" w:hAnsi="宋体" w:eastAsia="宋体"/>
                <w:color w:val="auto"/>
                <w:spacing w:val="10"/>
                <w:sz w:val="21"/>
                <w:szCs w:val="21"/>
              </w:rPr>
              <w:t>标</w:t>
            </w:r>
          </w:p>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识</w:t>
            </w:r>
          </w:p>
        </w:tc>
        <w:tc>
          <w:tcPr>
            <w:tcW w:w="5348" w:type="dxa"/>
            <w:gridSpan w:val="7"/>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中文名</w:t>
            </w:r>
            <w:r>
              <w:rPr>
                <w:rFonts w:hint="eastAsia" w:ascii="宋体" w:hAnsi="宋体" w:eastAsia="宋体"/>
                <w:color w:val="auto"/>
                <w:spacing w:val="10"/>
                <w:sz w:val="21"/>
                <w:szCs w:val="21"/>
              </w:rPr>
              <w:t>：</w:t>
            </w:r>
            <w:r>
              <w:rPr>
                <w:rFonts w:hint="eastAsia" w:ascii="宋体" w:hAnsi="宋体" w:eastAsia="宋体" w:cs="宋体"/>
                <w:color w:val="auto"/>
                <w:sz w:val="21"/>
                <w:szCs w:val="21"/>
              </w:rPr>
              <w:t>正丁醇</w:t>
            </w:r>
          </w:p>
        </w:tc>
        <w:tc>
          <w:tcPr>
            <w:tcW w:w="3355" w:type="dxa"/>
            <w:gridSpan w:val="4"/>
            <w:vAlign w:val="center"/>
          </w:tcPr>
          <w:p>
            <w:pPr>
              <w:spacing w:line="360" w:lineRule="auto"/>
              <w:rPr>
                <w:rFonts w:ascii="宋体" w:hAnsi="宋体" w:eastAsia="宋体"/>
                <w:color w:val="auto"/>
                <w:spacing w:val="10"/>
                <w:sz w:val="21"/>
                <w:szCs w:val="21"/>
              </w:rPr>
            </w:pPr>
            <w:r>
              <w:rPr>
                <w:rFonts w:hint="eastAsia" w:ascii="宋体" w:hAnsi="宋体" w:eastAsia="宋体"/>
                <w:color w:val="auto"/>
                <w:sz w:val="21"/>
                <w:szCs w:val="21"/>
              </w:rPr>
              <w:t>危险化学品的目录序号：2761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5" w:hRule="atLeast"/>
          <w:jc w:val="center"/>
        </w:trPr>
        <w:tc>
          <w:tcPr>
            <w:tcW w:w="476" w:type="dxa"/>
            <w:vMerge w:val="continue"/>
            <w:vAlign w:val="center"/>
          </w:tcPr>
          <w:p>
            <w:pPr>
              <w:widowControl/>
              <w:spacing w:line="360" w:lineRule="auto"/>
              <w:rPr>
                <w:rFonts w:ascii="宋体" w:hAnsi="宋体" w:eastAsia="宋体"/>
                <w:color w:val="auto"/>
                <w:spacing w:val="10"/>
                <w:sz w:val="21"/>
                <w:szCs w:val="21"/>
              </w:rPr>
            </w:pPr>
          </w:p>
        </w:tc>
        <w:tc>
          <w:tcPr>
            <w:tcW w:w="5773" w:type="dxa"/>
            <w:gridSpan w:val="8"/>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英文名：</w:t>
            </w:r>
            <w:r>
              <w:rPr>
                <w:rFonts w:ascii="宋体" w:hAnsi="宋体" w:eastAsia="宋体" w:cs="宋体"/>
                <w:color w:val="auto"/>
                <w:sz w:val="21"/>
                <w:szCs w:val="21"/>
              </w:rPr>
              <w:t>n-butanol;butan-1-ol</w:t>
            </w:r>
          </w:p>
        </w:tc>
        <w:tc>
          <w:tcPr>
            <w:tcW w:w="2930" w:type="dxa"/>
            <w:gridSpan w:val="3"/>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UN编号：</w:t>
            </w:r>
            <w:r>
              <w:rPr>
                <w:rFonts w:hint="eastAsia" w:ascii="宋体" w:hAnsi="宋体" w:eastAsia="宋体"/>
                <w:color w:val="auto"/>
                <w:spacing w:val="10"/>
                <w:sz w:val="21"/>
                <w:szCs w:val="21"/>
              </w:rPr>
              <w:t>1120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1" w:hRule="atLeast"/>
          <w:jc w:val="center"/>
        </w:trPr>
        <w:tc>
          <w:tcPr>
            <w:tcW w:w="476" w:type="dxa"/>
            <w:vMerge w:val="continue"/>
            <w:vAlign w:val="center"/>
          </w:tcPr>
          <w:p>
            <w:pPr>
              <w:widowControl/>
              <w:spacing w:line="360" w:lineRule="auto"/>
              <w:rPr>
                <w:rFonts w:ascii="宋体" w:hAnsi="宋体" w:eastAsia="宋体"/>
                <w:color w:val="auto"/>
                <w:spacing w:val="10"/>
                <w:sz w:val="21"/>
                <w:szCs w:val="21"/>
              </w:rPr>
            </w:pPr>
          </w:p>
        </w:tc>
        <w:tc>
          <w:tcPr>
            <w:tcW w:w="3015" w:type="dxa"/>
            <w:gridSpan w:val="3"/>
            <w:vAlign w:val="center"/>
          </w:tcPr>
          <w:p>
            <w:pPr>
              <w:spacing w:line="360" w:lineRule="auto"/>
              <w:ind w:left="880" w:hanging="920" w:hangingChars="400"/>
              <w:rPr>
                <w:rFonts w:ascii="宋体" w:hAnsi="宋体" w:eastAsia="宋体"/>
                <w:color w:val="auto"/>
                <w:spacing w:val="10"/>
                <w:sz w:val="21"/>
                <w:szCs w:val="21"/>
              </w:rPr>
            </w:pPr>
            <w:r>
              <w:rPr>
                <w:rFonts w:ascii="宋体" w:hAnsi="宋体" w:eastAsia="宋体"/>
                <w:color w:val="auto"/>
                <w:spacing w:val="10"/>
                <w:sz w:val="21"/>
                <w:szCs w:val="21"/>
              </w:rPr>
              <w:t>分子式：</w:t>
            </w:r>
            <w:r>
              <w:rPr>
                <w:rFonts w:hint="eastAsia" w:ascii="宋体" w:hAnsi="宋体" w:eastAsia="宋体"/>
                <w:color w:val="auto"/>
                <w:spacing w:val="10"/>
                <w:sz w:val="21"/>
                <w:szCs w:val="21"/>
              </w:rPr>
              <w:t>C</w:t>
            </w:r>
            <w:r>
              <w:rPr>
                <w:rFonts w:hint="eastAsia" w:ascii="宋体" w:hAnsi="宋体" w:eastAsia="宋体"/>
                <w:color w:val="auto"/>
                <w:spacing w:val="10"/>
                <w:sz w:val="21"/>
                <w:szCs w:val="21"/>
                <w:vertAlign w:val="subscript"/>
              </w:rPr>
              <w:t>4</w:t>
            </w:r>
            <w:r>
              <w:rPr>
                <w:rFonts w:hint="eastAsia" w:ascii="宋体" w:hAnsi="宋体" w:eastAsia="宋体"/>
                <w:color w:val="auto"/>
                <w:spacing w:val="10"/>
                <w:sz w:val="21"/>
                <w:szCs w:val="21"/>
              </w:rPr>
              <w:t>H</w:t>
            </w:r>
            <w:r>
              <w:rPr>
                <w:rFonts w:hint="eastAsia" w:ascii="宋体" w:hAnsi="宋体" w:eastAsia="宋体"/>
                <w:color w:val="auto"/>
                <w:spacing w:val="10"/>
                <w:sz w:val="21"/>
                <w:szCs w:val="21"/>
                <w:vertAlign w:val="subscript"/>
              </w:rPr>
              <w:t>10</w:t>
            </w:r>
            <w:r>
              <w:rPr>
                <w:rFonts w:hint="eastAsia" w:ascii="宋体" w:hAnsi="宋体" w:eastAsia="宋体"/>
                <w:color w:val="auto"/>
                <w:spacing w:val="10"/>
                <w:sz w:val="21"/>
                <w:szCs w:val="21"/>
              </w:rPr>
              <w:t>O</w:t>
            </w:r>
          </w:p>
        </w:tc>
        <w:tc>
          <w:tcPr>
            <w:tcW w:w="2758" w:type="dxa"/>
            <w:gridSpan w:val="5"/>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分子量：</w:t>
            </w:r>
            <w:r>
              <w:rPr>
                <w:rFonts w:hint="eastAsia" w:ascii="宋体" w:hAnsi="宋体" w:eastAsia="宋体"/>
                <w:color w:val="auto"/>
                <w:spacing w:val="10"/>
                <w:sz w:val="21"/>
                <w:szCs w:val="21"/>
              </w:rPr>
              <w:t>74.12</w:t>
            </w:r>
          </w:p>
        </w:tc>
        <w:tc>
          <w:tcPr>
            <w:tcW w:w="2930" w:type="dxa"/>
            <w:gridSpan w:val="3"/>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CAS号：</w:t>
            </w:r>
            <w:r>
              <w:rPr>
                <w:rFonts w:ascii="宋体" w:hAnsi="宋体" w:eastAsia="宋体" w:cs="宋体"/>
                <w:color w:val="auto"/>
                <w:sz w:val="21"/>
                <w:szCs w:val="21"/>
              </w:rPr>
              <w:t>71-36-3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476" w:type="dxa"/>
            <w:vMerge w:val="restart"/>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理</w:t>
            </w:r>
          </w:p>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化性质</w:t>
            </w:r>
          </w:p>
        </w:tc>
        <w:tc>
          <w:tcPr>
            <w:tcW w:w="1558" w:type="dxa"/>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外观与性状</w:t>
            </w:r>
          </w:p>
        </w:tc>
        <w:tc>
          <w:tcPr>
            <w:tcW w:w="7145" w:type="dxa"/>
            <w:gridSpan w:val="10"/>
            <w:vAlign w:val="center"/>
          </w:tcPr>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无色液体，具有特殊气味。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jc w:val="center"/>
        </w:trPr>
        <w:tc>
          <w:tcPr>
            <w:tcW w:w="476" w:type="dxa"/>
            <w:vMerge w:val="continue"/>
            <w:vAlign w:val="center"/>
          </w:tcPr>
          <w:p>
            <w:pPr>
              <w:widowControl/>
              <w:spacing w:line="360" w:lineRule="auto"/>
              <w:rPr>
                <w:rFonts w:ascii="宋体" w:hAnsi="宋体" w:eastAsia="宋体"/>
                <w:color w:val="auto"/>
                <w:spacing w:val="10"/>
                <w:sz w:val="21"/>
                <w:szCs w:val="21"/>
              </w:rPr>
            </w:pPr>
          </w:p>
        </w:tc>
        <w:tc>
          <w:tcPr>
            <w:tcW w:w="1558" w:type="dxa"/>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熔点（℃）</w:t>
            </w:r>
          </w:p>
        </w:tc>
        <w:tc>
          <w:tcPr>
            <w:tcW w:w="1202" w:type="dxa"/>
            <w:vAlign w:val="center"/>
          </w:tcPr>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-88.9</w:t>
            </w:r>
          </w:p>
        </w:tc>
        <w:tc>
          <w:tcPr>
            <w:tcW w:w="1879" w:type="dxa"/>
            <w:gridSpan w:val="4"/>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相对密度(水=1)</w:t>
            </w:r>
          </w:p>
        </w:tc>
        <w:tc>
          <w:tcPr>
            <w:tcW w:w="1134" w:type="dxa"/>
            <w:gridSpan w:val="2"/>
            <w:vAlign w:val="center"/>
          </w:tcPr>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0.81</w:t>
            </w:r>
          </w:p>
        </w:tc>
        <w:tc>
          <w:tcPr>
            <w:tcW w:w="2126" w:type="dxa"/>
            <w:gridSpan w:val="2"/>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相对密度(空气=1)</w:t>
            </w:r>
          </w:p>
        </w:tc>
        <w:tc>
          <w:tcPr>
            <w:tcW w:w="804" w:type="dxa"/>
            <w:vAlign w:val="center"/>
          </w:tcPr>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2.55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6" w:hRule="atLeast"/>
          <w:jc w:val="center"/>
        </w:trPr>
        <w:tc>
          <w:tcPr>
            <w:tcW w:w="476" w:type="dxa"/>
            <w:vMerge w:val="continue"/>
            <w:vAlign w:val="center"/>
          </w:tcPr>
          <w:p>
            <w:pPr>
              <w:widowControl/>
              <w:spacing w:line="360" w:lineRule="auto"/>
              <w:rPr>
                <w:rFonts w:ascii="宋体" w:hAnsi="宋体" w:eastAsia="宋体"/>
                <w:color w:val="auto"/>
                <w:spacing w:val="10"/>
                <w:sz w:val="21"/>
                <w:szCs w:val="21"/>
              </w:rPr>
            </w:pPr>
          </w:p>
        </w:tc>
        <w:tc>
          <w:tcPr>
            <w:tcW w:w="1558" w:type="dxa"/>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沸点（℃）</w:t>
            </w:r>
          </w:p>
        </w:tc>
        <w:tc>
          <w:tcPr>
            <w:tcW w:w="1202" w:type="dxa"/>
            <w:vAlign w:val="center"/>
          </w:tcPr>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117.5</w:t>
            </w:r>
          </w:p>
        </w:tc>
        <w:tc>
          <w:tcPr>
            <w:tcW w:w="3013" w:type="dxa"/>
            <w:gridSpan w:val="6"/>
            <w:vAlign w:val="center"/>
          </w:tcPr>
          <w:p>
            <w:pPr>
              <w:spacing w:line="360" w:lineRule="auto"/>
              <w:ind w:left="-40" w:hanging="32"/>
              <w:rPr>
                <w:rFonts w:ascii="宋体" w:hAnsi="宋体" w:eastAsia="宋体"/>
                <w:color w:val="auto"/>
                <w:spacing w:val="10"/>
                <w:sz w:val="21"/>
                <w:szCs w:val="21"/>
              </w:rPr>
            </w:pPr>
            <w:r>
              <w:rPr>
                <w:rFonts w:ascii="宋体" w:hAnsi="宋体" w:eastAsia="宋体"/>
                <w:color w:val="auto"/>
                <w:spacing w:val="10"/>
                <w:sz w:val="21"/>
                <w:szCs w:val="21"/>
              </w:rPr>
              <w:t>饱和蒸气压（kPa）</w:t>
            </w:r>
          </w:p>
        </w:tc>
        <w:tc>
          <w:tcPr>
            <w:tcW w:w="2930" w:type="dxa"/>
            <w:gridSpan w:val="3"/>
            <w:vAlign w:val="center"/>
          </w:tcPr>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0.82（25℃）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8" w:hRule="atLeast"/>
          <w:jc w:val="center"/>
        </w:trPr>
        <w:tc>
          <w:tcPr>
            <w:tcW w:w="476" w:type="dxa"/>
            <w:vMerge w:val="continue"/>
            <w:vAlign w:val="center"/>
          </w:tcPr>
          <w:p>
            <w:pPr>
              <w:widowControl/>
              <w:spacing w:line="360" w:lineRule="auto"/>
              <w:rPr>
                <w:rFonts w:ascii="宋体" w:hAnsi="宋体" w:eastAsia="宋体"/>
                <w:color w:val="auto"/>
                <w:spacing w:val="10"/>
                <w:sz w:val="21"/>
                <w:szCs w:val="21"/>
              </w:rPr>
            </w:pPr>
          </w:p>
        </w:tc>
        <w:tc>
          <w:tcPr>
            <w:tcW w:w="1558" w:type="dxa"/>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溶解性</w:t>
            </w:r>
          </w:p>
        </w:tc>
        <w:tc>
          <w:tcPr>
            <w:tcW w:w="7145" w:type="dxa"/>
            <w:gridSpan w:val="10"/>
            <w:vAlign w:val="center"/>
          </w:tcPr>
          <w:p>
            <w:pPr>
              <w:spacing w:line="360" w:lineRule="auto"/>
              <w:rPr>
                <w:rFonts w:ascii="宋体" w:hAnsi="宋体" w:eastAsia="宋体"/>
                <w:color w:val="auto"/>
                <w:spacing w:val="10"/>
                <w:sz w:val="21"/>
                <w:szCs w:val="21"/>
              </w:rPr>
            </w:pPr>
            <w:r>
              <w:rPr>
                <w:rFonts w:hint="eastAsia" w:ascii="宋体" w:hAnsi="宋体" w:eastAsia="宋体" w:cs="Arial"/>
                <w:color w:val="auto"/>
                <w:sz w:val="21"/>
                <w:szCs w:val="21"/>
                <w:shd w:val="clear" w:color="auto" w:fill="FFFFFF"/>
              </w:rPr>
              <w:t>微溶于水，溶于乙醇、醚等多数有机溶剂。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 w:hRule="atLeast"/>
          <w:jc w:val="center"/>
        </w:trPr>
        <w:tc>
          <w:tcPr>
            <w:tcW w:w="476" w:type="dxa"/>
            <w:vMerge w:val="continue"/>
            <w:vAlign w:val="center"/>
          </w:tcPr>
          <w:p>
            <w:pPr>
              <w:widowControl/>
              <w:spacing w:line="360" w:lineRule="auto"/>
              <w:rPr>
                <w:rFonts w:ascii="宋体" w:hAnsi="宋体" w:eastAsia="宋体"/>
                <w:color w:val="auto"/>
                <w:spacing w:val="10"/>
                <w:sz w:val="21"/>
                <w:szCs w:val="21"/>
              </w:rPr>
            </w:pPr>
          </w:p>
        </w:tc>
        <w:tc>
          <w:tcPr>
            <w:tcW w:w="1558" w:type="dxa"/>
            <w:vAlign w:val="center"/>
          </w:tcPr>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危险性类别</w:t>
            </w:r>
          </w:p>
        </w:tc>
        <w:tc>
          <w:tcPr>
            <w:tcW w:w="7145" w:type="dxa"/>
            <w:gridSpan w:val="10"/>
            <w:vAlign w:val="center"/>
          </w:tcPr>
          <w:p>
            <w:pPr>
              <w:widowControl/>
              <w:spacing w:line="360" w:lineRule="auto"/>
              <w:rPr>
                <w:rFonts w:ascii="宋体" w:hAnsi="宋体" w:eastAsia="宋体" w:cs="宋体"/>
                <w:color w:val="auto"/>
                <w:sz w:val="21"/>
                <w:szCs w:val="21"/>
              </w:rPr>
            </w:pPr>
            <w:r>
              <w:rPr>
                <w:rFonts w:ascii="宋体" w:hAnsi="宋体" w:eastAsia="宋体" w:cs="宋体"/>
                <w:color w:val="auto"/>
                <w:sz w:val="21"/>
                <w:szCs w:val="21"/>
              </w:rPr>
              <w:t>易燃液体,类别3</w:t>
            </w:r>
          </w:p>
          <w:p>
            <w:pPr>
              <w:widowControl/>
              <w:spacing w:line="360" w:lineRule="auto"/>
              <w:rPr>
                <w:rFonts w:ascii="宋体" w:hAnsi="宋体" w:eastAsia="宋体" w:cs="宋体"/>
                <w:color w:val="auto"/>
                <w:sz w:val="21"/>
                <w:szCs w:val="21"/>
              </w:rPr>
            </w:pPr>
            <w:r>
              <w:rPr>
                <w:rFonts w:ascii="宋体" w:hAnsi="宋体" w:eastAsia="宋体" w:cs="宋体"/>
                <w:color w:val="auto"/>
                <w:sz w:val="21"/>
                <w:szCs w:val="21"/>
              </w:rPr>
              <w:t>皮肤腐蚀/刺激,类别2</w:t>
            </w:r>
          </w:p>
          <w:p>
            <w:pPr>
              <w:widowControl/>
              <w:spacing w:line="360" w:lineRule="auto"/>
              <w:rPr>
                <w:rFonts w:ascii="宋体" w:hAnsi="宋体" w:eastAsia="宋体" w:cs="宋体"/>
                <w:color w:val="auto"/>
                <w:sz w:val="21"/>
                <w:szCs w:val="21"/>
              </w:rPr>
            </w:pPr>
            <w:r>
              <w:rPr>
                <w:rFonts w:ascii="宋体" w:hAnsi="宋体" w:eastAsia="宋体" w:cs="宋体"/>
                <w:color w:val="auto"/>
                <w:sz w:val="21"/>
                <w:szCs w:val="21"/>
              </w:rPr>
              <w:t>严重眼损伤/眼刺激,类别1</w:t>
            </w:r>
          </w:p>
          <w:p>
            <w:pPr>
              <w:widowControl/>
              <w:spacing w:line="360" w:lineRule="auto"/>
              <w:rPr>
                <w:rFonts w:ascii="宋体" w:hAnsi="宋体" w:eastAsia="宋体" w:cs="宋体"/>
                <w:color w:val="auto"/>
                <w:sz w:val="21"/>
                <w:szCs w:val="21"/>
              </w:rPr>
            </w:pPr>
            <w:r>
              <w:rPr>
                <w:rFonts w:ascii="宋体" w:hAnsi="宋体" w:eastAsia="宋体" w:cs="宋体"/>
                <w:color w:val="auto"/>
                <w:sz w:val="21"/>
                <w:szCs w:val="21"/>
              </w:rPr>
              <w:t>特异性靶器官毒性-一次接触,类别3（呼吸道刺激、麻醉效应）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0" w:hRule="atLeast"/>
          <w:jc w:val="center"/>
        </w:trPr>
        <w:tc>
          <w:tcPr>
            <w:tcW w:w="476" w:type="dxa"/>
            <w:vMerge w:val="restart"/>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毒</w:t>
            </w:r>
          </w:p>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性及健康危害</w:t>
            </w:r>
          </w:p>
        </w:tc>
        <w:tc>
          <w:tcPr>
            <w:tcW w:w="1558" w:type="dxa"/>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侵入途径</w:t>
            </w:r>
          </w:p>
        </w:tc>
        <w:tc>
          <w:tcPr>
            <w:tcW w:w="7145" w:type="dxa"/>
            <w:gridSpan w:val="10"/>
            <w:vAlign w:val="center"/>
          </w:tcPr>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吸入、食入、经皮吸收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7" w:hRule="atLeast"/>
          <w:jc w:val="center"/>
        </w:trPr>
        <w:tc>
          <w:tcPr>
            <w:tcW w:w="476" w:type="dxa"/>
            <w:vMerge w:val="continue"/>
            <w:vAlign w:val="center"/>
          </w:tcPr>
          <w:p>
            <w:pPr>
              <w:widowControl/>
              <w:spacing w:line="360" w:lineRule="auto"/>
              <w:rPr>
                <w:rFonts w:ascii="宋体" w:hAnsi="宋体" w:eastAsia="宋体"/>
                <w:color w:val="auto"/>
                <w:spacing w:val="10"/>
                <w:sz w:val="21"/>
                <w:szCs w:val="21"/>
              </w:rPr>
            </w:pPr>
          </w:p>
        </w:tc>
        <w:tc>
          <w:tcPr>
            <w:tcW w:w="1558" w:type="dxa"/>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毒性</w:t>
            </w:r>
          </w:p>
        </w:tc>
        <w:tc>
          <w:tcPr>
            <w:tcW w:w="7145" w:type="dxa"/>
            <w:gridSpan w:val="10"/>
            <w:vAlign w:val="center"/>
          </w:tcPr>
          <w:p>
            <w:pPr>
              <w:spacing w:line="360" w:lineRule="auto"/>
              <w:ind w:left="-4"/>
              <w:rPr>
                <w:rFonts w:ascii="宋体" w:hAnsi="宋体" w:eastAsia="宋体"/>
                <w:color w:val="auto"/>
                <w:sz w:val="21"/>
                <w:szCs w:val="21"/>
              </w:rPr>
            </w:pPr>
            <w:r>
              <w:rPr>
                <w:rFonts w:hint="eastAsia" w:ascii="宋体" w:hAnsi="宋体" w:eastAsia="宋体"/>
                <w:color w:val="auto"/>
                <w:spacing w:val="10"/>
                <w:sz w:val="21"/>
                <w:szCs w:val="21"/>
              </w:rPr>
              <w:t>LD</w:t>
            </w:r>
            <w:r>
              <w:rPr>
                <w:rFonts w:hint="eastAsia" w:ascii="宋体" w:hAnsi="宋体" w:eastAsia="宋体"/>
                <w:color w:val="auto"/>
                <w:spacing w:val="10"/>
                <w:sz w:val="21"/>
                <w:szCs w:val="21"/>
                <w:vertAlign w:val="subscript"/>
              </w:rPr>
              <w:t>50</w:t>
            </w:r>
            <w:r>
              <w:rPr>
                <w:rFonts w:hint="eastAsia" w:ascii="宋体" w:hAnsi="宋体" w:eastAsia="宋体"/>
                <w:color w:val="auto"/>
                <w:spacing w:val="10"/>
                <w:sz w:val="21"/>
                <w:szCs w:val="21"/>
              </w:rPr>
              <w:t>：4360mg/kg（大鼠经口）；LC</w:t>
            </w:r>
            <w:r>
              <w:rPr>
                <w:rFonts w:hint="eastAsia" w:ascii="宋体" w:hAnsi="宋体" w:eastAsia="宋体"/>
                <w:color w:val="auto"/>
                <w:spacing w:val="10"/>
                <w:sz w:val="21"/>
                <w:szCs w:val="21"/>
                <w:vertAlign w:val="subscript"/>
              </w:rPr>
              <w:t>50</w:t>
            </w:r>
            <w:r>
              <w:rPr>
                <w:rFonts w:hint="eastAsia" w:ascii="宋体" w:hAnsi="宋体" w:eastAsia="宋体"/>
                <w:color w:val="auto"/>
                <w:spacing w:val="10"/>
                <w:sz w:val="21"/>
                <w:szCs w:val="21"/>
              </w:rPr>
              <w:t>：24240mg/m</w:t>
            </w:r>
            <w:r>
              <w:rPr>
                <w:rFonts w:hint="eastAsia" w:ascii="宋体" w:hAnsi="宋体" w:eastAsia="宋体"/>
                <w:color w:val="auto"/>
                <w:spacing w:val="10"/>
                <w:sz w:val="21"/>
                <w:szCs w:val="21"/>
                <w:vertAlign w:val="superscript"/>
              </w:rPr>
              <w:t>3</w:t>
            </w:r>
            <w:r>
              <w:rPr>
                <w:rFonts w:hint="eastAsia" w:ascii="宋体" w:hAnsi="宋体" w:eastAsia="宋体"/>
                <w:color w:val="auto"/>
                <w:spacing w:val="10"/>
                <w:sz w:val="21"/>
                <w:szCs w:val="21"/>
              </w:rPr>
              <w:t>（4小时，大鼠吸入）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9" w:hRule="atLeast"/>
          <w:jc w:val="center"/>
        </w:trPr>
        <w:tc>
          <w:tcPr>
            <w:tcW w:w="476" w:type="dxa"/>
            <w:vMerge w:val="continue"/>
            <w:vAlign w:val="center"/>
          </w:tcPr>
          <w:p>
            <w:pPr>
              <w:widowControl/>
              <w:spacing w:line="360" w:lineRule="auto"/>
              <w:rPr>
                <w:rFonts w:ascii="宋体" w:hAnsi="宋体" w:eastAsia="宋体"/>
                <w:color w:val="auto"/>
                <w:spacing w:val="10"/>
                <w:sz w:val="21"/>
                <w:szCs w:val="21"/>
              </w:rPr>
            </w:pPr>
          </w:p>
        </w:tc>
        <w:tc>
          <w:tcPr>
            <w:tcW w:w="1558" w:type="dxa"/>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健康危害</w:t>
            </w:r>
          </w:p>
        </w:tc>
        <w:tc>
          <w:tcPr>
            <w:tcW w:w="7145" w:type="dxa"/>
            <w:gridSpan w:val="10"/>
            <w:vAlign w:val="center"/>
          </w:tcPr>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本品具有刺激和麻醉作用。主要症状为眼、鼻、喉部刺激,在角膜浅层形成半透明的空泡,头痛,头晕和嗜睡,手部可发生接触性皮炎。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8" w:hRule="atLeast"/>
          <w:jc w:val="center"/>
        </w:trPr>
        <w:tc>
          <w:tcPr>
            <w:tcW w:w="476" w:type="dxa"/>
            <w:vMerge w:val="continue"/>
            <w:vAlign w:val="center"/>
          </w:tcPr>
          <w:p>
            <w:pPr>
              <w:widowControl/>
              <w:spacing w:line="360" w:lineRule="auto"/>
              <w:rPr>
                <w:rFonts w:ascii="宋体" w:hAnsi="宋体" w:eastAsia="宋体"/>
                <w:color w:val="auto"/>
                <w:spacing w:val="10"/>
                <w:sz w:val="21"/>
                <w:szCs w:val="21"/>
              </w:rPr>
            </w:pPr>
          </w:p>
        </w:tc>
        <w:tc>
          <w:tcPr>
            <w:tcW w:w="1558" w:type="dxa"/>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急救方法</w:t>
            </w:r>
          </w:p>
        </w:tc>
        <w:tc>
          <w:tcPr>
            <w:tcW w:w="7145" w:type="dxa"/>
            <w:gridSpan w:val="10"/>
            <w:vAlign w:val="center"/>
          </w:tcPr>
          <w:p>
            <w:pPr>
              <w:widowControl/>
              <w:shd w:val="clear" w:color="auto" w:fill="FFFFFF"/>
              <w:spacing w:line="360" w:lineRule="auto"/>
              <w:rPr>
                <w:rFonts w:ascii="宋体" w:hAnsi="宋体" w:eastAsia="宋体" w:cs="Arial"/>
                <w:color w:val="auto"/>
                <w:sz w:val="21"/>
                <w:szCs w:val="21"/>
              </w:rPr>
            </w:pPr>
            <w:r>
              <w:rPr>
                <w:rFonts w:hint="eastAsia" w:ascii="宋体" w:hAnsi="宋体" w:eastAsia="宋体" w:cs="Arial"/>
                <w:color w:val="auto"/>
                <w:sz w:val="21"/>
                <w:szCs w:val="21"/>
              </w:rPr>
              <w:t>皮肤接触：脱去污染的衣着,用肥皂水和清水彻底冲洗皮肤。眼睛接触：提起眼睑,用流动清水或生理盐水冲洗。就医。吸入：脱离现场至空气新鲜处，保持呼吸道通畅。如呼吸困难，给输氧。如呼吸停止，立即进行人工呼吸；就医。食入：饮足量温水,催吐。就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476" w:type="dxa"/>
            <w:vMerge w:val="restart"/>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燃</w:t>
            </w:r>
          </w:p>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烧爆炸危险性</w:t>
            </w:r>
          </w:p>
        </w:tc>
        <w:tc>
          <w:tcPr>
            <w:tcW w:w="1558" w:type="dxa"/>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燃烧性</w:t>
            </w:r>
          </w:p>
        </w:tc>
        <w:tc>
          <w:tcPr>
            <w:tcW w:w="1800" w:type="dxa"/>
            <w:gridSpan w:val="3"/>
            <w:vAlign w:val="center"/>
          </w:tcPr>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易燃</w:t>
            </w:r>
          </w:p>
        </w:tc>
        <w:tc>
          <w:tcPr>
            <w:tcW w:w="2415" w:type="dxa"/>
            <w:gridSpan w:val="4"/>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燃烧分解物</w:t>
            </w:r>
          </w:p>
        </w:tc>
        <w:tc>
          <w:tcPr>
            <w:tcW w:w="2930" w:type="dxa"/>
            <w:gridSpan w:val="3"/>
            <w:vAlign w:val="center"/>
          </w:tcPr>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一氧化碳、二氧化碳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9" w:hRule="atLeast"/>
          <w:jc w:val="center"/>
        </w:trPr>
        <w:tc>
          <w:tcPr>
            <w:tcW w:w="476" w:type="dxa"/>
            <w:vMerge w:val="continue"/>
            <w:vAlign w:val="center"/>
          </w:tcPr>
          <w:p>
            <w:pPr>
              <w:widowControl/>
              <w:spacing w:line="360" w:lineRule="auto"/>
              <w:rPr>
                <w:rFonts w:ascii="宋体" w:hAnsi="宋体" w:eastAsia="宋体"/>
                <w:color w:val="auto"/>
                <w:spacing w:val="10"/>
                <w:sz w:val="21"/>
                <w:szCs w:val="21"/>
              </w:rPr>
            </w:pPr>
          </w:p>
        </w:tc>
        <w:tc>
          <w:tcPr>
            <w:tcW w:w="1558" w:type="dxa"/>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闪点(℃)</w:t>
            </w:r>
          </w:p>
        </w:tc>
        <w:tc>
          <w:tcPr>
            <w:tcW w:w="1800" w:type="dxa"/>
            <w:gridSpan w:val="3"/>
            <w:vAlign w:val="center"/>
          </w:tcPr>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35</w:t>
            </w:r>
          </w:p>
        </w:tc>
        <w:tc>
          <w:tcPr>
            <w:tcW w:w="2415" w:type="dxa"/>
            <w:gridSpan w:val="4"/>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爆炸上限（v%）</w:t>
            </w:r>
          </w:p>
        </w:tc>
        <w:tc>
          <w:tcPr>
            <w:tcW w:w="2930" w:type="dxa"/>
            <w:gridSpan w:val="3"/>
            <w:vAlign w:val="center"/>
          </w:tcPr>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6" w:hRule="atLeast"/>
          <w:jc w:val="center"/>
        </w:trPr>
        <w:tc>
          <w:tcPr>
            <w:tcW w:w="476" w:type="dxa"/>
            <w:vMerge w:val="continue"/>
            <w:vAlign w:val="center"/>
          </w:tcPr>
          <w:p>
            <w:pPr>
              <w:widowControl/>
              <w:spacing w:line="360" w:lineRule="auto"/>
              <w:rPr>
                <w:rFonts w:ascii="宋体" w:hAnsi="宋体" w:eastAsia="宋体"/>
                <w:color w:val="auto"/>
                <w:spacing w:val="10"/>
                <w:sz w:val="21"/>
                <w:szCs w:val="21"/>
              </w:rPr>
            </w:pPr>
          </w:p>
        </w:tc>
        <w:tc>
          <w:tcPr>
            <w:tcW w:w="1558" w:type="dxa"/>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引燃温度(℃)</w:t>
            </w:r>
          </w:p>
        </w:tc>
        <w:tc>
          <w:tcPr>
            <w:tcW w:w="1800" w:type="dxa"/>
            <w:gridSpan w:val="3"/>
            <w:vAlign w:val="center"/>
          </w:tcPr>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340</w:t>
            </w:r>
          </w:p>
        </w:tc>
        <w:tc>
          <w:tcPr>
            <w:tcW w:w="2415" w:type="dxa"/>
            <w:gridSpan w:val="4"/>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爆炸下限（v%）</w:t>
            </w:r>
          </w:p>
        </w:tc>
        <w:tc>
          <w:tcPr>
            <w:tcW w:w="2930" w:type="dxa"/>
            <w:gridSpan w:val="3"/>
            <w:vAlign w:val="center"/>
          </w:tcPr>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11.2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8" w:hRule="atLeast"/>
          <w:jc w:val="center"/>
        </w:trPr>
        <w:tc>
          <w:tcPr>
            <w:tcW w:w="476" w:type="dxa"/>
            <w:vMerge w:val="continue"/>
            <w:vAlign w:val="center"/>
          </w:tcPr>
          <w:p>
            <w:pPr>
              <w:widowControl/>
              <w:spacing w:line="360" w:lineRule="auto"/>
              <w:rPr>
                <w:rFonts w:ascii="宋体" w:hAnsi="宋体" w:eastAsia="宋体"/>
                <w:color w:val="auto"/>
                <w:spacing w:val="10"/>
                <w:sz w:val="21"/>
                <w:szCs w:val="21"/>
              </w:rPr>
            </w:pPr>
          </w:p>
        </w:tc>
        <w:tc>
          <w:tcPr>
            <w:tcW w:w="1558" w:type="dxa"/>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危险特性</w:t>
            </w:r>
          </w:p>
        </w:tc>
        <w:tc>
          <w:tcPr>
            <w:tcW w:w="7145" w:type="dxa"/>
            <w:gridSpan w:val="10"/>
            <w:vAlign w:val="center"/>
          </w:tcPr>
          <w:p>
            <w:pPr>
              <w:spacing w:line="360" w:lineRule="auto"/>
              <w:ind w:left="-4"/>
              <w:rPr>
                <w:rFonts w:ascii="宋体" w:hAnsi="宋体" w:eastAsia="宋体"/>
                <w:color w:val="auto"/>
                <w:spacing w:val="10"/>
                <w:sz w:val="21"/>
                <w:szCs w:val="21"/>
              </w:rPr>
            </w:pPr>
            <w:r>
              <w:rPr>
                <w:rFonts w:hint="eastAsia" w:ascii="宋体" w:hAnsi="宋体" w:eastAsia="宋体" w:cs="宋体"/>
                <w:color w:val="auto"/>
                <w:sz w:val="21"/>
                <w:szCs w:val="21"/>
              </w:rPr>
              <w:t>易燃,其蒸气与空气可形成爆炸性混合物。遇明火、高热能引起 燃烧爆炸。与氧化剂接触会猛烈反应。在火场中的容器有爆炸危险。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0" w:hRule="atLeast"/>
          <w:jc w:val="center"/>
        </w:trPr>
        <w:tc>
          <w:tcPr>
            <w:tcW w:w="476" w:type="dxa"/>
            <w:vMerge w:val="continue"/>
            <w:vAlign w:val="center"/>
          </w:tcPr>
          <w:p>
            <w:pPr>
              <w:widowControl/>
              <w:spacing w:line="360" w:lineRule="auto"/>
              <w:rPr>
                <w:rFonts w:ascii="宋体" w:hAnsi="宋体" w:eastAsia="宋体"/>
                <w:color w:val="auto"/>
                <w:spacing w:val="10"/>
                <w:sz w:val="21"/>
                <w:szCs w:val="21"/>
              </w:rPr>
            </w:pPr>
          </w:p>
        </w:tc>
        <w:tc>
          <w:tcPr>
            <w:tcW w:w="1558" w:type="dxa"/>
            <w:vAlign w:val="center"/>
          </w:tcPr>
          <w:p>
            <w:pPr>
              <w:spacing w:line="360" w:lineRule="auto"/>
              <w:rPr>
                <w:rFonts w:ascii="宋体" w:hAnsi="宋体" w:eastAsia="宋体"/>
                <w:color w:val="auto"/>
                <w:spacing w:val="4"/>
                <w:sz w:val="21"/>
                <w:szCs w:val="21"/>
              </w:rPr>
            </w:pPr>
            <w:r>
              <w:rPr>
                <w:rFonts w:ascii="宋体" w:hAnsi="宋体" w:eastAsia="宋体"/>
                <w:color w:val="auto"/>
                <w:spacing w:val="4"/>
                <w:sz w:val="21"/>
                <w:szCs w:val="21"/>
              </w:rPr>
              <w:t>建规火险分级</w:t>
            </w:r>
          </w:p>
        </w:tc>
        <w:tc>
          <w:tcPr>
            <w:tcW w:w="1800" w:type="dxa"/>
            <w:gridSpan w:val="3"/>
            <w:vAlign w:val="center"/>
          </w:tcPr>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乙</w:t>
            </w:r>
          </w:p>
        </w:tc>
        <w:tc>
          <w:tcPr>
            <w:tcW w:w="1236" w:type="dxa"/>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稳定性</w:t>
            </w:r>
          </w:p>
        </w:tc>
        <w:tc>
          <w:tcPr>
            <w:tcW w:w="1179" w:type="dxa"/>
            <w:gridSpan w:val="3"/>
            <w:vAlign w:val="center"/>
          </w:tcPr>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稳定</w:t>
            </w:r>
          </w:p>
        </w:tc>
        <w:tc>
          <w:tcPr>
            <w:tcW w:w="1560" w:type="dxa"/>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聚合危害</w:t>
            </w:r>
          </w:p>
        </w:tc>
        <w:tc>
          <w:tcPr>
            <w:tcW w:w="1370" w:type="dxa"/>
            <w:gridSpan w:val="2"/>
            <w:vAlign w:val="center"/>
          </w:tcPr>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不聚合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8" w:hRule="atLeast"/>
          <w:jc w:val="center"/>
        </w:trPr>
        <w:tc>
          <w:tcPr>
            <w:tcW w:w="476" w:type="dxa"/>
            <w:vMerge w:val="continue"/>
            <w:vAlign w:val="center"/>
          </w:tcPr>
          <w:p>
            <w:pPr>
              <w:widowControl/>
              <w:spacing w:line="360" w:lineRule="auto"/>
              <w:rPr>
                <w:rFonts w:ascii="宋体" w:hAnsi="宋体" w:eastAsia="宋体"/>
                <w:color w:val="auto"/>
                <w:spacing w:val="10"/>
                <w:sz w:val="21"/>
                <w:szCs w:val="21"/>
              </w:rPr>
            </w:pPr>
          </w:p>
        </w:tc>
        <w:tc>
          <w:tcPr>
            <w:tcW w:w="1558" w:type="dxa"/>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禁忌物</w:t>
            </w:r>
          </w:p>
        </w:tc>
        <w:tc>
          <w:tcPr>
            <w:tcW w:w="7145" w:type="dxa"/>
            <w:gridSpan w:val="10"/>
            <w:vAlign w:val="center"/>
          </w:tcPr>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强氧化剂、强酸、酰基氯、酸酐。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2" w:hRule="atLeast"/>
          <w:jc w:val="center"/>
        </w:trPr>
        <w:tc>
          <w:tcPr>
            <w:tcW w:w="476" w:type="dxa"/>
            <w:vMerge w:val="continue"/>
            <w:vAlign w:val="center"/>
          </w:tcPr>
          <w:p>
            <w:pPr>
              <w:widowControl/>
              <w:spacing w:line="360" w:lineRule="auto"/>
              <w:rPr>
                <w:rFonts w:ascii="宋体" w:hAnsi="宋体" w:eastAsia="宋体"/>
                <w:color w:val="auto"/>
                <w:spacing w:val="10"/>
                <w:sz w:val="21"/>
                <w:szCs w:val="21"/>
              </w:rPr>
            </w:pPr>
          </w:p>
        </w:tc>
        <w:tc>
          <w:tcPr>
            <w:tcW w:w="1558" w:type="dxa"/>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储运条件</w:t>
            </w:r>
          </w:p>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与泄漏处理</w:t>
            </w:r>
          </w:p>
        </w:tc>
        <w:tc>
          <w:tcPr>
            <w:tcW w:w="7145" w:type="dxa"/>
            <w:gridSpan w:val="10"/>
            <w:vAlign w:val="center"/>
          </w:tcPr>
          <w:p>
            <w:pPr>
              <w:spacing w:line="360" w:lineRule="auto"/>
              <w:rPr>
                <w:rFonts w:ascii="宋体" w:hAnsi="宋体" w:eastAsia="宋体"/>
                <w:color w:val="auto"/>
                <w:spacing w:val="10"/>
                <w:sz w:val="21"/>
                <w:szCs w:val="21"/>
              </w:rPr>
            </w:pPr>
            <w:r>
              <w:rPr>
                <w:rFonts w:hint="eastAsia" w:ascii="宋体" w:hAnsi="宋体" w:eastAsia="宋体"/>
                <w:b/>
                <w:color w:val="auto"/>
                <w:spacing w:val="10"/>
                <w:sz w:val="21"/>
                <w:szCs w:val="21"/>
              </w:rPr>
              <w:t>储运条件：</w:t>
            </w:r>
            <w:r>
              <w:rPr>
                <w:rFonts w:hint="eastAsia" w:ascii="宋体" w:hAnsi="宋体" w:eastAsia="宋体"/>
                <w:color w:val="auto"/>
                <w:spacing w:val="10"/>
                <w:sz w:val="21"/>
                <w:szCs w:val="21"/>
              </w:rPr>
              <w:t>储存于阴凉、通风的库房。远离火种、热源。库温不宜超过26℃。保持容器密封。应与氧化剂、还原剂、碱类分开存放,切忌混储。采 用防爆型照明、通风设施。禁止使用易易产生火花的机械设备和工具。储区应备有泄漏应急处理设备和合适的收容材料。运输时运输车辆应配备相应品种和数量的消防器材及泄漏应急处理设备。夏季最好早晚运输。运输时所用的槽(罐)车应有接地链,槽内可设孔隔板以减少震荡产生静电。严禁与氧化剂、还原剂、碱类、食用化学品等混装混运。运输途中应防曝晒、雨淋,防高温。中途停留时应远离火种、热源、高温区。装运该物品的车辆排气管必须配备阻火装置,禁止使用易产生火花的机械设备和工具装卸。公路运输时要按规定路线行驶,勿在居民区和人口稠密区停留。铁路运输时要禁止溜放。严禁用木船、水泥船散装运输。</w:t>
            </w:r>
          </w:p>
          <w:p>
            <w:pPr>
              <w:spacing w:line="360" w:lineRule="auto"/>
              <w:rPr>
                <w:rFonts w:ascii="宋体" w:hAnsi="宋体" w:eastAsia="宋体"/>
                <w:b/>
                <w:color w:val="auto"/>
                <w:spacing w:val="10"/>
                <w:sz w:val="21"/>
                <w:szCs w:val="21"/>
              </w:rPr>
            </w:pPr>
            <w:r>
              <w:rPr>
                <w:rFonts w:hint="eastAsia" w:ascii="宋体" w:hAnsi="宋体" w:eastAsia="宋体"/>
                <w:b/>
                <w:color w:val="auto"/>
                <w:spacing w:val="10"/>
                <w:sz w:val="21"/>
                <w:szCs w:val="21"/>
              </w:rPr>
              <w:t>泄漏处理：</w:t>
            </w:r>
            <w:r>
              <w:rPr>
                <w:rFonts w:hint="eastAsia" w:ascii="宋体" w:hAnsi="宋体" w:eastAsia="宋体"/>
                <w:color w:val="auto"/>
                <w:spacing w:val="10"/>
                <w:sz w:val="21"/>
                <w:szCs w:val="21"/>
              </w:rPr>
              <w:t>隔离泄漏污染区，限制出入。切断火源。建议应急处理人员戴自给式呼吸器，穿全防静电工作服。不要直接接触泄漏物。尽可能切断泄漏源。防止流入下水道、排洪沟等限制性空间。小量泄漏：用活性炭或其他惰性材料吸收。大量泄漏：构筑围堤或挖坑收容，用泵转移至槽车或专用收集器内，回收或运至废物处理场所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76" w:type="dxa"/>
            <w:vMerge w:val="continue"/>
            <w:vAlign w:val="center"/>
          </w:tcPr>
          <w:p>
            <w:pPr>
              <w:widowControl/>
              <w:spacing w:line="360" w:lineRule="auto"/>
              <w:rPr>
                <w:rFonts w:ascii="宋体" w:hAnsi="宋体" w:eastAsia="宋体"/>
                <w:color w:val="auto"/>
                <w:spacing w:val="10"/>
                <w:sz w:val="21"/>
                <w:szCs w:val="21"/>
              </w:rPr>
            </w:pPr>
          </w:p>
        </w:tc>
        <w:tc>
          <w:tcPr>
            <w:tcW w:w="1558" w:type="dxa"/>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灭火方法</w:t>
            </w:r>
          </w:p>
        </w:tc>
        <w:tc>
          <w:tcPr>
            <w:tcW w:w="7145" w:type="dxa"/>
            <w:gridSpan w:val="10"/>
            <w:vAlign w:val="center"/>
          </w:tcPr>
          <w:p>
            <w:pPr>
              <w:spacing w:line="360" w:lineRule="auto"/>
              <w:ind w:left="-4"/>
              <w:rPr>
                <w:rFonts w:ascii="宋体" w:hAnsi="宋体" w:eastAsia="宋体"/>
                <w:color w:val="auto"/>
                <w:spacing w:val="10"/>
                <w:sz w:val="21"/>
                <w:szCs w:val="21"/>
              </w:rPr>
            </w:pPr>
            <w:r>
              <w:rPr>
                <w:rFonts w:hint="eastAsia" w:ascii="宋体" w:hAnsi="宋体" w:eastAsia="宋体"/>
                <w:color w:val="auto"/>
                <w:spacing w:val="10"/>
                <w:sz w:val="21"/>
                <w:szCs w:val="21"/>
              </w:rPr>
              <w:t>用雾状水保持火场容器冷却,用水喷射逸出液体,使其稀释成不燃性混合物,并用雾状水保护消防员。灭火剂:抗溶性泡沫、干粉、二氧化碳、砂土、雾状水、1211灭火剂。</w:t>
            </w:r>
          </w:p>
        </w:tc>
      </w:tr>
    </w:tbl>
    <w:p>
      <w:pPr>
        <w:spacing w:line="560" w:lineRule="exact"/>
        <w:jc w:val="center"/>
        <w:outlineLvl w:val="2"/>
        <w:rPr>
          <w:rFonts w:ascii="宋体" w:hAnsi="宋体" w:eastAsia="宋体" w:cs="Times New Roman"/>
          <w:b/>
          <w:bCs/>
          <w:color w:val="auto"/>
          <w:kern w:val="2"/>
          <w:lang w:val="en-US" w:eastAsia="zh-CN" w:bidi="ar-SA"/>
        </w:rPr>
      </w:pPr>
      <w:r>
        <w:rPr>
          <w:rFonts w:hint="eastAsia" w:ascii="宋体" w:hAnsi="宋体" w:eastAsia="宋体" w:cs="Times New Roman"/>
          <w:b/>
          <w:bCs/>
          <w:color w:val="auto"/>
          <w:kern w:val="2"/>
          <w:lang w:val="en-US" w:eastAsia="zh-CN" w:bidi="ar-SA"/>
        </w:rPr>
        <w:t>附表1-4聚氨酯漆稀释剂</w:t>
      </w:r>
      <w:r>
        <w:rPr>
          <w:rFonts w:ascii="宋体" w:hAnsi="宋体" w:eastAsia="宋体" w:cs="Times New Roman"/>
          <w:b/>
          <w:bCs/>
          <w:color w:val="auto"/>
          <w:kern w:val="2"/>
          <w:lang w:val="en-US" w:eastAsia="zh-CN" w:bidi="ar-SA"/>
        </w:rPr>
        <w:t>的理化性质及危险特性</w:t>
      </w:r>
      <w:bookmarkEnd w:id="159"/>
      <w:bookmarkEnd w:id="160"/>
    </w:p>
    <w:tbl>
      <w:tblPr>
        <w:tblStyle w:val="45"/>
        <w:tblW w:w="91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6"/>
        <w:gridCol w:w="1558"/>
        <w:gridCol w:w="1202"/>
        <w:gridCol w:w="255"/>
        <w:gridCol w:w="343"/>
        <w:gridCol w:w="1236"/>
        <w:gridCol w:w="384"/>
        <w:gridCol w:w="370"/>
        <w:gridCol w:w="530"/>
        <w:gridCol w:w="1455"/>
        <w:gridCol w:w="705"/>
        <w:gridCol w:w="6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9" w:hRule="atLeast"/>
          <w:jc w:val="center"/>
        </w:trPr>
        <w:tc>
          <w:tcPr>
            <w:tcW w:w="476" w:type="dxa"/>
            <w:vMerge w:val="restart"/>
            <w:vAlign w:val="center"/>
          </w:tcPr>
          <w:p>
            <w:pPr>
              <w:spacing w:line="360" w:lineRule="auto"/>
              <w:rPr>
                <w:rFonts w:ascii="宋体" w:hAnsi="宋体" w:eastAsia="宋体"/>
                <w:color w:val="auto"/>
                <w:spacing w:val="10"/>
                <w:sz w:val="21"/>
                <w:szCs w:val="21"/>
              </w:rPr>
            </w:pPr>
            <w:bookmarkStart w:id="161" w:name="_Toc524426325"/>
            <w:bookmarkStart w:id="162" w:name="_Toc174954589"/>
            <w:r>
              <w:rPr>
                <w:rFonts w:ascii="宋体" w:hAnsi="宋体" w:eastAsia="宋体"/>
                <w:color w:val="auto"/>
                <w:spacing w:val="10"/>
                <w:sz w:val="21"/>
                <w:szCs w:val="21"/>
              </w:rPr>
              <w:t>标</w:t>
            </w:r>
          </w:p>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识</w:t>
            </w:r>
          </w:p>
        </w:tc>
        <w:tc>
          <w:tcPr>
            <w:tcW w:w="5348" w:type="dxa"/>
            <w:gridSpan w:val="7"/>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中文名</w:t>
            </w:r>
            <w:r>
              <w:rPr>
                <w:rFonts w:hint="eastAsia" w:ascii="宋体" w:hAnsi="宋体" w:eastAsia="宋体"/>
                <w:color w:val="auto"/>
                <w:spacing w:val="10"/>
                <w:sz w:val="21"/>
                <w:szCs w:val="21"/>
              </w:rPr>
              <w:t>：</w:t>
            </w:r>
            <w:r>
              <w:rPr>
                <w:rFonts w:hint="eastAsia" w:ascii="宋体" w:hAnsi="宋体" w:eastAsia="宋体"/>
                <w:color w:val="auto"/>
                <w:sz w:val="21"/>
                <w:szCs w:val="21"/>
              </w:rPr>
              <w:t>聚氨酯漆稀释剂</w:t>
            </w:r>
          </w:p>
        </w:tc>
        <w:tc>
          <w:tcPr>
            <w:tcW w:w="3355" w:type="dxa"/>
            <w:gridSpan w:val="4"/>
            <w:vAlign w:val="center"/>
          </w:tcPr>
          <w:p>
            <w:pPr>
              <w:spacing w:line="360" w:lineRule="auto"/>
              <w:rPr>
                <w:rFonts w:ascii="宋体" w:hAnsi="宋体" w:eastAsia="宋体"/>
                <w:color w:val="auto"/>
                <w:spacing w:val="10"/>
                <w:sz w:val="21"/>
                <w:szCs w:val="21"/>
              </w:rPr>
            </w:pPr>
            <w:r>
              <w:rPr>
                <w:rFonts w:hint="eastAsia" w:ascii="宋体" w:hAnsi="宋体" w:eastAsia="宋体"/>
                <w:color w:val="auto"/>
                <w:sz w:val="21"/>
                <w:szCs w:val="21"/>
              </w:rPr>
              <w:t>危险化学品的目录序号：2828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5" w:hRule="atLeast"/>
          <w:jc w:val="center"/>
        </w:trPr>
        <w:tc>
          <w:tcPr>
            <w:tcW w:w="476" w:type="dxa"/>
            <w:vMerge w:val="continue"/>
            <w:vAlign w:val="center"/>
          </w:tcPr>
          <w:p>
            <w:pPr>
              <w:widowControl/>
              <w:spacing w:line="360" w:lineRule="auto"/>
              <w:rPr>
                <w:rFonts w:ascii="宋体" w:hAnsi="宋体" w:eastAsia="宋体"/>
                <w:color w:val="auto"/>
                <w:spacing w:val="10"/>
                <w:sz w:val="21"/>
                <w:szCs w:val="21"/>
              </w:rPr>
            </w:pPr>
          </w:p>
        </w:tc>
        <w:tc>
          <w:tcPr>
            <w:tcW w:w="5878" w:type="dxa"/>
            <w:gridSpan w:val="8"/>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英文名：</w:t>
            </w:r>
            <w:r>
              <w:rPr>
                <w:rFonts w:hint="eastAsia" w:ascii="宋体" w:hAnsi="宋体" w:eastAsia="宋体"/>
                <w:color w:val="auto"/>
                <w:spacing w:val="10"/>
                <w:sz w:val="21"/>
                <w:szCs w:val="21"/>
              </w:rPr>
              <w:t>Polyurethane paint thinner S</w:t>
            </w:r>
          </w:p>
        </w:tc>
        <w:tc>
          <w:tcPr>
            <w:tcW w:w="2825" w:type="dxa"/>
            <w:gridSpan w:val="3"/>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UN编号：</w:t>
            </w:r>
            <w:r>
              <w:rPr>
                <w:rFonts w:hint="eastAsia" w:ascii="宋体" w:hAnsi="宋体" w:eastAsia="宋体"/>
                <w:color w:val="auto"/>
                <w:spacing w:val="10"/>
                <w:sz w:val="21"/>
                <w:szCs w:val="21"/>
              </w:rPr>
              <w:t>1139、1263、1293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1" w:hRule="atLeast"/>
          <w:jc w:val="center"/>
        </w:trPr>
        <w:tc>
          <w:tcPr>
            <w:tcW w:w="476" w:type="dxa"/>
            <w:vMerge w:val="continue"/>
            <w:vAlign w:val="center"/>
          </w:tcPr>
          <w:p>
            <w:pPr>
              <w:widowControl/>
              <w:spacing w:line="360" w:lineRule="auto"/>
              <w:rPr>
                <w:rFonts w:ascii="宋体" w:hAnsi="宋体" w:eastAsia="宋体"/>
                <w:color w:val="auto"/>
                <w:spacing w:val="10"/>
                <w:sz w:val="21"/>
                <w:szCs w:val="21"/>
              </w:rPr>
            </w:pPr>
          </w:p>
        </w:tc>
        <w:tc>
          <w:tcPr>
            <w:tcW w:w="3015" w:type="dxa"/>
            <w:gridSpan w:val="3"/>
            <w:vAlign w:val="center"/>
          </w:tcPr>
          <w:p>
            <w:pPr>
              <w:spacing w:line="360" w:lineRule="auto"/>
              <w:ind w:left="880" w:hanging="920" w:hangingChars="400"/>
              <w:rPr>
                <w:rFonts w:ascii="宋体" w:hAnsi="宋体" w:eastAsia="宋体"/>
                <w:color w:val="auto"/>
                <w:spacing w:val="10"/>
                <w:sz w:val="21"/>
                <w:szCs w:val="21"/>
              </w:rPr>
            </w:pPr>
            <w:r>
              <w:rPr>
                <w:rFonts w:ascii="宋体" w:hAnsi="宋体" w:eastAsia="宋体"/>
                <w:color w:val="auto"/>
                <w:spacing w:val="10"/>
                <w:sz w:val="21"/>
                <w:szCs w:val="21"/>
              </w:rPr>
              <w:t>分子式：</w:t>
            </w:r>
            <w:r>
              <w:rPr>
                <w:rFonts w:hint="eastAsia" w:ascii="宋体" w:hAnsi="宋体" w:eastAsia="宋体"/>
                <w:color w:val="auto"/>
                <w:spacing w:val="10"/>
                <w:sz w:val="21"/>
                <w:szCs w:val="21"/>
              </w:rPr>
              <w:t>/</w:t>
            </w:r>
          </w:p>
        </w:tc>
        <w:tc>
          <w:tcPr>
            <w:tcW w:w="2863" w:type="dxa"/>
            <w:gridSpan w:val="5"/>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分子量：</w:t>
            </w:r>
            <w:r>
              <w:rPr>
                <w:rFonts w:hint="eastAsia" w:ascii="宋体" w:hAnsi="宋体" w:eastAsia="宋体"/>
                <w:color w:val="auto"/>
                <w:spacing w:val="10"/>
                <w:sz w:val="21"/>
                <w:szCs w:val="21"/>
              </w:rPr>
              <w:t>/</w:t>
            </w:r>
          </w:p>
        </w:tc>
        <w:tc>
          <w:tcPr>
            <w:tcW w:w="2825" w:type="dxa"/>
            <w:gridSpan w:val="3"/>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CAS号：</w:t>
            </w:r>
            <w:r>
              <w:rPr>
                <w:rFonts w:hint="eastAsia" w:ascii="宋体" w:hAnsi="宋体" w:eastAsia="宋体"/>
                <w:color w:val="auto"/>
                <w:spacing w:val="1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476" w:type="dxa"/>
            <w:vMerge w:val="restart"/>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理</w:t>
            </w:r>
          </w:p>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化性质</w:t>
            </w:r>
          </w:p>
        </w:tc>
        <w:tc>
          <w:tcPr>
            <w:tcW w:w="1558" w:type="dxa"/>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外观与性状</w:t>
            </w:r>
          </w:p>
        </w:tc>
        <w:tc>
          <w:tcPr>
            <w:tcW w:w="7145" w:type="dxa"/>
            <w:gridSpan w:val="10"/>
            <w:vAlign w:val="center"/>
          </w:tcPr>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易流动液体。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jc w:val="center"/>
        </w:trPr>
        <w:tc>
          <w:tcPr>
            <w:tcW w:w="476" w:type="dxa"/>
            <w:vMerge w:val="continue"/>
            <w:vAlign w:val="center"/>
          </w:tcPr>
          <w:p>
            <w:pPr>
              <w:widowControl/>
              <w:spacing w:line="360" w:lineRule="auto"/>
              <w:rPr>
                <w:rFonts w:ascii="宋体" w:hAnsi="宋体" w:eastAsia="宋体"/>
                <w:color w:val="auto"/>
                <w:spacing w:val="10"/>
                <w:sz w:val="21"/>
                <w:szCs w:val="21"/>
              </w:rPr>
            </w:pPr>
          </w:p>
        </w:tc>
        <w:tc>
          <w:tcPr>
            <w:tcW w:w="1558" w:type="dxa"/>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熔点（℃）</w:t>
            </w:r>
          </w:p>
        </w:tc>
        <w:tc>
          <w:tcPr>
            <w:tcW w:w="1202" w:type="dxa"/>
            <w:vAlign w:val="center"/>
          </w:tcPr>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w:t>
            </w:r>
          </w:p>
        </w:tc>
        <w:tc>
          <w:tcPr>
            <w:tcW w:w="2218" w:type="dxa"/>
            <w:gridSpan w:val="4"/>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相对密度(水=1)</w:t>
            </w:r>
          </w:p>
        </w:tc>
        <w:tc>
          <w:tcPr>
            <w:tcW w:w="900" w:type="dxa"/>
            <w:gridSpan w:val="2"/>
            <w:vAlign w:val="center"/>
          </w:tcPr>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w:t>
            </w:r>
          </w:p>
        </w:tc>
        <w:tc>
          <w:tcPr>
            <w:tcW w:w="2160" w:type="dxa"/>
            <w:gridSpan w:val="2"/>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相对密度(空气=1)</w:t>
            </w:r>
          </w:p>
        </w:tc>
        <w:tc>
          <w:tcPr>
            <w:tcW w:w="665" w:type="dxa"/>
            <w:vAlign w:val="center"/>
          </w:tcPr>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6" w:hRule="atLeast"/>
          <w:jc w:val="center"/>
        </w:trPr>
        <w:tc>
          <w:tcPr>
            <w:tcW w:w="476" w:type="dxa"/>
            <w:vMerge w:val="continue"/>
            <w:vAlign w:val="center"/>
          </w:tcPr>
          <w:p>
            <w:pPr>
              <w:widowControl/>
              <w:spacing w:line="360" w:lineRule="auto"/>
              <w:rPr>
                <w:rFonts w:ascii="宋体" w:hAnsi="宋体" w:eastAsia="宋体"/>
                <w:color w:val="auto"/>
                <w:spacing w:val="10"/>
                <w:sz w:val="21"/>
                <w:szCs w:val="21"/>
              </w:rPr>
            </w:pPr>
          </w:p>
        </w:tc>
        <w:tc>
          <w:tcPr>
            <w:tcW w:w="1558" w:type="dxa"/>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沸点（℃）</w:t>
            </w:r>
          </w:p>
        </w:tc>
        <w:tc>
          <w:tcPr>
            <w:tcW w:w="1202" w:type="dxa"/>
            <w:vAlign w:val="center"/>
          </w:tcPr>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w:t>
            </w:r>
          </w:p>
        </w:tc>
        <w:tc>
          <w:tcPr>
            <w:tcW w:w="3118" w:type="dxa"/>
            <w:gridSpan w:val="6"/>
            <w:vAlign w:val="center"/>
          </w:tcPr>
          <w:p>
            <w:pPr>
              <w:spacing w:line="360" w:lineRule="auto"/>
              <w:ind w:left="-40"/>
              <w:rPr>
                <w:rFonts w:ascii="宋体" w:hAnsi="宋体" w:eastAsia="宋体"/>
                <w:color w:val="auto"/>
                <w:spacing w:val="10"/>
                <w:sz w:val="21"/>
                <w:szCs w:val="21"/>
              </w:rPr>
            </w:pPr>
            <w:r>
              <w:rPr>
                <w:rFonts w:ascii="宋体" w:hAnsi="宋体" w:eastAsia="宋体"/>
                <w:color w:val="auto"/>
                <w:spacing w:val="10"/>
                <w:sz w:val="21"/>
                <w:szCs w:val="21"/>
              </w:rPr>
              <w:t>饱和蒸气压（kPa）</w:t>
            </w:r>
          </w:p>
        </w:tc>
        <w:tc>
          <w:tcPr>
            <w:tcW w:w="2825" w:type="dxa"/>
            <w:gridSpan w:val="3"/>
            <w:vAlign w:val="center"/>
          </w:tcPr>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8" w:hRule="atLeast"/>
          <w:jc w:val="center"/>
        </w:trPr>
        <w:tc>
          <w:tcPr>
            <w:tcW w:w="476" w:type="dxa"/>
            <w:vMerge w:val="continue"/>
            <w:vAlign w:val="center"/>
          </w:tcPr>
          <w:p>
            <w:pPr>
              <w:widowControl/>
              <w:spacing w:line="360" w:lineRule="auto"/>
              <w:rPr>
                <w:rFonts w:ascii="宋体" w:hAnsi="宋体" w:eastAsia="宋体"/>
                <w:color w:val="auto"/>
                <w:spacing w:val="10"/>
                <w:sz w:val="21"/>
                <w:szCs w:val="21"/>
              </w:rPr>
            </w:pPr>
          </w:p>
        </w:tc>
        <w:tc>
          <w:tcPr>
            <w:tcW w:w="1558" w:type="dxa"/>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溶解性</w:t>
            </w:r>
          </w:p>
        </w:tc>
        <w:tc>
          <w:tcPr>
            <w:tcW w:w="7145" w:type="dxa"/>
            <w:gridSpan w:val="10"/>
            <w:vAlign w:val="center"/>
          </w:tcPr>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 w:hRule="atLeast"/>
          <w:jc w:val="center"/>
        </w:trPr>
        <w:tc>
          <w:tcPr>
            <w:tcW w:w="476" w:type="dxa"/>
            <w:vMerge w:val="continue"/>
            <w:vAlign w:val="center"/>
          </w:tcPr>
          <w:p>
            <w:pPr>
              <w:widowControl/>
              <w:spacing w:line="360" w:lineRule="auto"/>
              <w:rPr>
                <w:rFonts w:ascii="宋体" w:hAnsi="宋体" w:eastAsia="宋体"/>
                <w:color w:val="auto"/>
                <w:spacing w:val="10"/>
                <w:sz w:val="21"/>
                <w:szCs w:val="21"/>
              </w:rPr>
            </w:pPr>
          </w:p>
        </w:tc>
        <w:tc>
          <w:tcPr>
            <w:tcW w:w="1558" w:type="dxa"/>
            <w:vAlign w:val="center"/>
          </w:tcPr>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危险性类别</w:t>
            </w:r>
          </w:p>
        </w:tc>
        <w:tc>
          <w:tcPr>
            <w:tcW w:w="7145" w:type="dxa"/>
            <w:gridSpan w:val="10"/>
            <w:vAlign w:val="center"/>
          </w:tcPr>
          <w:p>
            <w:pPr>
              <w:spacing w:line="360" w:lineRule="auto"/>
              <w:rPr>
                <w:rFonts w:ascii="宋体" w:hAnsi="宋体" w:eastAsia="宋体"/>
                <w:color w:val="auto"/>
                <w:spacing w:val="10"/>
                <w:sz w:val="21"/>
                <w:szCs w:val="21"/>
                <w:lang w:eastAsia="zh-CN"/>
              </w:rPr>
            </w:pPr>
            <w:r>
              <w:rPr>
                <w:rFonts w:hint="eastAsia" w:ascii="宋体" w:hAnsi="宋体" w:eastAsia="宋体" w:cs="宋体"/>
                <w:color w:val="auto"/>
                <w:sz w:val="21"/>
                <w:szCs w:val="21"/>
              </w:rPr>
              <w:t>易燃液体，类别</w:t>
            </w:r>
            <w:r>
              <w:rPr>
                <w:rFonts w:hint="eastAsia" w:ascii="宋体" w:hAnsi="宋体" w:eastAsia="宋体" w:cs="宋体"/>
                <w:color w:val="auto"/>
                <w:sz w:val="21"/>
                <w:szCs w:val="21"/>
                <w:lang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0" w:hRule="atLeast"/>
          <w:jc w:val="center"/>
        </w:trPr>
        <w:tc>
          <w:tcPr>
            <w:tcW w:w="476" w:type="dxa"/>
            <w:vMerge w:val="restart"/>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毒</w:t>
            </w:r>
          </w:p>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性及健康危害</w:t>
            </w:r>
          </w:p>
        </w:tc>
        <w:tc>
          <w:tcPr>
            <w:tcW w:w="1558" w:type="dxa"/>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侵入途径</w:t>
            </w:r>
          </w:p>
        </w:tc>
        <w:tc>
          <w:tcPr>
            <w:tcW w:w="7145" w:type="dxa"/>
            <w:gridSpan w:val="10"/>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吸入</w:t>
            </w:r>
            <w:r>
              <w:rPr>
                <w:rFonts w:hint="eastAsia" w:ascii="宋体" w:hAnsi="宋体" w:eastAsia="宋体"/>
                <w:color w:val="auto"/>
                <w:spacing w:val="10"/>
                <w:sz w:val="21"/>
                <w:szCs w:val="21"/>
              </w:rPr>
              <w:t>、</w:t>
            </w:r>
            <w:r>
              <w:rPr>
                <w:rFonts w:ascii="宋体" w:hAnsi="宋体" w:eastAsia="宋体"/>
                <w:color w:val="auto"/>
                <w:spacing w:val="10"/>
                <w:sz w:val="21"/>
                <w:szCs w:val="21"/>
              </w:rPr>
              <w:t>食入</w:t>
            </w:r>
            <w:r>
              <w:rPr>
                <w:rFonts w:hint="eastAsia" w:ascii="宋体" w:hAnsi="宋体" w:eastAsia="宋体"/>
                <w:color w:val="auto"/>
                <w:spacing w:val="10"/>
                <w:sz w:val="21"/>
                <w:szCs w:val="21"/>
              </w:rPr>
              <w:t>、</w:t>
            </w:r>
            <w:r>
              <w:rPr>
                <w:rFonts w:ascii="宋体" w:hAnsi="宋体" w:eastAsia="宋体"/>
                <w:color w:val="auto"/>
                <w:spacing w:val="10"/>
                <w:sz w:val="21"/>
                <w:szCs w:val="21"/>
              </w:rPr>
              <w:t>经皮吸收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7" w:hRule="atLeast"/>
          <w:jc w:val="center"/>
        </w:trPr>
        <w:tc>
          <w:tcPr>
            <w:tcW w:w="476" w:type="dxa"/>
            <w:vMerge w:val="continue"/>
            <w:vAlign w:val="center"/>
          </w:tcPr>
          <w:p>
            <w:pPr>
              <w:widowControl/>
              <w:spacing w:line="360" w:lineRule="auto"/>
              <w:rPr>
                <w:rFonts w:ascii="宋体" w:hAnsi="宋体" w:eastAsia="宋体"/>
                <w:color w:val="auto"/>
                <w:spacing w:val="10"/>
                <w:sz w:val="21"/>
                <w:szCs w:val="21"/>
              </w:rPr>
            </w:pPr>
          </w:p>
        </w:tc>
        <w:tc>
          <w:tcPr>
            <w:tcW w:w="1558" w:type="dxa"/>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毒性</w:t>
            </w:r>
          </w:p>
        </w:tc>
        <w:tc>
          <w:tcPr>
            <w:tcW w:w="7145" w:type="dxa"/>
            <w:gridSpan w:val="10"/>
            <w:vAlign w:val="center"/>
          </w:tcPr>
          <w:p>
            <w:pPr>
              <w:spacing w:line="360" w:lineRule="auto"/>
              <w:ind w:left="-4"/>
              <w:rPr>
                <w:rFonts w:ascii="宋体" w:hAnsi="宋体" w:eastAsia="宋体"/>
                <w:color w:val="auto"/>
                <w:sz w:val="21"/>
                <w:szCs w:val="21"/>
              </w:rPr>
            </w:pPr>
            <w:r>
              <w:rPr>
                <w:rFonts w:ascii="宋体" w:hAnsi="宋体" w:eastAsia="宋体"/>
                <w:color w:val="auto"/>
                <w:spacing w:val="10"/>
                <w:sz w:val="21"/>
                <w:szCs w:val="21"/>
              </w:rPr>
              <w:t xml:space="preserve"> LD</w:t>
            </w:r>
            <w:r>
              <w:rPr>
                <w:rFonts w:ascii="宋体" w:hAnsi="宋体" w:eastAsia="宋体"/>
                <w:color w:val="auto"/>
                <w:spacing w:val="10"/>
                <w:sz w:val="21"/>
                <w:szCs w:val="21"/>
                <w:vertAlign w:val="subscript"/>
              </w:rPr>
              <w:t>50</w:t>
            </w:r>
            <w:r>
              <w:rPr>
                <w:rFonts w:ascii="宋体" w:hAnsi="宋体" w:eastAsia="宋体"/>
                <w:color w:val="auto"/>
                <w:spacing w:val="10"/>
                <w:sz w:val="21"/>
                <w:szCs w:val="21"/>
              </w:rPr>
              <w:t>：</w:t>
            </w:r>
            <w:r>
              <w:rPr>
                <w:rFonts w:hint="eastAsia" w:ascii="宋体" w:hAnsi="宋体" w:eastAsia="宋体"/>
                <w:color w:val="auto"/>
                <w:spacing w:val="1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9" w:hRule="atLeast"/>
          <w:jc w:val="center"/>
        </w:trPr>
        <w:tc>
          <w:tcPr>
            <w:tcW w:w="476" w:type="dxa"/>
            <w:vMerge w:val="continue"/>
            <w:vAlign w:val="center"/>
          </w:tcPr>
          <w:p>
            <w:pPr>
              <w:widowControl/>
              <w:spacing w:line="360" w:lineRule="auto"/>
              <w:rPr>
                <w:rFonts w:ascii="宋体" w:hAnsi="宋体" w:eastAsia="宋体"/>
                <w:color w:val="auto"/>
                <w:spacing w:val="10"/>
                <w:sz w:val="21"/>
                <w:szCs w:val="21"/>
              </w:rPr>
            </w:pPr>
          </w:p>
        </w:tc>
        <w:tc>
          <w:tcPr>
            <w:tcW w:w="1558" w:type="dxa"/>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健康危害</w:t>
            </w:r>
          </w:p>
        </w:tc>
        <w:tc>
          <w:tcPr>
            <w:tcW w:w="7145" w:type="dxa"/>
            <w:gridSpan w:val="10"/>
            <w:vAlign w:val="center"/>
          </w:tcPr>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8" w:hRule="atLeast"/>
          <w:jc w:val="center"/>
        </w:trPr>
        <w:tc>
          <w:tcPr>
            <w:tcW w:w="476" w:type="dxa"/>
            <w:vMerge w:val="continue"/>
            <w:vAlign w:val="center"/>
          </w:tcPr>
          <w:p>
            <w:pPr>
              <w:widowControl/>
              <w:spacing w:line="360" w:lineRule="auto"/>
              <w:rPr>
                <w:rFonts w:ascii="宋体" w:hAnsi="宋体" w:eastAsia="宋体"/>
                <w:color w:val="auto"/>
                <w:spacing w:val="10"/>
                <w:sz w:val="21"/>
                <w:szCs w:val="21"/>
              </w:rPr>
            </w:pPr>
          </w:p>
        </w:tc>
        <w:tc>
          <w:tcPr>
            <w:tcW w:w="1558" w:type="dxa"/>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急救方法</w:t>
            </w:r>
          </w:p>
        </w:tc>
        <w:tc>
          <w:tcPr>
            <w:tcW w:w="7145" w:type="dxa"/>
            <w:gridSpan w:val="10"/>
            <w:vAlign w:val="center"/>
          </w:tcPr>
          <w:p>
            <w:pPr>
              <w:widowControl/>
              <w:shd w:val="clear" w:color="auto" w:fill="FFFFFF"/>
              <w:spacing w:line="360" w:lineRule="auto"/>
              <w:rPr>
                <w:rFonts w:ascii="宋体" w:hAnsi="宋体" w:eastAsia="宋体" w:cs="Arial"/>
                <w:color w:val="auto"/>
                <w:sz w:val="21"/>
                <w:szCs w:val="21"/>
              </w:rPr>
            </w:pPr>
            <w:r>
              <w:rPr>
                <w:rFonts w:hint="eastAsia" w:ascii="宋体" w:hAnsi="宋体" w:eastAsia="宋体"/>
                <w:color w:val="auto"/>
                <w:spacing w:val="10"/>
                <w:sz w:val="21"/>
                <w:szCs w:val="21"/>
              </w:rPr>
              <w:t>应使吸入蒸气的患者脱离污染区，安置休息并保暖。皮肤接触先擦清油污，再用肥皂彻底洗涤。误服立即漱口，急送医院救治。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476" w:type="dxa"/>
            <w:vMerge w:val="restart"/>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燃</w:t>
            </w:r>
          </w:p>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烧爆炸危险性</w:t>
            </w:r>
          </w:p>
        </w:tc>
        <w:tc>
          <w:tcPr>
            <w:tcW w:w="1558" w:type="dxa"/>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燃烧性</w:t>
            </w:r>
          </w:p>
        </w:tc>
        <w:tc>
          <w:tcPr>
            <w:tcW w:w="1800" w:type="dxa"/>
            <w:gridSpan w:val="3"/>
            <w:vAlign w:val="center"/>
          </w:tcPr>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易燃</w:t>
            </w:r>
          </w:p>
        </w:tc>
        <w:tc>
          <w:tcPr>
            <w:tcW w:w="2520" w:type="dxa"/>
            <w:gridSpan w:val="4"/>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燃烧分解物</w:t>
            </w:r>
          </w:p>
        </w:tc>
        <w:tc>
          <w:tcPr>
            <w:tcW w:w="2825" w:type="dxa"/>
            <w:gridSpan w:val="3"/>
            <w:vAlign w:val="center"/>
          </w:tcPr>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9" w:hRule="atLeast"/>
          <w:jc w:val="center"/>
        </w:trPr>
        <w:tc>
          <w:tcPr>
            <w:tcW w:w="476" w:type="dxa"/>
            <w:vMerge w:val="continue"/>
            <w:vAlign w:val="center"/>
          </w:tcPr>
          <w:p>
            <w:pPr>
              <w:widowControl/>
              <w:spacing w:line="360" w:lineRule="auto"/>
              <w:rPr>
                <w:rFonts w:ascii="宋体" w:hAnsi="宋体" w:eastAsia="宋体"/>
                <w:color w:val="auto"/>
                <w:spacing w:val="10"/>
                <w:sz w:val="21"/>
                <w:szCs w:val="21"/>
              </w:rPr>
            </w:pPr>
          </w:p>
        </w:tc>
        <w:tc>
          <w:tcPr>
            <w:tcW w:w="1558" w:type="dxa"/>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闪点(℃)</w:t>
            </w:r>
          </w:p>
        </w:tc>
        <w:tc>
          <w:tcPr>
            <w:tcW w:w="1800" w:type="dxa"/>
            <w:gridSpan w:val="3"/>
            <w:vAlign w:val="center"/>
          </w:tcPr>
          <w:p>
            <w:pPr>
              <w:spacing w:line="360" w:lineRule="auto"/>
              <w:rPr>
                <w:rFonts w:ascii="宋体" w:hAnsi="宋体" w:eastAsia="宋体"/>
                <w:color w:val="auto"/>
                <w:spacing w:val="10"/>
                <w:sz w:val="21"/>
                <w:szCs w:val="21"/>
                <w:lang w:eastAsia="zh-CN"/>
              </w:rPr>
            </w:pPr>
            <w:r>
              <w:rPr>
                <w:rFonts w:hint="eastAsia" w:ascii="宋体" w:hAnsi="宋体" w:eastAsia="宋体" w:cs="宋体"/>
                <w:color w:val="auto"/>
                <w:sz w:val="21"/>
                <w:szCs w:val="21"/>
                <w:lang w:eastAsia="zh-CN"/>
              </w:rPr>
              <w:t>27</w:t>
            </w:r>
          </w:p>
        </w:tc>
        <w:tc>
          <w:tcPr>
            <w:tcW w:w="2520" w:type="dxa"/>
            <w:gridSpan w:val="4"/>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爆炸上限（v%）</w:t>
            </w:r>
          </w:p>
        </w:tc>
        <w:tc>
          <w:tcPr>
            <w:tcW w:w="2825" w:type="dxa"/>
            <w:gridSpan w:val="3"/>
            <w:vAlign w:val="center"/>
          </w:tcPr>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6" w:hRule="atLeast"/>
          <w:jc w:val="center"/>
        </w:trPr>
        <w:tc>
          <w:tcPr>
            <w:tcW w:w="476" w:type="dxa"/>
            <w:vMerge w:val="continue"/>
            <w:vAlign w:val="center"/>
          </w:tcPr>
          <w:p>
            <w:pPr>
              <w:widowControl/>
              <w:spacing w:line="360" w:lineRule="auto"/>
              <w:rPr>
                <w:rFonts w:ascii="宋体" w:hAnsi="宋体" w:eastAsia="宋体"/>
                <w:color w:val="auto"/>
                <w:spacing w:val="10"/>
                <w:sz w:val="21"/>
                <w:szCs w:val="21"/>
              </w:rPr>
            </w:pPr>
          </w:p>
        </w:tc>
        <w:tc>
          <w:tcPr>
            <w:tcW w:w="1558" w:type="dxa"/>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引燃温度(℃)</w:t>
            </w:r>
          </w:p>
        </w:tc>
        <w:tc>
          <w:tcPr>
            <w:tcW w:w="1800" w:type="dxa"/>
            <w:gridSpan w:val="3"/>
            <w:vAlign w:val="center"/>
          </w:tcPr>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w:t>
            </w:r>
          </w:p>
        </w:tc>
        <w:tc>
          <w:tcPr>
            <w:tcW w:w="2520" w:type="dxa"/>
            <w:gridSpan w:val="4"/>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爆炸下限（v%）</w:t>
            </w:r>
          </w:p>
        </w:tc>
        <w:tc>
          <w:tcPr>
            <w:tcW w:w="2825" w:type="dxa"/>
            <w:gridSpan w:val="3"/>
            <w:vAlign w:val="center"/>
          </w:tcPr>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8" w:hRule="atLeast"/>
          <w:jc w:val="center"/>
        </w:trPr>
        <w:tc>
          <w:tcPr>
            <w:tcW w:w="476" w:type="dxa"/>
            <w:vMerge w:val="continue"/>
            <w:vAlign w:val="center"/>
          </w:tcPr>
          <w:p>
            <w:pPr>
              <w:widowControl/>
              <w:spacing w:line="360" w:lineRule="auto"/>
              <w:rPr>
                <w:rFonts w:ascii="宋体" w:hAnsi="宋体" w:eastAsia="宋体"/>
                <w:color w:val="auto"/>
                <w:spacing w:val="10"/>
                <w:sz w:val="21"/>
                <w:szCs w:val="21"/>
              </w:rPr>
            </w:pPr>
          </w:p>
        </w:tc>
        <w:tc>
          <w:tcPr>
            <w:tcW w:w="1558" w:type="dxa"/>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危险特性</w:t>
            </w:r>
          </w:p>
        </w:tc>
        <w:tc>
          <w:tcPr>
            <w:tcW w:w="7145" w:type="dxa"/>
            <w:gridSpan w:val="10"/>
            <w:vAlign w:val="center"/>
          </w:tcPr>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易燃。遇明火或受高热即能着火燃烧。蒸气能与空气形成爆炸性混合物。有刺激性。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0" w:hRule="atLeast"/>
          <w:jc w:val="center"/>
        </w:trPr>
        <w:tc>
          <w:tcPr>
            <w:tcW w:w="476" w:type="dxa"/>
            <w:vMerge w:val="continue"/>
            <w:vAlign w:val="center"/>
          </w:tcPr>
          <w:p>
            <w:pPr>
              <w:widowControl/>
              <w:spacing w:line="360" w:lineRule="auto"/>
              <w:rPr>
                <w:rFonts w:ascii="宋体" w:hAnsi="宋体" w:eastAsia="宋体"/>
                <w:color w:val="auto"/>
                <w:spacing w:val="10"/>
                <w:sz w:val="21"/>
                <w:szCs w:val="21"/>
              </w:rPr>
            </w:pPr>
          </w:p>
        </w:tc>
        <w:tc>
          <w:tcPr>
            <w:tcW w:w="1558" w:type="dxa"/>
            <w:vAlign w:val="center"/>
          </w:tcPr>
          <w:p>
            <w:pPr>
              <w:spacing w:line="360" w:lineRule="auto"/>
              <w:rPr>
                <w:rFonts w:ascii="宋体" w:hAnsi="宋体" w:eastAsia="宋体"/>
                <w:color w:val="auto"/>
                <w:spacing w:val="4"/>
                <w:sz w:val="21"/>
                <w:szCs w:val="21"/>
              </w:rPr>
            </w:pPr>
            <w:r>
              <w:rPr>
                <w:rFonts w:ascii="宋体" w:hAnsi="宋体" w:eastAsia="宋体"/>
                <w:color w:val="auto"/>
                <w:spacing w:val="4"/>
                <w:sz w:val="21"/>
                <w:szCs w:val="21"/>
              </w:rPr>
              <w:t>建规火险分级</w:t>
            </w:r>
          </w:p>
        </w:tc>
        <w:tc>
          <w:tcPr>
            <w:tcW w:w="1800" w:type="dxa"/>
            <w:gridSpan w:val="3"/>
            <w:vAlign w:val="center"/>
          </w:tcPr>
          <w:p>
            <w:pPr>
              <w:spacing w:line="360" w:lineRule="auto"/>
              <w:rPr>
                <w:rFonts w:ascii="宋体" w:hAnsi="宋体" w:eastAsia="宋体"/>
                <w:color w:val="auto"/>
                <w:spacing w:val="10"/>
                <w:sz w:val="21"/>
                <w:szCs w:val="21"/>
                <w:lang w:eastAsia="zh-CN"/>
              </w:rPr>
            </w:pPr>
            <w:r>
              <w:rPr>
                <w:rFonts w:hint="eastAsia" w:ascii="宋体" w:hAnsi="宋体" w:eastAsia="宋体"/>
                <w:color w:val="auto"/>
                <w:spacing w:val="10"/>
                <w:sz w:val="21"/>
                <w:szCs w:val="21"/>
                <w:lang w:eastAsia="zh-CN"/>
              </w:rPr>
              <w:t>乙</w:t>
            </w:r>
          </w:p>
        </w:tc>
        <w:tc>
          <w:tcPr>
            <w:tcW w:w="1236" w:type="dxa"/>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稳定性</w:t>
            </w:r>
          </w:p>
        </w:tc>
        <w:tc>
          <w:tcPr>
            <w:tcW w:w="1284" w:type="dxa"/>
            <w:gridSpan w:val="3"/>
            <w:vAlign w:val="center"/>
          </w:tcPr>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稳定</w:t>
            </w:r>
          </w:p>
        </w:tc>
        <w:tc>
          <w:tcPr>
            <w:tcW w:w="1455" w:type="dxa"/>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聚合危害</w:t>
            </w:r>
          </w:p>
        </w:tc>
        <w:tc>
          <w:tcPr>
            <w:tcW w:w="1370" w:type="dxa"/>
            <w:gridSpan w:val="2"/>
            <w:vAlign w:val="center"/>
          </w:tcPr>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不聚合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8" w:hRule="atLeast"/>
          <w:jc w:val="center"/>
        </w:trPr>
        <w:tc>
          <w:tcPr>
            <w:tcW w:w="476" w:type="dxa"/>
            <w:vMerge w:val="continue"/>
            <w:vAlign w:val="center"/>
          </w:tcPr>
          <w:p>
            <w:pPr>
              <w:widowControl/>
              <w:spacing w:line="360" w:lineRule="auto"/>
              <w:rPr>
                <w:rFonts w:ascii="宋体" w:hAnsi="宋体" w:eastAsia="宋体"/>
                <w:color w:val="auto"/>
                <w:spacing w:val="10"/>
                <w:sz w:val="21"/>
                <w:szCs w:val="21"/>
              </w:rPr>
            </w:pPr>
          </w:p>
        </w:tc>
        <w:tc>
          <w:tcPr>
            <w:tcW w:w="1558" w:type="dxa"/>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禁忌物</w:t>
            </w:r>
          </w:p>
        </w:tc>
        <w:tc>
          <w:tcPr>
            <w:tcW w:w="7145" w:type="dxa"/>
            <w:gridSpan w:val="10"/>
            <w:vAlign w:val="center"/>
          </w:tcPr>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2" w:hRule="atLeast"/>
          <w:jc w:val="center"/>
        </w:trPr>
        <w:tc>
          <w:tcPr>
            <w:tcW w:w="476" w:type="dxa"/>
            <w:vMerge w:val="continue"/>
            <w:vAlign w:val="center"/>
          </w:tcPr>
          <w:p>
            <w:pPr>
              <w:widowControl/>
              <w:spacing w:line="360" w:lineRule="auto"/>
              <w:rPr>
                <w:rFonts w:ascii="宋体" w:hAnsi="宋体" w:eastAsia="宋体"/>
                <w:color w:val="auto"/>
                <w:spacing w:val="10"/>
                <w:sz w:val="21"/>
                <w:szCs w:val="21"/>
              </w:rPr>
            </w:pPr>
          </w:p>
        </w:tc>
        <w:tc>
          <w:tcPr>
            <w:tcW w:w="1558" w:type="dxa"/>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储运条件</w:t>
            </w:r>
          </w:p>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与泄漏处理</w:t>
            </w:r>
          </w:p>
        </w:tc>
        <w:tc>
          <w:tcPr>
            <w:tcW w:w="7145" w:type="dxa"/>
            <w:gridSpan w:val="10"/>
            <w:vAlign w:val="center"/>
          </w:tcPr>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包装标志：易燃液体；包装方法：Ⅱ类。玻璃瓶或铁听装外木箱。储运条件：储存于阴凉、通风的仓间内，远离明火与高热。与氧化剂、含氢的羟基化合物、胺、酰胺、醇、酚类隔离储运。</w:t>
            </w:r>
          </w:p>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首先切断一切火源，戴好防毒面具与手套。有砂土吸收，倒至旷地方掩埋。污染地面用肥皂或洗涤剂洗刷，经稀释后的废水放入废水系统。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76" w:type="dxa"/>
            <w:vMerge w:val="continue"/>
            <w:vAlign w:val="center"/>
          </w:tcPr>
          <w:p>
            <w:pPr>
              <w:widowControl/>
              <w:spacing w:line="360" w:lineRule="auto"/>
              <w:rPr>
                <w:rFonts w:ascii="宋体" w:hAnsi="宋体" w:eastAsia="宋体"/>
                <w:color w:val="auto"/>
                <w:spacing w:val="10"/>
                <w:sz w:val="21"/>
                <w:szCs w:val="21"/>
              </w:rPr>
            </w:pPr>
          </w:p>
        </w:tc>
        <w:tc>
          <w:tcPr>
            <w:tcW w:w="1558" w:type="dxa"/>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灭火方法</w:t>
            </w:r>
          </w:p>
        </w:tc>
        <w:tc>
          <w:tcPr>
            <w:tcW w:w="7145" w:type="dxa"/>
            <w:gridSpan w:val="10"/>
            <w:vAlign w:val="center"/>
          </w:tcPr>
          <w:p>
            <w:pPr>
              <w:spacing w:line="360" w:lineRule="auto"/>
              <w:ind w:left="-4"/>
              <w:rPr>
                <w:rFonts w:ascii="宋体" w:hAnsi="宋体" w:eastAsia="宋体"/>
                <w:color w:val="auto"/>
                <w:spacing w:val="10"/>
                <w:sz w:val="21"/>
                <w:szCs w:val="21"/>
              </w:rPr>
            </w:pPr>
            <w:r>
              <w:rPr>
                <w:rFonts w:hint="eastAsia" w:ascii="宋体" w:hAnsi="宋体" w:eastAsia="宋体"/>
                <w:color w:val="auto"/>
                <w:spacing w:val="10"/>
                <w:sz w:val="21"/>
                <w:szCs w:val="21"/>
              </w:rPr>
              <w:t>用泡沫、雾状水、二氧化碳、干粉等灭火</w:t>
            </w:r>
          </w:p>
        </w:tc>
      </w:tr>
    </w:tbl>
    <w:p>
      <w:pPr>
        <w:spacing w:line="560" w:lineRule="exact"/>
        <w:jc w:val="center"/>
        <w:outlineLvl w:val="2"/>
        <w:rPr>
          <w:rFonts w:ascii="宋体" w:hAnsi="宋体" w:eastAsia="宋体" w:cs="Times New Roman"/>
          <w:b/>
          <w:bCs/>
          <w:color w:val="auto"/>
          <w:kern w:val="2"/>
          <w:lang w:val="en-US" w:eastAsia="zh-CN" w:bidi="ar-SA"/>
        </w:rPr>
      </w:pPr>
      <w:r>
        <w:rPr>
          <w:rFonts w:hint="eastAsia" w:ascii="宋体" w:hAnsi="宋体" w:eastAsia="宋体" w:cs="Times New Roman"/>
          <w:b/>
          <w:bCs/>
          <w:color w:val="auto"/>
          <w:kern w:val="2"/>
          <w:lang w:val="en-US" w:eastAsia="zh-CN" w:bidi="ar-SA"/>
        </w:rPr>
        <w:t>附</w:t>
      </w:r>
      <w:r>
        <w:rPr>
          <w:rFonts w:ascii="宋体" w:hAnsi="宋体" w:eastAsia="宋体" w:cs="Times New Roman"/>
          <w:b/>
          <w:bCs/>
          <w:color w:val="auto"/>
          <w:kern w:val="2"/>
          <w:lang w:val="en-US" w:eastAsia="zh-CN" w:bidi="ar-SA"/>
        </w:rPr>
        <w:t>表1-</w:t>
      </w:r>
      <w:r>
        <w:rPr>
          <w:rFonts w:hint="eastAsia" w:ascii="宋体" w:hAnsi="宋体" w:eastAsia="宋体" w:cs="Times New Roman"/>
          <w:b/>
          <w:bCs/>
          <w:color w:val="auto"/>
          <w:kern w:val="2"/>
          <w:lang w:val="en-US" w:eastAsia="zh-CN" w:bidi="ar-SA"/>
        </w:rPr>
        <w:t>5聚酯树脂清漆</w:t>
      </w:r>
      <w:r>
        <w:rPr>
          <w:rFonts w:ascii="宋体" w:hAnsi="宋体" w:eastAsia="宋体" w:cs="Times New Roman"/>
          <w:b/>
          <w:bCs/>
          <w:color w:val="auto"/>
          <w:kern w:val="2"/>
          <w:lang w:val="en-US" w:eastAsia="zh-CN" w:bidi="ar-SA"/>
        </w:rPr>
        <w:t>的理化性质及危险特性</w:t>
      </w:r>
      <w:bookmarkEnd w:id="161"/>
      <w:bookmarkEnd w:id="162"/>
    </w:p>
    <w:tbl>
      <w:tblPr>
        <w:tblStyle w:val="45"/>
        <w:tblW w:w="91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6"/>
        <w:gridCol w:w="1558"/>
        <w:gridCol w:w="1202"/>
        <w:gridCol w:w="255"/>
        <w:gridCol w:w="343"/>
        <w:gridCol w:w="1236"/>
        <w:gridCol w:w="384"/>
        <w:gridCol w:w="370"/>
        <w:gridCol w:w="530"/>
        <w:gridCol w:w="1455"/>
        <w:gridCol w:w="705"/>
        <w:gridCol w:w="6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9" w:hRule="atLeast"/>
          <w:jc w:val="center"/>
        </w:trPr>
        <w:tc>
          <w:tcPr>
            <w:tcW w:w="476" w:type="dxa"/>
            <w:vMerge w:val="restart"/>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标</w:t>
            </w:r>
          </w:p>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识</w:t>
            </w:r>
          </w:p>
        </w:tc>
        <w:tc>
          <w:tcPr>
            <w:tcW w:w="5348" w:type="dxa"/>
            <w:gridSpan w:val="7"/>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中文名</w:t>
            </w:r>
            <w:r>
              <w:rPr>
                <w:rFonts w:hint="eastAsia" w:ascii="宋体" w:hAnsi="宋体" w:eastAsia="宋体"/>
                <w:color w:val="auto"/>
                <w:spacing w:val="10"/>
                <w:sz w:val="21"/>
                <w:szCs w:val="21"/>
              </w:rPr>
              <w:t>：</w:t>
            </w:r>
            <w:r>
              <w:rPr>
                <w:rFonts w:hint="eastAsia" w:ascii="宋体" w:hAnsi="宋体" w:eastAsia="宋体"/>
                <w:color w:val="auto"/>
                <w:sz w:val="21"/>
                <w:szCs w:val="21"/>
              </w:rPr>
              <w:t>聚酯树脂清漆</w:t>
            </w:r>
          </w:p>
        </w:tc>
        <w:tc>
          <w:tcPr>
            <w:tcW w:w="3355" w:type="dxa"/>
            <w:gridSpan w:val="4"/>
            <w:vAlign w:val="center"/>
          </w:tcPr>
          <w:p>
            <w:pPr>
              <w:spacing w:line="360" w:lineRule="auto"/>
              <w:rPr>
                <w:rFonts w:ascii="宋体" w:hAnsi="宋体" w:eastAsia="宋体"/>
                <w:color w:val="auto"/>
                <w:spacing w:val="10"/>
                <w:sz w:val="21"/>
                <w:szCs w:val="21"/>
              </w:rPr>
            </w:pPr>
            <w:r>
              <w:rPr>
                <w:rFonts w:hint="eastAsia" w:ascii="宋体" w:hAnsi="宋体" w:eastAsia="宋体"/>
                <w:color w:val="auto"/>
                <w:sz w:val="21"/>
                <w:szCs w:val="21"/>
              </w:rPr>
              <w:t>危险化学品的目录序号：2828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5" w:hRule="atLeast"/>
          <w:jc w:val="center"/>
        </w:trPr>
        <w:tc>
          <w:tcPr>
            <w:tcW w:w="476" w:type="dxa"/>
            <w:vMerge w:val="continue"/>
            <w:vAlign w:val="center"/>
          </w:tcPr>
          <w:p>
            <w:pPr>
              <w:widowControl/>
              <w:spacing w:line="360" w:lineRule="auto"/>
              <w:rPr>
                <w:rFonts w:ascii="宋体" w:hAnsi="宋体" w:eastAsia="宋体"/>
                <w:color w:val="auto"/>
                <w:spacing w:val="10"/>
                <w:sz w:val="21"/>
                <w:szCs w:val="21"/>
              </w:rPr>
            </w:pPr>
          </w:p>
        </w:tc>
        <w:tc>
          <w:tcPr>
            <w:tcW w:w="5878" w:type="dxa"/>
            <w:gridSpan w:val="8"/>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英文名：Polyester</w:t>
            </w:r>
            <w:r>
              <w:rPr>
                <w:rFonts w:hint="eastAsia" w:ascii="宋体" w:hAnsi="宋体" w:eastAsia="MS Mincho" w:cs="MS Mincho"/>
                <w:color w:val="auto"/>
                <w:spacing w:val="10"/>
                <w:sz w:val="21"/>
                <w:szCs w:val="21"/>
              </w:rPr>
              <w:t> </w:t>
            </w:r>
            <w:r>
              <w:rPr>
                <w:rFonts w:hint="eastAsia" w:ascii="宋体" w:hAnsi="宋体" w:eastAsia="宋体" w:cs="宋体"/>
                <w:color w:val="auto"/>
                <w:spacing w:val="10"/>
                <w:sz w:val="21"/>
                <w:szCs w:val="21"/>
              </w:rPr>
              <w:t>resin</w:t>
            </w:r>
            <w:r>
              <w:rPr>
                <w:rFonts w:hint="eastAsia" w:ascii="宋体" w:hAnsi="宋体" w:eastAsia="MS Mincho" w:cs="MS Mincho"/>
                <w:color w:val="auto"/>
                <w:spacing w:val="10"/>
                <w:sz w:val="21"/>
                <w:szCs w:val="21"/>
              </w:rPr>
              <w:t> </w:t>
            </w:r>
            <w:r>
              <w:rPr>
                <w:rFonts w:hint="eastAsia" w:ascii="宋体" w:hAnsi="宋体" w:eastAsia="宋体" w:cs="宋体"/>
                <w:color w:val="auto"/>
                <w:spacing w:val="10"/>
                <w:sz w:val="21"/>
                <w:szCs w:val="21"/>
              </w:rPr>
              <w:t>varnish</w:t>
            </w:r>
          </w:p>
        </w:tc>
        <w:tc>
          <w:tcPr>
            <w:tcW w:w="2825" w:type="dxa"/>
            <w:gridSpan w:val="3"/>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UN编号：</w:t>
            </w:r>
            <w:r>
              <w:rPr>
                <w:rFonts w:hint="eastAsia" w:ascii="宋体" w:hAnsi="宋体" w:eastAsia="宋体"/>
                <w:color w:val="auto"/>
                <w:spacing w:val="10"/>
                <w:sz w:val="21"/>
                <w:szCs w:val="21"/>
              </w:rPr>
              <w:t>1139、1263、1293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1" w:hRule="atLeast"/>
          <w:jc w:val="center"/>
        </w:trPr>
        <w:tc>
          <w:tcPr>
            <w:tcW w:w="476" w:type="dxa"/>
            <w:vMerge w:val="continue"/>
            <w:vAlign w:val="center"/>
          </w:tcPr>
          <w:p>
            <w:pPr>
              <w:widowControl/>
              <w:spacing w:line="360" w:lineRule="auto"/>
              <w:rPr>
                <w:rFonts w:ascii="宋体" w:hAnsi="宋体" w:eastAsia="宋体"/>
                <w:color w:val="auto"/>
                <w:spacing w:val="10"/>
                <w:sz w:val="21"/>
                <w:szCs w:val="21"/>
              </w:rPr>
            </w:pPr>
          </w:p>
        </w:tc>
        <w:tc>
          <w:tcPr>
            <w:tcW w:w="3015" w:type="dxa"/>
            <w:gridSpan w:val="3"/>
            <w:vAlign w:val="center"/>
          </w:tcPr>
          <w:p>
            <w:pPr>
              <w:spacing w:line="360" w:lineRule="auto"/>
              <w:ind w:left="880" w:hanging="920" w:hangingChars="400"/>
              <w:rPr>
                <w:rFonts w:ascii="宋体" w:hAnsi="宋体" w:eastAsia="宋体"/>
                <w:color w:val="auto"/>
                <w:spacing w:val="10"/>
                <w:sz w:val="21"/>
                <w:szCs w:val="21"/>
              </w:rPr>
            </w:pPr>
            <w:r>
              <w:rPr>
                <w:rFonts w:ascii="宋体" w:hAnsi="宋体" w:eastAsia="宋体"/>
                <w:color w:val="auto"/>
                <w:spacing w:val="10"/>
                <w:sz w:val="21"/>
                <w:szCs w:val="21"/>
              </w:rPr>
              <w:t>分子式：</w:t>
            </w:r>
            <w:r>
              <w:rPr>
                <w:rFonts w:hint="eastAsia" w:ascii="宋体" w:hAnsi="宋体" w:eastAsia="宋体"/>
                <w:color w:val="auto"/>
                <w:spacing w:val="10"/>
                <w:sz w:val="21"/>
                <w:szCs w:val="21"/>
              </w:rPr>
              <w:t>/</w:t>
            </w:r>
          </w:p>
        </w:tc>
        <w:tc>
          <w:tcPr>
            <w:tcW w:w="2863" w:type="dxa"/>
            <w:gridSpan w:val="5"/>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分子量：</w:t>
            </w:r>
            <w:r>
              <w:rPr>
                <w:rFonts w:hint="eastAsia" w:ascii="宋体" w:hAnsi="宋体" w:eastAsia="宋体"/>
                <w:color w:val="auto"/>
                <w:spacing w:val="10"/>
                <w:sz w:val="21"/>
                <w:szCs w:val="21"/>
              </w:rPr>
              <w:t>/</w:t>
            </w:r>
          </w:p>
        </w:tc>
        <w:tc>
          <w:tcPr>
            <w:tcW w:w="2825" w:type="dxa"/>
            <w:gridSpan w:val="3"/>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CAS号：</w:t>
            </w:r>
            <w:r>
              <w:rPr>
                <w:rFonts w:hint="eastAsia" w:ascii="宋体" w:hAnsi="宋体" w:eastAsia="宋体"/>
                <w:color w:val="auto"/>
                <w:spacing w:val="1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476" w:type="dxa"/>
            <w:vMerge w:val="restart"/>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理</w:t>
            </w:r>
          </w:p>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化性质</w:t>
            </w:r>
          </w:p>
        </w:tc>
        <w:tc>
          <w:tcPr>
            <w:tcW w:w="1558" w:type="dxa"/>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外观与性状</w:t>
            </w:r>
          </w:p>
        </w:tc>
        <w:tc>
          <w:tcPr>
            <w:tcW w:w="7145" w:type="dxa"/>
            <w:gridSpan w:val="10"/>
            <w:vAlign w:val="center"/>
          </w:tcPr>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由树脂、有机溶剂等混合制成的粘稠状液体，有刺激性气味。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jc w:val="center"/>
        </w:trPr>
        <w:tc>
          <w:tcPr>
            <w:tcW w:w="476" w:type="dxa"/>
            <w:vMerge w:val="continue"/>
            <w:vAlign w:val="center"/>
          </w:tcPr>
          <w:p>
            <w:pPr>
              <w:widowControl/>
              <w:spacing w:line="360" w:lineRule="auto"/>
              <w:rPr>
                <w:rFonts w:ascii="宋体" w:hAnsi="宋体" w:eastAsia="宋体"/>
                <w:color w:val="auto"/>
                <w:spacing w:val="10"/>
                <w:sz w:val="21"/>
                <w:szCs w:val="21"/>
              </w:rPr>
            </w:pPr>
          </w:p>
        </w:tc>
        <w:tc>
          <w:tcPr>
            <w:tcW w:w="1558" w:type="dxa"/>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熔点（℃）</w:t>
            </w:r>
          </w:p>
        </w:tc>
        <w:tc>
          <w:tcPr>
            <w:tcW w:w="1202" w:type="dxa"/>
            <w:vAlign w:val="center"/>
          </w:tcPr>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w:t>
            </w:r>
          </w:p>
        </w:tc>
        <w:tc>
          <w:tcPr>
            <w:tcW w:w="2218" w:type="dxa"/>
            <w:gridSpan w:val="4"/>
            <w:vAlign w:val="center"/>
          </w:tcPr>
          <w:p>
            <w:pPr>
              <w:spacing w:line="360" w:lineRule="auto"/>
              <w:jc w:val="center"/>
              <w:rPr>
                <w:rFonts w:ascii="宋体" w:hAnsi="宋体" w:eastAsia="宋体"/>
                <w:color w:val="auto"/>
                <w:spacing w:val="10"/>
                <w:sz w:val="21"/>
                <w:szCs w:val="21"/>
              </w:rPr>
            </w:pPr>
            <w:r>
              <w:rPr>
                <w:rFonts w:ascii="宋体" w:hAnsi="宋体" w:eastAsia="宋体"/>
                <w:color w:val="auto"/>
                <w:spacing w:val="10"/>
                <w:sz w:val="21"/>
                <w:szCs w:val="21"/>
              </w:rPr>
              <w:t>相对密度(水=1)</w:t>
            </w:r>
          </w:p>
        </w:tc>
        <w:tc>
          <w:tcPr>
            <w:tcW w:w="900" w:type="dxa"/>
            <w:gridSpan w:val="2"/>
            <w:vAlign w:val="center"/>
          </w:tcPr>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w:t>
            </w:r>
          </w:p>
        </w:tc>
        <w:tc>
          <w:tcPr>
            <w:tcW w:w="2160" w:type="dxa"/>
            <w:gridSpan w:val="2"/>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相对密度(空气=1)</w:t>
            </w:r>
          </w:p>
        </w:tc>
        <w:tc>
          <w:tcPr>
            <w:tcW w:w="665" w:type="dxa"/>
            <w:vAlign w:val="center"/>
          </w:tcPr>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6" w:hRule="atLeast"/>
          <w:jc w:val="center"/>
        </w:trPr>
        <w:tc>
          <w:tcPr>
            <w:tcW w:w="476" w:type="dxa"/>
            <w:vMerge w:val="continue"/>
            <w:vAlign w:val="center"/>
          </w:tcPr>
          <w:p>
            <w:pPr>
              <w:widowControl/>
              <w:spacing w:line="360" w:lineRule="auto"/>
              <w:rPr>
                <w:rFonts w:ascii="宋体" w:hAnsi="宋体" w:eastAsia="宋体"/>
                <w:color w:val="auto"/>
                <w:spacing w:val="10"/>
                <w:sz w:val="21"/>
                <w:szCs w:val="21"/>
              </w:rPr>
            </w:pPr>
          </w:p>
        </w:tc>
        <w:tc>
          <w:tcPr>
            <w:tcW w:w="1558" w:type="dxa"/>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沸点（℃）</w:t>
            </w:r>
          </w:p>
        </w:tc>
        <w:tc>
          <w:tcPr>
            <w:tcW w:w="1202" w:type="dxa"/>
            <w:vAlign w:val="center"/>
          </w:tcPr>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w:t>
            </w:r>
          </w:p>
        </w:tc>
        <w:tc>
          <w:tcPr>
            <w:tcW w:w="3118" w:type="dxa"/>
            <w:gridSpan w:val="6"/>
            <w:vAlign w:val="center"/>
          </w:tcPr>
          <w:p>
            <w:pPr>
              <w:spacing w:line="360" w:lineRule="auto"/>
              <w:ind w:left="-40"/>
              <w:jc w:val="center"/>
              <w:rPr>
                <w:rFonts w:ascii="宋体" w:hAnsi="宋体" w:eastAsia="宋体"/>
                <w:color w:val="auto"/>
                <w:spacing w:val="10"/>
                <w:sz w:val="21"/>
                <w:szCs w:val="21"/>
              </w:rPr>
            </w:pPr>
            <w:r>
              <w:rPr>
                <w:rFonts w:ascii="宋体" w:hAnsi="宋体" w:eastAsia="宋体"/>
                <w:color w:val="auto"/>
                <w:spacing w:val="10"/>
                <w:sz w:val="21"/>
                <w:szCs w:val="21"/>
              </w:rPr>
              <w:t>饱和蒸气压（kPa）</w:t>
            </w:r>
          </w:p>
        </w:tc>
        <w:tc>
          <w:tcPr>
            <w:tcW w:w="2825" w:type="dxa"/>
            <w:gridSpan w:val="3"/>
            <w:vAlign w:val="center"/>
          </w:tcPr>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8" w:hRule="atLeast"/>
          <w:jc w:val="center"/>
        </w:trPr>
        <w:tc>
          <w:tcPr>
            <w:tcW w:w="476" w:type="dxa"/>
            <w:vMerge w:val="continue"/>
            <w:vAlign w:val="center"/>
          </w:tcPr>
          <w:p>
            <w:pPr>
              <w:widowControl/>
              <w:spacing w:line="360" w:lineRule="auto"/>
              <w:rPr>
                <w:rFonts w:ascii="宋体" w:hAnsi="宋体" w:eastAsia="宋体"/>
                <w:color w:val="auto"/>
                <w:spacing w:val="10"/>
                <w:sz w:val="21"/>
                <w:szCs w:val="21"/>
              </w:rPr>
            </w:pPr>
          </w:p>
        </w:tc>
        <w:tc>
          <w:tcPr>
            <w:tcW w:w="1558" w:type="dxa"/>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溶解性</w:t>
            </w:r>
          </w:p>
        </w:tc>
        <w:tc>
          <w:tcPr>
            <w:tcW w:w="7145" w:type="dxa"/>
            <w:gridSpan w:val="10"/>
            <w:vAlign w:val="center"/>
          </w:tcPr>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不溶于水，溶于多数有机溶剂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 w:hRule="atLeast"/>
          <w:jc w:val="center"/>
        </w:trPr>
        <w:tc>
          <w:tcPr>
            <w:tcW w:w="476" w:type="dxa"/>
            <w:vMerge w:val="continue"/>
            <w:vAlign w:val="center"/>
          </w:tcPr>
          <w:p>
            <w:pPr>
              <w:widowControl/>
              <w:spacing w:line="360" w:lineRule="auto"/>
              <w:rPr>
                <w:rFonts w:ascii="宋体" w:hAnsi="宋体" w:eastAsia="宋体"/>
                <w:color w:val="auto"/>
                <w:spacing w:val="10"/>
                <w:sz w:val="21"/>
                <w:szCs w:val="21"/>
              </w:rPr>
            </w:pPr>
          </w:p>
        </w:tc>
        <w:tc>
          <w:tcPr>
            <w:tcW w:w="1558" w:type="dxa"/>
            <w:vAlign w:val="center"/>
          </w:tcPr>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危险性类别</w:t>
            </w:r>
          </w:p>
        </w:tc>
        <w:tc>
          <w:tcPr>
            <w:tcW w:w="7145" w:type="dxa"/>
            <w:gridSpan w:val="10"/>
            <w:vAlign w:val="center"/>
          </w:tcPr>
          <w:p>
            <w:pPr>
              <w:spacing w:line="360" w:lineRule="auto"/>
              <w:rPr>
                <w:rFonts w:ascii="宋体" w:hAnsi="宋体" w:eastAsia="宋体"/>
                <w:color w:val="auto"/>
                <w:spacing w:val="10"/>
                <w:sz w:val="21"/>
                <w:szCs w:val="21"/>
                <w:lang w:eastAsia="zh-CN"/>
              </w:rPr>
            </w:pPr>
            <w:r>
              <w:rPr>
                <w:rFonts w:hint="eastAsia" w:ascii="宋体" w:hAnsi="宋体" w:eastAsia="宋体" w:cs="宋体"/>
                <w:color w:val="auto"/>
                <w:sz w:val="21"/>
                <w:szCs w:val="21"/>
              </w:rPr>
              <w:t>易燃液体，类别</w:t>
            </w:r>
            <w:r>
              <w:rPr>
                <w:rFonts w:hint="eastAsia" w:ascii="宋体" w:hAnsi="宋体" w:eastAsia="宋体" w:cs="宋体"/>
                <w:color w:val="auto"/>
                <w:sz w:val="21"/>
                <w:szCs w:val="21"/>
                <w:lang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0" w:hRule="atLeast"/>
          <w:jc w:val="center"/>
        </w:trPr>
        <w:tc>
          <w:tcPr>
            <w:tcW w:w="476" w:type="dxa"/>
            <w:vMerge w:val="restart"/>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毒</w:t>
            </w:r>
          </w:p>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性及健康危害</w:t>
            </w:r>
          </w:p>
        </w:tc>
        <w:tc>
          <w:tcPr>
            <w:tcW w:w="1558" w:type="dxa"/>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侵入途径</w:t>
            </w:r>
          </w:p>
        </w:tc>
        <w:tc>
          <w:tcPr>
            <w:tcW w:w="7145" w:type="dxa"/>
            <w:gridSpan w:val="10"/>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吸入</w:t>
            </w:r>
            <w:r>
              <w:rPr>
                <w:rFonts w:hint="eastAsia" w:ascii="宋体" w:hAnsi="宋体" w:eastAsia="宋体"/>
                <w:color w:val="auto"/>
                <w:spacing w:val="10"/>
                <w:sz w:val="21"/>
                <w:szCs w:val="21"/>
              </w:rPr>
              <w:t>、</w:t>
            </w:r>
            <w:r>
              <w:rPr>
                <w:rFonts w:ascii="宋体" w:hAnsi="宋体" w:eastAsia="宋体"/>
                <w:color w:val="auto"/>
                <w:spacing w:val="10"/>
                <w:sz w:val="21"/>
                <w:szCs w:val="21"/>
              </w:rPr>
              <w:t>食入</w:t>
            </w:r>
            <w:r>
              <w:rPr>
                <w:rFonts w:hint="eastAsia" w:ascii="宋体" w:hAnsi="宋体" w:eastAsia="宋体"/>
                <w:color w:val="auto"/>
                <w:spacing w:val="10"/>
                <w:sz w:val="21"/>
                <w:szCs w:val="21"/>
              </w:rPr>
              <w:t>、</w:t>
            </w:r>
            <w:r>
              <w:rPr>
                <w:rFonts w:ascii="宋体" w:hAnsi="宋体" w:eastAsia="宋体"/>
                <w:color w:val="auto"/>
                <w:spacing w:val="10"/>
                <w:sz w:val="21"/>
                <w:szCs w:val="21"/>
              </w:rPr>
              <w:t>经皮吸收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7" w:hRule="atLeast"/>
          <w:jc w:val="center"/>
        </w:trPr>
        <w:tc>
          <w:tcPr>
            <w:tcW w:w="476" w:type="dxa"/>
            <w:vMerge w:val="continue"/>
            <w:vAlign w:val="center"/>
          </w:tcPr>
          <w:p>
            <w:pPr>
              <w:widowControl/>
              <w:spacing w:line="360" w:lineRule="auto"/>
              <w:rPr>
                <w:rFonts w:ascii="宋体" w:hAnsi="宋体" w:eastAsia="宋体"/>
                <w:color w:val="auto"/>
                <w:spacing w:val="10"/>
                <w:sz w:val="21"/>
                <w:szCs w:val="21"/>
              </w:rPr>
            </w:pPr>
          </w:p>
        </w:tc>
        <w:tc>
          <w:tcPr>
            <w:tcW w:w="1558" w:type="dxa"/>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毒性</w:t>
            </w:r>
          </w:p>
        </w:tc>
        <w:tc>
          <w:tcPr>
            <w:tcW w:w="7145" w:type="dxa"/>
            <w:gridSpan w:val="10"/>
            <w:vAlign w:val="center"/>
          </w:tcPr>
          <w:p>
            <w:pPr>
              <w:spacing w:line="360" w:lineRule="auto"/>
              <w:ind w:left="-4"/>
              <w:rPr>
                <w:rFonts w:ascii="宋体" w:hAnsi="宋体" w:eastAsia="宋体"/>
                <w:color w:val="auto"/>
                <w:sz w:val="21"/>
                <w:szCs w:val="21"/>
              </w:rPr>
            </w:pPr>
            <w:r>
              <w:rPr>
                <w:rFonts w:ascii="宋体" w:hAnsi="宋体" w:eastAsia="宋体"/>
                <w:color w:val="auto"/>
                <w:spacing w:val="10"/>
                <w:sz w:val="21"/>
                <w:szCs w:val="21"/>
              </w:rPr>
              <w:t xml:space="preserve"> LD</w:t>
            </w:r>
            <w:r>
              <w:rPr>
                <w:rFonts w:ascii="宋体" w:hAnsi="宋体" w:eastAsia="宋体"/>
                <w:color w:val="auto"/>
                <w:spacing w:val="10"/>
                <w:sz w:val="21"/>
                <w:szCs w:val="21"/>
                <w:vertAlign w:val="subscript"/>
              </w:rPr>
              <w:t>50</w:t>
            </w:r>
            <w:r>
              <w:rPr>
                <w:rFonts w:ascii="宋体" w:hAnsi="宋体" w:eastAsia="宋体"/>
                <w:color w:val="auto"/>
                <w:spacing w:val="10"/>
                <w:sz w:val="21"/>
                <w:szCs w:val="21"/>
              </w:rPr>
              <w:t>：</w:t>
            </w:r>
            <w:r>
              <w:rPr>
                <w:rFonts w:hint="eastAsia" w:ascii="宋体" w:hAnsi="宋体" w:eastAsia="宋体"/>
                <w:color w:val="auto"/>
                <w:spacing w:val="1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9" w:hRule="atLeast"/>
          <w:jc w:val="center"/>
        </w:trPr>
        <w:tc>
          <w:tcPr>
            <w:tcW w:w="476" w:type="dxa"/>
            <w:vMerge w:val="continue"/>
            <w:vAlign w:val="center"/>
          </w:tcPr>
          <w:p>
            <w:pPr>
              <w:widowControl/>
              <w:spacing w:line="360" w:lineRule="auto"/>
              <w:rPr>
                <w:rFonts w:ascii="宋体" w:hAnsi="宋体" w:eastAsia="宋体"/>
                <w:color w:val="auto"/>
                <w:spacing w:val="10"/>
                <w:sz w:val="21"/>
                <w:szCs w:val="21"/>
              </w:rPr>
            </w:pPr>
          </w:p>
        </w:tc>
        <w:tc>
          <w:tcPr>
            <w:tcW w:w="1558" w:type="dxa"/>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健康危害</w:t>
            </w:r>
          </w:p>
        </w:tc>
        <w:tc>
          <w:tcPr>
            <w:tcW w:w="7145" w:type="dxa"/>
            <w:gridSpan w:val="10"/>
            <w:vAlign w:val="center"/>
          </w:tcPr>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蒸气对眼睛、呼吸系统有刺激性，吸入高浓度蒸气可引起麻醉症状。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8" w:hRule="atLeast"/>
          <w:jc w:val="center"/>
        </w:trPr>
        <w:tc>
          <w:tcPr>
            <w:tcW w:w="476" w:type="dxa"/>
            <w:vMerge w:val="continue"/>
            <w:vAlign w:val="center"/>
          </w:tcPr>
          <w:p>
            <w:pPr>
              <w:widowControl/>
              <w:spacing w:line="360" w:lineRule="auto"/>
              <w:rPr>
                <w:rFonts w:ascii="宋体" w:hAnsi="宋体" w:eastAsia="宋体"/>
                <w:color w:val="auto"/>
                <w:spacing w:val="10"/>
                <w:sz w:val="21"/>
                <w:szCs w:val="21"/>
              </w:rPr>
            </w:pPr>
          </w:p>
        </w:tc>
        <w:tc>
          <w:tcPr>
            <w:tcW w:w="1558" w:type="dxa"/>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急救方法</w:t>
            </w:r>
          </w:p>
        </w:tc>
        <w:tc>
          <w:tcPr>
            <w:tcW w:w="7145" w:type="dxa"/>
            <w:gridSpan w:val="10"/>
            <w:vAlign w:val="center"/>
          </w:tcPr>
          <w:p>
            <w:pPr>
              <w:widowControl/>
              <w:shd w:val="clear" w:color="auto" w:fill="FFFFFF"/>
              <w:spacing w:line="360" w:lineRule="auto"/>
              <w:rPr>
                <w:rFonts w:ascii="宋体" w:hAnsi="宋体" w:eastAsia="宋体" w:cs="Arial"/>
                <w:color w:val="auto"/>
                <w:sz w:val="21"/>
                <w:szCs w:val="21"/>
              </w:rPr>
            </w:pPr>
            <w:r>
              <w:rPr>
                <w:rFonts w:hint="eastAsia" w:ascii="宋体" w:hAnsi="宋体" w:eastAsia="宋体" w:cs="Arial"/>
                <w:color w:val="auto"/>
                <w:sz w:val="21"/>
                <w:szCs w:val="21"/>
              </w:rPr>
              <w:t>应使患者脱离污染区，安置休息并保暖。皮肤接触先用稀料擦清油污，再用肥皂水彻底清洗。误服立即漱口，就医。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476" w:type="dxa"/>
            <w:vMerge w:val="restart"/>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燃</w:t>
            </w:r>
          </w:p>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烧爆炸危险性</w:t>
            </w:r>
          </w:p>
        </w:tc>
        <w:tc>
          <w:tcPr>
            <w:tcW w:w="1558" w:type="dxa"/>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燃烧性</w:t>
            </w:r>
          </w:p>
        </w:tc>
        <w:tc>
          <w:tcPr>
            <w:tcW w:w="1800" w:type="dxa"/>
            <w:gridSpan w:val="3"/>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易燃</w:t>
            </w:r>
          </w:p>
        </w:tc>
        <w:tc>
          <w:tcPr>
            <w:tcW w:w="2520" w:type="dxa"/>
            <w:gridSpan w:val="4"/>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燃烧分解物</w:t>
            </w:r>
          </w:p>
        </w:tc>
        <w:tc>
          <w:tcPr>
            <w:tcW w:w="2825" w:type="dxa"/>
            <w:gridSpan w:val="3"/>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一氧化碳</w:t>
            </w:r>
            <w:r>
              <w:rPr>
                <w:rFonts w:hint="eastAsia" w:ascii="宋体" w:hAnsi="宋体" w:eastAsia="宋体"/>
                <w:color w:val="auto"/>
                <w:spacing w:val="10"/>
                <w:sz w:val="21"/>
                <w:szCs w:val="21"/>
              </w:rPr>
              <w:t>、</w:t>
            </w:r>
            <w:r>
              <w:rPr>
                <w:rFonts w:ascii="宋体" w:hAnsi="宋体" w:eastAsia="宋体"/>
                <w:color w:val="auto"/>
                <w:spacing w:val="10"/>
                <w:sz w:val="21"/>
                <w:szCs w:val="21"/>
              </w:rPr>
              <w:t>二氧化碳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9" w:hRule="atLeast"/>
          <w:jc w:val="center"/>
        </w:trPr>
        <w:tc>
          <w:tcPr>
            <w:tcW w:w="476" w:type="dxa"/>
            <w:vMerge w:val="continue"/>
            <w:vAlign w:val="center"/>
          </w:tcPr>
          <w:p>
            <w:pPr>
              <w:widowControl/>
              <w:spacing w:line="360" w:lineRule="auto"/>
              <w:rPr>
                <w:rFonts w:ascii="宋体" w:hAnsi="宋体" w:eastAsia="宋体"/>
                <w:color w:val="auto"/>
                <w:spacing w:val="10"/>
                <w:sz w:val="21"/>
                <w:szCs w:val="21"/>
              </w:rPr>
            </w:pPr>
          </w:p>
        </w:tc>
        <w:tc>
          <w:tcPr>
            <w:tcW w:w="1558" w:type="dxa"/>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闪点(℃)</w:t>
            </w:r>
          </w:p>
        </w:tc>
        <w:tc>
          <w:tcPr>
            <w:tcW w:w="1800" w:type="dxa"/>
            <w:gridSpan w:val="3"/>
            <w:vAlign w:val="center"/>
          </w:tcPr>
          <w:p>
            <w:pPr>
              <w:spacing w:line="360" w:lineRule="auto"/>
              <w:rPr>
                <w:rFonts w:ascii="宋体" w:hAnsi="宋体" w:eastAsia="宋体"/>
                <w:color w:val="auto"/>
                <w:spacing w:val="10"/>
                <w:sz w:val="21"/>
                <w:szCs w:val="21"/>
                <w:lang w:eastAsia="zh-CN"/>
              </w:rPr>
            </w:pPr>
            <w:r>
              <w:rPr>
                <w:rFonts w:hint="eastAsia" w:ascii="宋体" w:hAnsi="宋体" w:eastAsia="宋体"/>
                <w:color w:val="auto"/>
                <w:spacing w:val="10"/>
                <w:sz w:val="21"/>
                <w:szCs w:val="21"/>
                <w:lang w:eastAsia="zh-CN"/>
              </w:rPr>
              <w:t>25</w:t>
            </w:r>
          </w:p>
        </w:tc>
        <w:tc>
          <w:tcPr>
            <w:tcW w:w="2520" w:type="dxa"/>
            <w:gridSpan w:val="4"/>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爆炸上限（v%）</w:t>
            </w:r>
          </w:p>
        </w:tc>
        <w:tc>
          <w:tcPr>
            <w:tcW w:w="2825" w:type="dxa"/>
            <w:gridSpan w:val="3"/>
            <w:vAlign w:val="center"/>
          </w:tcPr>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6" w:hRule="atLeast"/>
          <w:jc w:val="center"/>
        </w:trPr>
        <w:tc>
          <w:tcPr>
            <w:tcW w:w="476" w:type="dxa"/>
            <w:vMerge w:val="continue"/>
            <w:vAlign w:val="center"/>
          </w:tcPr>
          <w:p>
            <w:pPr>
              <w:widowControl/>
              <w:spacing w:line="360" w:lineRule="auto"/>
              <w:rPr>
                <w:rFonts w:ascii="宋体" w:hAnsi="宋体" w:eastAsia="宋体"/>
                <w:color w:val="auto"/>
                <w:spacing w:val="10"/>
                <w:sz w:val="21"/>
                <w:szCs w:val="21"/>
              </w:rPr>
            </w:pPr>
          </w:p>
        </w:tc>
        <w:tc>
          <w:tcPr>
            <w:tcW w:w="1558" w:type="dxa"/>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引燃温度(℃)</w:t>
            </w:r>
          </w:p>
        </w:tc>
        <w:tc>
          <w:tcPr>
            <w:tcW w:w="1800" w:type="dxa"/>
            <w:gridSpan w:val="3"/>
            <w:vAlign w:val="center"/>
          </w:tcPr>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w:t>
            </w:r>
          </w:p>
        </w:tc>
        <w:tc>
          <w:tcPr>
            <w:tcW w:w="2520" w:type="dxa"/>
            <w:gridSpan w:val="4"/>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爆炸下限（v%）</w:t>
            </w:r>
          </w:p>
        </w:tc>
        <w:tc>
          <w:tcPr>
            <w:tcW w:w="2825" w:type="dxa"/>
            <w:gridSpan w:val="3"/>
            <w:vAlign w:val="center"/>
          </w:tcPr>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8" w:hRule="atLeast"/>
          <w:jc w:val="center"/>
        </w:trPr>
        <w:tc>
          <w:tcPr>
            <w:tcW w:w="476" w:type="dxa"/>
            <w:vMerge w:val="continue"/>
            <w:vAlign w:val="center"/>
          </w:tcPr>
          <w:p>
            <w:pPr>
              <w:widowControl/>
              <w:spacing w:line="360" w:lineRule="auto"/>
              <w:rPr>
                <w:rFonts w:ascii="宋体" w:hAnsi="宋体" w:eastAsia="宋体"/>
                <w:color w:val="auto"/>
                <w:spacing w:val="10"/>
                <w:sz w:val="21"/>
                <w:szCs w:val="21"/>
              </w:rPr>
            </w:pPr>
          </w:p>
        </w:tc>
        <w:tc>
          <w:tcPr>
            <w:tcW w:w="1558" w:type="dxa"/>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危险特性</w:t>
            </w:r>
          </w:p>
        </w:tc>
        <w:tc>
          <w:tcPr>
            <w:tcW w:w="7145" w:type="dxa"/>
            <w:gridSpan w:val="10"/>
            <w:vAlign w:val="center"/>
          </w:tcPr>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易燃。蒸气能与空气形成爆炸性混合物，遇明火、高热、氧化剂有引</w:t>
            </w:r>
          </w:p>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起燃烧爆炸的危险。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0" w:hRule="atLeast"/>
          <w:jc w:val="center"/>
        </w:trPr>
        <w:tc>
          <w:tcPr>
            <w:tcW w:w="476" w:type="dxa"/>
            <w:vMerge w:val="continue"/>
            <w:vAlign w:val="center"/>
          </w:tcPr>
          <w:p>
            <w:pPr>
              <w:widowControl/>
              <w:spacing w:line="360" w:lineRule="auto"/>
              <w:rPr>
                <w:rFonts w:ascii="宋体" w:hAnsi="宋体" w:eastAsia="宋体"/>
                <w:color w:val="auto"/>
                <w:spacing w:val="10"/>
                <w:sz w:val="21"/>
                <w:szCs w:val="21"/>
              </w:rPr>
            </w:pPr>
          </w:p>
        </w:tc>
        <w:tc>
          <w:tcPr>
            <w:tcW w:w="1558" w:type="dxa"/>
            <w:vAlign w:val="center"/>
          </w:tcPr>
          <w:p>
            <w:pPr>
              <w:spacing w:line="360" w:lineRule="auto"/>
              <w:rPr>
                <w:rFonts w:ascii="宋体" w:hAnsi="宋体" w:eastAsia="宋体"/>
                <w:color w:val="auto"/>
                <w:spacing w:val="4"/>
                <w:sz w:val="21"/>
                <w:szCs w:val="21"/>
              </w:rPr>
            </w:pPr>
            <w:r>
              <w:rPr>
                <w:rFonts w:ascii="宋体" w:hAnsi="宋体" w:eastAsia="宋体"/>
                <w:color w:val="auto"/>
                <w:spacing w:val="4"/>
                <w:sz w:val="21"/>
                <w:szCs w:val="21"/>
              </w:rPr>
              <w:t>建规火险分级</w:t>
            </w:r>
          </w:p>
        </w:tc>
        <w:tc>
          <w:tcPr>
            <w:tcW w:w="1800" w:type="dxa"/>
            <w:gridSpan w:val="3"/>
            <w:vAlign w:val="center"/>
          </w:tcPr>
          <w:p>
            <w:pPr>
              <w:spacing w:line="360" w:lineRule="auto"/>
              <w:rPr>
                <w:rFonts w:ascii="宋体" w:hAnsi="宋体" w:eastAsia="宋体"/>
                <w:color w:val="auto"/>
                <w:spacing w:val="10"/>
                <w:sz w:val="21"/>
                <w:szCs w:val="21"/>
                <w:lang w:eastAsia="zh-CN"/>
              </w:rPr>
            </w:pPr>
            <w:r>
              <w:rPr>
                <w:rFonts w:hint="eastAsia" w:ascii="宋体" w:hAnsi="宋体" w:eastAsia="宋体"/>
                <w:color w:val="auto"/>
                <w:spacing w:val="10"/>
                <w:sz w:val="21"/>
                <w:szCs w:val="21"/>
                <w:lang w:eastAsia="zh-CN"/>
              </w:rPr>
              <w:t>乙</w:t>
            </w:r>
          </w:p>
        </w:tc>
        <w:tc>
          <w:tcPr>
            <w:tcW w:w="1236" w:type="dxa"/>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稳定性</w:t>
            </w:r>
          </w:p>
        </w:tc>
        <w:tc>
          <w:tcPr>
            <w:tcW w:w="1284" w:type="dxa"/>
            <w:gridSpan w:val="3"/>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稳定</w:t>
            </w:r>
          </w:p>
        </w:tc>
        <w:tc>
          <w:tcPr>
            <w:tcW w:w="1455" w:type="dxa"/>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聚合危害</w:t>
            </w:r>
          </w:p>
        </w:tc>
        <w:tc>
          <w:tcPr>
            <w:tcW w:w="1370" w:type="dxa"/>
            <w:gridSpan w:val="2"/>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不聚合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8" w:hRule="atLeast"/>
          <w:jc w:val="center"/>
        </w:trPr>
        <w:tc>
          <w:tcPr>
            <w:tcW w:w="476" w:type="dxa"/>
            <w:vMerge w:val="continue"/>
            <w:vAlign w:val="center"/>
          </w:tcPr>
          <w:p>
            <w:pPr>
              <w:widowControl/>
              <w:spacing w:line="360" w:lineRule="auto"/>
              <w:rPr>
                <w:rFonts w:ascii="宋体" w:hAnsi="宋体" w:eastAsia="宋体"/>
                <w:color w:val="auto"/>
                <w:spacing w:val="10"/>
                <w:sz w:val="21"/>
                <w:szCs w:val="21"/>
              </w:rPr>
            </w:pPr>
          </w:p>
        </w:tc>
        <w:tc>
          <w:tcPr>
            <w:tcW w:w="1558" w:type="dxa"/>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禁忌物</w:t>
            </w:r>
          </w:p>
        </w:tc>
        <w:tc>
          <w:tcPr>
            <w:tcW w:w="7145" w:type="dxa"/>
            <w:gridSpan w:val="10"/>
            <w:vAlign w:val="center"/>
          </w:tcPr>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强氧化剂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2" w:hRule="atLeast"/>
          <w:jc w:val="center"/>
        </w:trPr>
        <w:tc>
          <w:tcPr>
            <w:tcW w:w="476" w:type="dxa"/>
            <w:vMerge w:val="continue"/>
            <w:vAlign w:val="center"/>
          </w:tcPr>
          <w:p>
            <w:pPr>
              <w:widowControl/>
              <w:spacing w:line="360" w:lineRule="auto"/>
              <w:rPr>
                <w:rFonts w:ascii="宋体" w:hAnsi="宋体" w:eastAsia="宋体"/>
                <w:color w:val="auto"/>
                <w:spacing w:val="10"/>
                <w:sz w:val="21"/>
                <w:szCs w:val="21"/>
              </w:rPr>
            </w:pPr>
          </w:p>
        </w:tc>
        <w:tc>
          <w:tcPr>
            <w:tcW w:w="1558" w:type="dxa"/>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储运条件</w:t>
            </w:r>
          </w:p>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与泄漏处理</w:t>
            </w:r>
          </w:p>
        </w:tc>
        <w:tc>
          <w:tcPr>
            <w:tcW w:w="7145" w:type="dxa"/>
            <w:gridSpan w:val="10"/>
            <w:vAlign w:val="center"/>
          </w:tcPr>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储运条件：储存于阴凉、通风的库房中。催化剂与清漆应隔离储存。与其他氧化剂隔离储运。远离火种、热源。搬运时轻装轻卸，防止容器破损。避免几种组分混杂。</w:t>
            </w:r>
          </w:p>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泄漏处理：首先切断一切火源，戴好防毒面具与手套。用砂土洗手，倒至空旷地方掩埋。被污染的地面，用油漆刀刮清。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76" w:type="dxa"/>
            <w:vMerge w:val="continue"/>
            <w:vAlign w:val="center"/>
          </w:tcPr>
          <w:p>
            <w:pPr>
              <w:widowControl/>
              <w:spacing w:line="360" w:lineRule="auto"/>
              <w:rPr>
                <w:rFonts w:ascii="宋体" w:hAnsi="宋体" w:eastAsia="宋体"/>
                <w:color w:val="auto"/>
                <w:spacing w:val="10"/>
                <w:sz w:val="21"/>
                <w:szCs w:val="21"/>
              </w:rPr>
            </w:pPr>
          </w:p>
        </w:tc>
        <w:tc>
          <w:tcPr>
            <w:tcW w:w="1558" w:type="dxa"/>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灭火方法</w:t>
            </w:r>
          </w:p>
        </w:tc>
        <w:tc>
          <w:tcPr>
            <w:tcW w:w="7145" w:type="dxa"/>
            <w:gridSpan w:val="10"/>
            <w:vAlign w:val="center"/>
          </w:tcPr>
          <w:p>
            <w:pPr>
              <w:spacing w:line="360" w:lineRule="auto"/>
              <w:ind w:left="-4"/>
              <w:rPr>
                <w:rFonts w:ascii="宋体" w:hAnsi="宋体" w:eastAsia="宋体"/>
                <w:color w:val="auto"/>
                <w:spacing w:val="10"/>
                <w:sz w:val="21"/>
                <w:szCs w:val="21"/>
              </w:rPr>
            </w:pPr>
            <w:r>
              <w:rPr>
                <w:rFonts w:hint="eastAsia" w:ascii="宋体" w:hAnsi="宋体" w:eastAsia="宋体"/>
                <w:color w:val="auto"/>
                <w:spacing w:val="10"/>
                <w:sz w:val="21"/>
                <w:szCs w:val="21"/>
              </w:rPr>
              <w:t>用泡沫、二氧化碳、干粉灭火剂灭火。消防人员应穿防毒面具与消防服。</w:t>
            </w:r>
          </w:p>
        </w:tc>
      </w:tr>
    </w:tbl>
    <w:p>
      <w:pPr>
        <w:spacing w:line="560" w:lineRule="exact"/>
        <w:jc w:val="center"/>
        <w:outlineLvl w:val="2"/>
        <w:rPr>
          <w:rFonts w:ascii="宋体" w:hAnsi="宋体" w:eastAsia="宋体" w:cs="Times New Roman"/>
          <w:b/>
          <w:bCs/>
          <w:color w:val="auto"/>
          <w:kern w:val="2"/>
          <w:lang w:val="en-US" w:bidi="ar-SA"/>
        </w:rPr>
      </w:pPr>
      <w:r>
        <w:rPr>
          <w:rFonts w:hint="eastAsia" w:ascii="宋体" w:hAnsi="宋体" w:eastAsia="宋体" w:cs="Times New Roman"/>
          <w:b/>
          <w:bCs/>
          <w:color w:val="auto"/>
          <w:kern w:val="2"/>
          <w:lang w:val="en-US" w:bidi="ar-SA"/>
        </w:rPr>
        <w:t>附表1-6</w:t>
      </w:r>
      <w:r>
        <w:rPr>
          <w:rFonts w:hint="eastAsia" w:ascii="宋体" w:hAnsi="宋体" w:eastAsia="宋体" w:cs="Times New Roman"/>
          <w:b/>
          <w:bCs/>
          <w:color w:val="auto"/>
          <w:kern w:val="2"/>
          <w:lang w:val="en-US" w:eastAsia="zh-CN" w:bidi="ar-SA"/>
        </w:rPr>
        <w:t>硝基清漆</w:t>
      </w:r>
      <w:r>
        <w:rPr>
          <w:rFonts w:ascii="宋体" w:hAnsi="宋体" w:eastAsia="宋体" w:cs="Times New Roman"/>
          <w:b/>
          <w:bCs/>
          <w:color w:val="auto"/>
          <w:kern w:val="2"/>
          <w:lang w:val="en-US" w:eastAsia="zh-CN" w:bidi="ar-SA"/>
        </w:rPr>
        <w:t>的理化性质及危险特性</w:t>
      </w:r>
    </w:p>
    <w:tbl>
      <w:tblPr>
        <w:tblStyle w:val="45"/>
        <w:tblW w:w="91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6"/>
        <w:gridCol w:w="1558"/>
        <w:gridCol w:w="1202"/>
        <w:gridCol w:w="255"/>
        <w:gridCol w:w="343"/>
        <w:gridCol w:w="1236"/>
        <w:gridCol w:w="384"/>
        <w:gridCol w:w="370"/>
        <w:gridCol w:w="530"/>
        <w:gridCol w:w="1455"/>
        <w:gridCol w:w="705"/>
        <w:gridCol w:w="6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9" w:hRule="atLeast"/>
          <w:jc w:val="center"/>
        </w:trPr>
        <w:tc>
          <w:tcPr>
            <w:tcW w:w="476" w:type="dxa"/>
            <w:vMerge w:val="restart"/>
            <w:vAlign w:val="center"/>
          </w:tcPr>
          <w:p>
            <w:pPr>
              <w:spacing w:line="360" w:lineRule="auto"/>
              <w:rPr>
                <w:rFonts w:ascii="宋体" w:hAnsi="宋体" w:eastAsia="宋体"/>
                <w:color w:val="auto"/>
                <w:spacing w:val="10"/>
                <w:sz w:val="21"/>
                <w:szCs w:val="21"/>
              </w:rPr>
            </w:pPr>
            <w:bookmarkStart w:id="163" w:name="_Toc174954602"/>
            <w:bookmarkStart w:id="164" w:name="_Toc524426339"/>
            <w:r>
              <w:rPr>
                <w:rFonts w:ascii="宋体" w:hAnsi="宋体" w:eastAsia="宋体"/>
                <w:color w:val="auto"/>
                <w:spacing w:val="10"/>
                <w:sz w:val="21"/>
                <w:szCs w:val="21"/>
              </w:rPr>
              <w:t>标</w:t>
            </w:r>
          </w:p>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识</w:t>
            </w:r>
          </w:p>
        </w:tc>
        <w:tc>
          <w:tcPr>
            <w:tcW w:w="5348" w:type="dxa"/>
            <w:gridSpan w:val="7"/>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中文名</w:t>
            </w:r>
            <w:r>
              <w:rPr>
                <w:rFonts w:hint="eastAsia" w:ascii="宋体" w:hAnsi="宋体" w:eastAsia="宋体"/>
                <w:color w:val="auto"/>
                <w:spacing w:val="10"/>
                <w:sz w:val="21"/>
                <w:szCs w:val="21"/>
              </w:rPr>
              <w:t>：</w:t>
            </w:r>
            <w:r>
              <w:rPr>
                <w:rFonts w:hint="eastAsia" w:ascii="宋体" w:hAnsi="宋体" w:eastAsia="宋体"/>
                <w:color w:val="auto"/>
                <w:sz w:val="21"/>
                <w:szCs w:val="21"/>
              </w:rPr>
              <w:t>硝基清漆</w:t>
            </w:r>
          </w:p>
        </w:tc>
        <w:tc>
          <w:tcPr>
            <w:tcW w:w="3355" w:type="dxa"/>
            <w:gridSpan w:val="4"/>
            <w:vAlign w:val="center"/>
          </w:tcPr>
          <w:p>
            <w:pPr>
              <w:spacing w:line="360" w:lineRule="auto"/>
              <w:rPr>
                <w:rFonts w:ascii="宋体" w:hAnsi="宋体" w:eastAsia="宋体"/>
                <w:color w:val="auto"/>
                <w:spacing w:val="10"/>
                <w:sz w:val="21"/>
                <w:szCs w:val="21"/>
              </w:rPr>
            </w:pPr>
            <w:r>
              <w:rPr>
                <w:rFonts w:hint="eastAsia" w:ascii="宋体" w:hAnsi="宋体" w:eastAsia="宋体"/>
                <w:color w:val="auto"/>
                <w:sz w:val="21"/>
                <w:szCs w:val="21"/>
              </w:rPr>
              <w:t>危险化学品的目录序号：2828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5" w:hRule="atLeast"/>
          <w:jc w:val="center"/>
        </w:trPr>
        <w:tc>
          <w:tcPr>
            <w:tcW w:w="476" w:type="dxa"/>
            <w:vMerge w:val="continue"/>
            <w:vAlign w:val="center"/>
          </w:tcPr>
          <w:p>
            <w:pPr>
              <w:widowControl/>
              <w:spacing w:line="360" w:lineRule="auto"/>
              <w:rPr>
                <w:rFonts w:ascii="宋体" w:hAnsi="宋体" w:eastAsia="宋体"/>
                <w:color w:val="auto"/>
                <w:spacing w:val="10"/>
                <w:sz w:val="21"/>
                <w:szCs w:val="21"/>
              </w:rPr>
            </w:pPr>
          </w:p>
        </w:tc>
        <w:tc>
          <w:tcPr>
            <w:tcW w:w="5878" w:type="dxa"/>
            <w:gridSpan w:val="8"/>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英文名：nitrocellulose</w:t>
            </w:r>
            <w:r>
              <w:rPr>
                <w:rFonts w:hint="eastAsia" w:ascii="宋体" w:hAnsi="宋体" w:eastAsia="MS Mincho" w:cs="MS Mincho"/>
                <w:color w:val="auto"/>
                <w:spacing w:val="10"/>
                <w:sz w:val="21"/>
                <w:szCs w:val="21"/>
              </w:rPr>
              <w:t> </w:t>
            </w:r>
            <w:r>
              <w:rPr>
                <w:rFonts w:hint="eastAsia" w:ascii="宋体" w:hAnsi="宋体" w:eastAsia="宋体" w:cs="宋体"/>
                <w:color w:val="auto"/>
                <w:spacing w:val="10"/>
                <w:sz w:val="21"/>
                <w:szCs w:val="21"/>
              </w:rPr>
              <w:t>varnish</w:t>
            </w:r>
          </w:p>
        </w:tc>
        <w:tc>
          <w:tcPr>
            <w:tcW w:w="2825" w:type="dxa"/>
            <w:gridSpan w:val="3"/>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UN编号：</w:t>
            </w:r>
            <w:r>
              <w:rPr>
                <w:rFonts w:hint="eastAsia" w:ascii="宋体" w:hAnsi="宋体" w:eastAsia="宋体"/>
                <w:color w:val="auto"/>
                <w:spacing w:val="10"/>
                <w:sz w:val="21"/>
                <w:szCs w:val="21"/>
              </w:rPr>
              <w:t>1139、1263、1293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1" w:hRule="atLeast"/>
          <w:jc w:val="center"/>
        </w:trPr>
        <w:tc>
          <w:tcPr>
            <w:tcW w:w="476" w:type="dxa"/>
            <w:vMerge w:val="continue"/>
            <w:vAlign w:val="center"/>
          </w:tcPr>
          <w:p>
            <w:pPr>
              <w:widowControl/>
              <w:spacing w:line="360" w:lineRule="auto"/>
              <w:rPr>
                <w:rFonts w:ascii="宋体" w:hAnsi="宋体" w:eastAsia="宋体"/>
                <w:color w:val="auto"/>
                <w:spacing w:val="10"/>
                <w:sz w:val="21"/>
                <w:szCs w:val="21"/>
              </w:rPr>
            </w:pPr>
          </w:p>
        </w:tc>
        <w:tc>
          <w:tcPr>
            <w:tcW w:w="3015" w:type="dxa"/>
            <w:gridSpan w:val="3"/>
            <w:vAlign w:val="center"/>
          </w:tcPr>
          <w:p>
            <w:pPr>
              <w:spacing w:line="360" w:lineRule="auto"/>
              <w:ind w:left="880" w:hanging="920" w:hangingChars="400"/>
              <w:rPr>
                <w:rFonts w:ascii="宋体" w:hAnsi="宋体" w:eastAsia="宋体"/>
                <w:color w:val="auto"/>
                <w:spacing w:val="10"/>
                <w:sz w:val="21"/>
                <w:szCs w:val="21"/>
              </w:rPr>
            </w:pPr>
            <w:r>
              <w:rPr>
                <w:rFonts w:ascii="宋体" w:hAnsi="宋体" w:eastAsia="宋体"/>
                <w:color w:val="auto"/>
                <w:spacing w:val="10"/>
                <w:sz w:val="21"/>
                <w:szCs w:val="21"/>
              </w:rPr>
              <w:t>分子式：</w:t>
            </w:r>
            <w:r>
              <w:rPr>
                <w:rFonts w:hint="eastAsia" w:ascii="宋体" w:hAnsi="宋体" w:eastAsia="宋体"/>
                <w:color w:val="auto"/>
                <w:spacing w:val="10"/>
                <w:sz w:val="21"/>
                <w:szCs w:val="21"/>
              </w:rPr>
              <w:t>/</w:t>
            </w:r>
          </w:p>
        </w:tc>
        <w:tc>
          <w:tcPr>
            <w:tcW w:w="2863" w:type="dxa"/>
            <w:gridSpan w:val="5"/>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分子量：</w:t>
            </w:r>
            <w:r>
              <w:rPr>
                <w:rFonts w:hint="eastAsia" w:ascii="宋体" w:hAnsi="宋体" w:eastAsia="宋体"/>
                <w:color w:val="auto"/>
                <w:spacing w:val="10"/>
                <w:sz w:val="21"/>
                <w:szCs w:val="21"/>
              </w:rPr>
              <w:t>/</w:t>
            </w:r>
          </w:p>
        </w:tc>
        <w:tc>
          <w:tcPr>
            <w:tcW w:w="2825" w:type="dxa"/>
            <w:gridSpan w:val="3"/>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CAS号：</w:t>
            </w:r>
            <w:r>
              <w:rPr>
                <w:rFonts w:hint="eastAsia" w:ascii="宋体" w:hAnsi="宋体" w:eastAsia="宋体"/>
                <w:color w:val="auto"/>
                <w:spacing w:val="1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476" w:type="dxa"/>
            <w:vMerge w:val="restart"/>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理</w:t>
            </w:r>
          </w:p>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化性质</w:t>
            </w:r>
          </w:p>
        </w:tc>
        <w:tc>
          <w:tcPr>
            <w:tcW w:w="1558" w:type="dxa"/>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外观与性状</w:t>
            </w:r>
          </w:p>
        </w:tc>
        <w:tc>
          <w:tcPr>
            <w:tcW w:w="7145" w:type="dxa"/>
            <w:gridSpan w:val="10"/>
            <w:vAlign w:val="center"/>
          </w:tcPr>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由硝化棉、树脂、增韧剂溶于酯、醇、苯类混合溶剂中制成,有刺激性气味。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jc w:val="center"/>
        </w:trPr>
        <w:tc>
          <w:tcPr>
            <w:tcW w:w="476" w:type="dxa"/>
            <w:vMerge w:val="continue"/>
            <w:vAlign w:val="center"/>
          </w:tcPr>
          <w:p>
            <w:pPr>
              <w:widowControl/>
              <w:spacing w:line="360" w:lineRule="auto"/>
              <w:rPr>
                <w:rFonts w:ascii="宋体" w:hAnsi="宋体" w:eastAsia="宋体"/>
                <w:color w:val="auto"/>
                <w:spacing w:val="10"/>
                <w:sz w:val="21"/>
                <w:szCs w:val="21"/>
              </w:rPr>
            </w:pPr>
          </w:p>
        </w:tc>
        <w:tc>
          <w:tcPr>
            <w:tcW w:w="1558" w:type="dxa"/>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熔点（℃）</w:t>
            </w:r>
          </w:p>
        </w:tc>
        <w:tc>
          <w:tcPr>
            <w:tcW w:w="1202" w:type="dxa"/>
            <w:vAlign w:val="center"/>
          </w:tcPr>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w:t>
            </w:r>
          </w:p>
        </w:tc>
        <w:tc>
          <w:tcPr>
            <w:tcW w:w="2218" w:type="dxa"/>
            <w:gridSpan w:val="4"/>
            <w:vAlign w:val="center"/>
          </w:tcPr>
          <w:p>
            <w:pPr>
              <w:spacing w:line="360" w:lineRule="auto"/>
              <w:jc w:val="center"/>
              <w:rPr>
                <w:rFonts w:ascii="宋体" w:hAnsi="宋体" w:eastAsia="宋体"/>
                <w:color w:val="auto"/>
                <w:spacing w:val="10"/>
                <w:sz w:val="21"/>
                <w:szCs w:val="21"/>
              </w:rPr>
            </w:pPr>
            <w:r>
              <w:rPr>
                <w:rFonts w:ascii="宋体" w:hAnsi="宋体" w:eastAsia="宋体"/>
                <w:color w:val="auto"/>
                <w:spacing w:val="10"/>
                <w:sz w:val="21"/>
                <w:szCs w:val="21"/>
              </w:rPr>
              <w:t>相对密度(水=1)</w:t>
            </w:r>
          </w:p>
        </w:tc>
        <w:tc>
          <w:tcPr>
            <w:tcW w:w="900" w:type="dxa"/>
            <w:gridSpan w:val="2"/>
            <w:vAlign w:val="center"/>
          </w:tcPr>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w:t>
            </w:r>
          </w:p>
        </w:tc>
        <w:tc>
          <w:tcPr>
            <w:tcW w:w="2160" w:type="dxa"/>
            <w:gridSpan w:val="2"/>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相对密度(空气=1)</w:t>
            </w:r>
          </w:p>
        </w:tc>
        <w:tc>
          <w:tcPr>
            <w:tcW w:w="665" w:type="dxa"/>
            <w:vAlign w:val="center"/>
          </w:tcPr>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6" w:hRule="atLeast"/>
          <w:jc w:val="center"/>
        </w:trPr>
        <w:tc>
          <w:tcPr>
            <w:tcW w:w="476" w:type="dxa"/>
            <w:vMerge w:val="continue"/>
            <w:vAlign w:val="center"/>
          </w:tcPr>
          <w:p>
            <w:pPr>
              <w:widowControl/>
              <w:spacing w:line="360" w:lineRule="auto"/>
              <w:rPr>
                <w:rFonts w:ascii="宋体" w:hAnsi="宋体" w:eastAsia="宋体"/>
                <w:color w:val="auto"/>
                <w:spacing w:val="10"/>
                <w:sz w:val="21"/>
                <w:szCs w:val="21"/>
              </w:rPr>
            </w:pPr>
          </w:p>
        </w:tc>
        <w:tc>
          <w:tcPr>
            <w:tcW w:w="1558" w:type="dxa"/>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沸点（℃）</w:t>
            </w:r>
          </w:p>
        </w:tc>
        <w:tc>
          <w:tcPr>
            <w:tcW w:w="1202" w:type="dxa"/>
            <w:vAlign w:val="center"/>
          </w:tcPr>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w:t>
            </w:r>
          </w:p>
        </w:tc>
        <w:tc>
          <w:tcPr>
            <w:tcW w:w="3118" w:type="dxa"/>
            <w:gridSpan w:val="6"/>
            <w:vAlign w:val="center"/>
          </w:tcPr>
          <w:p>
            <w:pPr>
              <w:spacing w:line="360" w:lineRule="auto"/>
              <w:ind w:left="-40"/>
              <w:jc w:val="center"/>
              <w:rPr>
                <w:rFonts w:ascii="宋体" w:hAnsi="宋体" w:eastAsia="宋体"/>
                <w:color w:val="auto"/>
                <w:spacing w:val="10"/>
                <w:sz w:val="21"/>
                <w:szCs w:val="21"/>
              </w:rPr>
            </w:pPr>
            <w:r>
              <w:rPr>
                <w:rFonts w:ascii="宋体" w:hAnsi="宋体" w:eastAsia="宋体"/>
                <w:color w:val="auto"/>
                <w:spacing w:val="10"/>
                <w:sz w:val="21"/>
                <w:szCs w:val="21"/>
              </w:rPr>
              <w:t>饱和蒸气压（kPa）</w:t>
            </w:r>
          </w:p>
        </w:tc>
        <w:tc>
          <w:tcPr>
            <w:tcW w:w="2825" w:type="dxa"/>
            <w:gridSpan w:val="3"/>
            <w:vAlign w:val="center"/>
          </w:tcPr>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8" w:hRule="atLeast"/>
          <w:jc w:val="center"/>
        </w:trPr>
        <w:tc>
          <w:tcPr>
            <w:tcW w:w="476" w:type="dxa"/>
            <w:vMerge w:val="continue"/>
            <w:vAlign w:val="center"/>
          </w:tcPr>
          <w:p>
            <w:pPr>
              <w:widowControl/>
              <w:spacing w:line="360" w:lineRule="auto"/>
              <w:rPr>
                <w:rFonts w:ascii="宋体" w:hAnsi="宋体" w:eastAsia="宋体"/>
                <w:color w:val="auto"/>
                <w:spacing w:val="10"/>
                <w:sz w:val="21"/>
                <w:szCs w:val="21"/>
              </w:rPr>
            </w:pPr>
          </w:p>
        </w:tc>
        <w:tc>
          <w:tcPr>
            <w:tcW w:w="1558" w:type="dxa"/>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溶解性</w:t>
            </w:r>
          </w:p>
        </w:tc>
        <w:tc>
          <w:tcPr>
            <w:tcW w:w="7145" w:type="dxa"/>
            <w:gridSpan w:val="10"/>
            <w:vAlign w:val="center"/>
          </w:tcPr>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不溶于水，溶于多数有机溶剂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 w:hRule="atLeast"/>
          <w:jc w:val="center"/>
        </w:trPr>
        <w:tc>
          <w:tcPr>
            <w:tcW w:w="476" w:type="dxa"/>
            <w:vMerge w:val="continue"/>
            <w:vAlign w:val="center"/>
          </w:tcPr>
          <w:p>
            <w:pPr>
              <w:widowControl/>
              <w:spacing w:line="360" w:lineRule="auto"/>
              <w:rPr>
                <w:rFonts w:ascii="宋体" w:hAnsi="宋体" w:eastAsia="宋体"/>
                <w:color w:val="auto"/>
                <w:spacing w:val="10"/>
                <w:sz w:val="21"/>
                <w:szCs w:val="21"/>
              </w:rPr>
            </w:pPr>
          </w:p>
        </w:tc>
        <w:tc>
          <w:tcPr>
            <w:tcW w:w="1558" w:type="dxa"/>
            <w:vAlign w:val="center"/>
          </w:tcPr>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危险性类别</w:t>
            </w:r>
          </w:p>
        </w:tc>
        <w:tc>
          <w:tcPr>
            <w:tcW w:w="7145" w:type="dxa"/>
            <w:gridSpan w:val="10"/>
            <w:vAlign w:val="center"/>
          </w:tcPr>
          <w:p>
            <w:pPr>
              <w:spacing w:line="360" w:lineRule="auto"/>
              <w:rPr>
                <w:rFonts w:ascii="宋体" w:hAnsi="宋体" w:eastAsia="宋体"/>
                <w:color w:val="auto"/>
                <w:spacing w:val="10"/>
                <w:sz w:val="21"/>
                <w:szCs w:val="21"/>
                <w:lang w:eastAsia="zh-CN"/>
              </w:rPr>
            </w:pPr>
            <w:r>
              <w:rPr>
                <w:rFonts w:hint="eastAsia" w:ascii="宋体" w:hAnsi="宋体" w:eastAsia="宋体" w:cs="宋体"/>
                <w:color w:val="auto"/>
                <w:sz w:val="21"/>
                <w:szCs w:val="21"/>
              </w:rPr>
              <w:t>易燃液体，类别</w:t>
            </w:r>
            <w:r>
              <w:rPr>
                <w:rFonts w:hint="eastAsia" w:ascii="宋体" w:hAnsi="宋体" w:eastAsia="宋体" w:cs="宋体"/>
                <w:color w:val="auto"/>
                <w:sz w:val="21"/>
                <w:szCs w:val="21"/>
                <w:lang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0" w:hRule="atLeast"/>
          <w:jc w:val="center"/>
        </w:trPr>
        <w:tc>
          <w:tcPr>
            <w:tcW w:w="476" w:type="dxa"/>
            <w:vMerge w:val="restart"/>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毒</w:t>
            </w:r>
          </w:p>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性及健康危害</w:t>
            </w:r>
          </w:p>
        </w:tc>
        <w:tc>
          <w:tcPr>
            <w:tcW w:w="1558" w:type="dxa"/>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侵入途径</w:t>
            </w:r>
          </w:p>
        </w:tc>
        <w:tc>
          <w:tcPr>
            <w:tcW w:w="7145" w:type="dxa"/>
            <w:gridSpan w:val="10"/>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吸入</w:t>
            </w:r>
            <w:r>
              <w:rPr>
                <w:rFonts w:hint="eastAsia" w:ascii="宋体" w:hAnsi="宋体" w:eastAsia="宋体"/>
                <w:color w:val="auto"/>
                <w:spacing w:val="10"/>
                <w:sz w:val="21"/>
                <w:szCs w:val="21"/>
              </w:rPr>
              <w:t>、</w:t>
            </w:r>
            <w:r>
              <w:rPr>
                <w:rFonts w:ascii="宋体" w:hAnsi="宋体" w:eastAsia="宋体"/>
                <w:color w:val="auto"/>
                <w:spacing w:val="10"/>
                <w:sz w:val="21"/>
                <w:szCs w:val="21"/>
              </w:rPr>
              <w:t>食入</w:t>
            </w:r>
            <w:r>
              <w:rPr>
                <w:rFonts w:hint="eastAsia" w:ascii="宋体" w:hAnsi="宋体" w:eastAsia="宋体"/>
                <w:color w:val="auto"/>
                <w:spacing w:val="10"/>
                <w:sz w:val="21"/>
                <w:szCs w:val="21"/>
              </w:rPr>
              <w:t>、</w:t>
            </w:r>
            <w:r>
              <w:rPr>
                <w:rFonts w:ascii="宋体" w:hAnsi="宋体" w:eastAsia="宋体"/>
                <w:color w:val="auto"/>
                <w:spacing w:val="10"/>
                <w:sz w:val="21"/>
                <w:szCs w:val="21"/>
              </w:rPr>
              <w:t>经皮吸收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7" w:hRule="atLeast"/>
          <w:jc w:val="center"/>
        </w:trPr>
        <w:tc>
          <w:tcPr>
            <w:tcW w:w="476" w:type="dxa"/>
            <w:vMerge w:val="continue"/>
            <w:vAlign w:val="center"/>
          </w:tcPr>
          <w:p>
            <w:pPr>
              <w:widowControl/>
              <w:spacing w:line="360" w:lineRule="auto"/>
              <w:rPr>
                <w:rFonts w:ascii="宋体" w:hAnsi="宋体" w:eastAsia="宋体"/>
                <w:color w:val="auto"/>
                <w:spacing w:val="10"/>
                <w:sz w:val="21"/>
                <w:szCs w:val="21"/>
              </w:rPr>
            </w:pPr>
          </w:p>
        </w:tc>
        <w:tc>
          <w:tcPr>
            <w:tcW w:w="1558" w:type="dxa"/>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毒性</w:t>
            </w:r>
          </w:p>
        </w:tc>
        <w:tc>
          <w:tcPr>
            <w:tcW w:w="7145" w:type="dxa"/>
            <w:gridSpan w:val="10"/>
            <w:vAlign w:val="center"/>
          </w:tcPr>
          <w:p>
            <w:pPr>
              <w:spacing w:line="360" w:lineRule="auto"/>
              <w:ind w:left="-4"/>
              <w:rPr>
                <w:rFonts w:ascii="宋体" w:hAnsi="宋体" w:eastAsia="宋体"/>
                <w:color w:val="auto"/>
                <w:sz w:val="21"/>
                <w:szCs w:val="21"/>
              </w:rPr>
            </w:pPr>
            <w:r>
              <w:rPr>
                <w:rFonts w:ascii="宋体" w:hAnsi="宋体" w:eastAsia="宋体"/>
                <w:color w:val="auto"/>
                <w:spacing w:val="10"/>
                <w:sz w:val="21"/>
                <w:szCs w:val="21"/>
              </w:rPr>
              <w:t xml:space="preserve"> LD</w:t>
            </w:r>
            <w:r>
              <w:rPr>
                <w:rFonts w:ascii="宋体" w:hAnsi="宋体" w:eastAsia="宋体"/>
                <w:color w:val="auto"/>
                <w:spacing w:val="10"/>
                <w:sz w:val="21"/>
                <w:szCs w:val="21"/>
                <w:vertAlign w:val="subscript"/>
              </w:rPr>
              <w:t>50</w:t>
            </w:r>
            <w:r>
              <w:rPr>
                <w:rFonts w:ascii="宋体" w:hAnsi="宋体" w:eastAsia="宋体"/>
                <w:color w:val="auto"/>
                <w:spacing w:val="10"/>
                <w:sz w:val="21"/>
                <w:szCs w:val="21"/>
              </w:rPr>
              <w:t>：</w:t>
            </w:r>
            <w:r>
              <w:rPr>
                <w:rFonts w:hint="eastAsia" w:ascii="宋体" w:hAnsi="宋体" w:eastAsia="宋体"/>
                <w:color w:val="auto"/>
                <w:spacing w:val="1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9" w:hRule="atLeast"/>
          <w:jc w:val="center"/>
        </w:trPr>
        <w:tc>
          <w:tcPr>
            <w:tcW w:w="476" w:type="dxa"/>
            <w:vMerge w:val="continue"/>
            <w:vAlign w:val="center"/>
          </w:tcPr>
          <w:p>
            <w:pPr>
              <w:widowControl/>
              <w:spacing w:line="360" w:lineRule="auto"/>
              <w:rPr>
                <w:rFonts w:ascii="宋体" w:hAnsi="宋体" w:eastAsia="宋体"/>
                <w:color w:val="auto"/>
                <w:spacing w:val="10"/>
                <w:sz w:val="21"/>
                <w:szCs w:val="21"/>
              </w:rPr>
            </w:pPr>
          </w:p>
        </w:tc>
        <w:tc>
          <w:tcPr>
            <w:tcW w:w="1558" w:type="dxa"/>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健康危害</w:t>
            </w:r>
          </w:p>
        </w:tc>
        <w:tc>
          <w:tcPr>
            <w:tcW w:w="7145" w:type="dxa"/>
            <w:gridSpan w:val="10"/>
            <w:vAlign w:val="center"/>
          </w:tcPr>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蒸气能刺激皮肤和黏膜,吸入蒸气能产生眩晕、头痛、兴奋等症状;吸入高浓度蒸气能造急性中毒。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8" w:hRule="atLeast"/>
          <w:jc w:val="center"/>
        </w:trPr>
        <w:tc>
          <w:tcPr>
            <w:tcW w:w="476" w:type="dxa"/>
            <w:vMerge w:val="continue"/>
            <w:vAlign w:val="center"/>
          </w:tcPr>
          <w:p>
            <w:pPr>
              <w:widowControl/>
              <w:spacing w:line="360" w:lineRule="auto"/>
              <w:rPr>
                <w:rFonts w:ascii="宋体" w:hAnsi="宋体" w:eastAsia="宋体"/>
                <w:color w:val="auto"/>
                <w:spacing w:val="10"/>
                <w:sz w:val="21"/>
                <w:szCs w:val="21"/>
              </w:rPr>
            </w:pPr>
          </w:p>
        </w:tc>
        <w:tc>
          <w:tcPr>
            <w:tcW w:w="1558" w:type="dxa"/>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急救方法</w:t>
            </w:r>
          </w:p>
        </w:tc>
        <w:tc>
          <w:tcPr>
            <w:tcW w:w="7145" w:type="dxa"/>
            <w:gridSpan w:val="10"/>
            <w:vAlign w:val="center"/>
          </w:tcPr>
          <w:p>
            <w:pPr>
              <w:widowControl/>
              <w:shd w:val="clear" w:color="auto" w:fill="FFFFFF"/>
              <w:spacing w:line="360" w:lineRule="auto"/>
              <w:rPr>
                <w:rFonts w:ascii="宋体" w:hAnsi="宋体" w:eastAsia="宋体" w:cs="Arial"/>
                <w:color w:val="auto"/>
                <w:sz w:val="21"/>
                <w:szCs w:val="21"/>
              </w:rPr>
            </w:pPr>
            <w:r>
              <w:rPr>
                <w:rFonts w:hint="eastAsia" w:ascii="宋体" w:hAnsi="宋体" w:eastAsia="宋体" w:cs="Arial"/>
                <w:color w:val="auto"/>
                <w:sz w:val="21"/>
                <w:szCs w:val="21"/>
              </w:rPr>
              <w:t>肤接触:先用稀料擦清油污,再用肥皂彻底洗涤。</w:t>
            </w:r>
          </w:p>
          <w:p>
            <w:pPr>
              <w:widowControl/>
              <w:shd w:val="clear" w:color="auto" w:fill="FFFFFF"/>
              <w:spacing w:line="360" w:lineRule="auto"/>
              <w:rPr>
                <w:rFonts w:ascii="宋体" w:hAnsi="宋体" w:eastAsia="宋体" w:cs="Arial"/>
                <w:color w:val="auto"/>
                <w:sz w:val="21"/>
                <w:szCs w:val="21"/>
              </w:rPr>
            </w:pPr>
            <w:r>
              <w:rPr>
                <w:rFonts w:hint="eastAsia" w:ascii="宋体" w:hAnsi="宋体" w:eastAsia="宋体" w:cs="Arial"/>
                <w:color w:val="auto"/>
                <w:sz w:val="21"/>
                <w:szCs w:val="21"/>
              </w:rPr>
              <w:t>吸入:应使吸入蒸气的患者脱离污染区,安置休息并保暖。严重者就医诊治。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476" w:type="dxa"/>
            <w:vMerge w:val="restart"/>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燃</w:t>
            </w:r>
          </w:p>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烧爆炸危险性</w:t>
            </w:r>
          </w:p>
        </w:tc>
        <w:tc>
          <w:tcPr>
            <w:tcW w:w="1558" w:type="dxa"/>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燃烧性</w:t>
            </w:r>
          </w:p>
        </w:tc>
        <w:tc>
          <w:tcPr>
            <w:tcW w:w="1800" w:type="dxa"/>
            <w:gridSpan w:val="3"/>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易燃</w:t>
            </w:r>
          </w:p>
        </w:tc>
        <w:tc>
          <w:tcPr>
            <w:tcW w:w="2520" w:type="dxa"/>
            <w:gridSpan w:val="4"/>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燃烧分解物</w:t>
            </w:r>
          </w:p>
        </w:tc>
        <w:tc>
          <w:tcPr>
            <w:tcW w:w="2825" w:type="dxa"/>
            <w:gridSpan w:val="3"/>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一氧化碳</w:t>
            </w:r>
            <w:r>
              <w:rPr>
                <w:rFonts w:hint="eastAsia" w:ascii="宋体" w:hAnsi="宋体" w:eastAsia="宋体"/>
                <w:color w:val="auto"/>
                <w:spacing w:val="10"/>
                <w:sz w:val="21"/>
                <w:szCs w:val="21"/>
              </w:rPr>
              <w:t>、</w:t>
            </w:r>
            <w:r>
              <w:rPr>
                <w:rFonts w:ascii="宋体" w:hAnsi="宋体" w:eastAsia="宋体"/>
                <w:color w:val="auto"/>
                <w:spacing w:val="10"/>
                <w:sz w:val="21"/>
                <w:szCs w:val="21"/>
              </w:rPr>
              <w:t>二氧化碳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9" w:hRule="atLeast"/>
          <w:jc w:val="center"/>
        </w:trPr>
        <w:tc>
          <w:tcPr>
            <w:tcW w:w="476" w:type="dxa"/>
            <w:vMerge w:val="continue"/>
            <w:vAlign w:val="center"/>
          </w:tcPr>
          <w:p>
            <w:pPr>
              <w:widowControl/>
              <w:spacing w:line="360" w:lineRule="auto"/>
              <w:rPr>
                <w:rFonts w:ascii="宋体" w:hAnsi="宋体" w:eastAsia="宋体"/>
                <w:color w:val="auto"/>
                <w:spacing w:val="10"/>
                <w:sz w:val="21"/>
                <w:szCs w:val="21"/>
              </w:rPr>
            </w:pPr>
          </w:p>
        </w:tc>
        <w:tc>
          <w:tcPr>
            <w:tcW w:w="1558" w:type="dxa"/>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闪点(℃)</w:t>
            </w:r>
          </w:p>
        </w:tc>
        <w:tc>
          <w:tcPr>
            <w:tcW w:w="1800" w:type="dxa"/>
            <w:gridSpan w:val="3"/>
            <w:vAlign w:val="center"/>
          </w:tcPr>
          <w:p>
            <w:pPr>
              <w:spacing w:line="360" w:lineRule="auto"/>
              <w:rPr>
                <w:rFonts w:ascii="宋体" w:hAnsi="宋体" w:eastAsia="宋体"/>
                <w:color w:val="auto"/>
                <w:spacing w:val="10"/>
                <w:sz w:val="21"/>
                <w:szCs w:val="21"/>
                <w:lang w:eastAsia="zh-CN"/>
              </w:rPr>
            </w:pPr>
            <w:r>
              <w:rPr>
                <w:rFonts w:hint="eastAsia" w:ascii="宋体" w:hAnsi="宋体" w:eastAsia="宋体"/>
                <w:color w:val="auto"/>
                <w:spacing w:val="10"/>
                <w:sz w:val="21"/>
                <w:szCs w:val="21"/>
                <w:lang w:eastAsia="zh-CN"/>
              </w:rPr>
              <w:t>15</w:t>
            </w:r>
          </w:p>
        </w:tc>
        <w:tc>
          <w:tcPr>
            <w:tcW w:w="2520" w:type="dxa"/>
            <w:gridSpan w:val="4"/>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爆炸上限（v%）</w:t>
            </w:r>
          </w:p>
        </w:tc>
        <w:tc>
          <w:tcPr>
            <w:tcW w:w="2825" w:type="dxa"/>
            <w:gridSpan w:val="3"/>
            <w:vAlign w:val="center"/>
          </w:tcPr>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6" w:hRule="atLeast"/>
          <w:jc w:val="center"/>
        </w:trPr>
        <w:tc>
          <w:tcPr>
            <w:tcW w:w="476" w:type="dxa"/>
            <w:vMerge w:val="continue"/>
            <w:vAlign w:val="center"/>
          </w:tcPr>
          <w:p>
            <w:pPr>
              <w:widowControl/>
              <w:spacing w:line="360" w:lineRule="auto"/>
              <w:rPr>
                <w:rFonts w:ascii="宋体" w:hAnsi="宋体" w:eastAsia="宋体"/>
                <w:color w:val="auto"/>
                <w:spacing w:val="10"/>
                <w:sz w:val="21"/>
                <w:szCs w:val="21"/>
              </w:rPr>
            </w:pPr>
          </w:p>
        </w:tc>
        <w:tc>
          <w:tcPr>
            <w:tcW w:w="1558" w:type="dxa"/>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引燃温度(℃)</w:t>
            </w:r>
          </w:p>
        </w:tc>
        <w:tc>
          <w:tcPr>
            <w:tcW w:w="1800" w:type="dxa"/>
            <w:gridSpan w:val="3"/>
            <w:vAlign w:val="center"/>
          </w:tcPr>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w:t>
            </w:r>
          </w:p>
        </w:tc>
        <w:tc>
          <w:tcPr>
            <w:tcW w:w="2520" w:type="dxa"/>
            <w:gridSpan w:val="4"/>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爆炸下限（v%）</w:t>
            </w:r>
          </w:p>
        </w:tc>
        <w:tc>
          <w:tcPr>
            <w:tcW w:w="2825" w:type="dxa"/>
            <w:gridSpan w:val="3"/>
            <w:vAlign w:val="center"/>
          </w:tcPr>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8" w:hRule="atLeast"/>
          <w:jc w:val="center"/>
        </w:trPr>
        <w:tc>
          <w:tcPr>
            <w:tcW w:w="476" w:type="dxa"/>
            <w:vMerge w:val="continue"/>
            <w:vAlign w:val="center"/>
          </w:tcPr>
          <w:p>
            <w:pPr>
              <w:widowControl/>
              <w:spacing w:line="360" w:lineRule="auto"/>
              <w:rPr>
                <w:rFonts w:ascii="宋体" w:hAnsi="宋体" w:eastAsia="宋体"/>
                <w:color w:val="auto"/>
                <w:spacing w:val="10"/>
                <w:sz w:val="21"/>
                <w:szCs w:val="21"/>
              </w:rPr>
            </w:pPr>
          </w:p>
        </w:tc>
        <w:tc>
          <w:tcPr>
            <w:tcW w:w="1558" w:type="dxa"/>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危险特性</w:t>
            </w:r>
          </w:p>
        </w:tc>
        <w:tc>
          <w:tcPr>
            <w:tcW w:w="7145" w:type="dxa"/>
            <w:gridSpan w:val="10"/>
            <w:vAlign w:val="center"/>
          </w:tcPr>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遇明火、高热易燃烧。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0" w:hRule="atLeast"/>
          <w:jc w:val="center"/>
        </w:trPr>
        <w:tc>
          <w:tcPr>
            <w:tcW w:w="476" w:type="dxa"/>
            <w:vMerge w:val="continue"/>
            <w:vAlign w:val="center"/>
          </w:tcPr>
          <w:p>
            <w:pPr>
              <w:widowControl/>
              <w:spacing w:line="360" w:lineRule="auto"/>
              <w:rPr>
                <w:rFonts w:ascii="宋体" w:hAnsi="宋体" w:eastAsia="宋体"/>
                <w:color w:val="auto"/>
                <w:spacing w:val="10"/>
                <w:sz w:val="21"/>
                <w:szCs w:val="21"/>
              </w:rPr>
            </w:pPr>
          </w:p>
        </w:tc>
        <w:tc>
          <w:tcPr>
            <w:tcW w:w="1558" w:type="dxa"/>
            <w:vAlign w:val="center"/>
          </w:tcPr>
          <w:p>
            <w:pPr>
              <w:spacing w:line="360" w:lineRule="auto"/>
              <w:rPr>
                <w:rFonts w:ascii="宋体" w:hAnsi="宋体" w:eastAsia="宋体"/>
                <w:color w:val="auto"/>
                <w:spacing w:val="4"/>
                <w:sz w:val="21"/>
                <w:szCs w:val="21"/>
              </w:rPr>
            </w:pPr>
            <w:r>
              <w:rPr>
                <w:rFonts w:ascii="宋体" w:hAnsi="宋体" w:eastAsia="宋体"/>
                <w:color w:val="auto"/>
                <w:spacing w:val="4"/>
                <w:sz w:val="21"/>
                <w:szCs w:val="21"/>
              </w:rPr>
              <w:t>建规火险分级</w:t>
            </w:r>
          </w:p>
        </w:tc>
        <w:tc>
          <w:tcPr>
            <w:tcW w:w="1800" w:type="dxa"/>
            <w:gridSpan w:val="3"/>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甲</w:t>
            </w:r>
          </w:p>
        </w:tc>
        <w:tc>
          <w:tcPr>
            <w:tcW w:w="1236" w:type="dxa"/>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稳定性</w:t>
            </w:r>
          </w:p>
        </w:tc>
        <w:tc>
          <w:tcPr>
            <w:tcW w:w="1284" w:type="dxa"/>
            <w:gridSpan w:val="3"/>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稳定</w:t>
            </w:r>
          </w:p>
        </w:tc>
        <w:tc>
          <w:tcPr>
            <w:tcW w:w="1455" w:type="dxa"/>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聚合危害</w:t>
            </w:r>
          </w:p>
        </w:tc>
        <w:tc>
          <w:tcPr>
            <w:tcW w:w="1370" w:type="dxa"/>
            <w:gridSpan w:val="2"/>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不聚合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8" w:hRule="atLeast"/>
          <w:jc w:val="center"/>
        </w:trPr>
        <w:tc>
          <w:tcPr>
            <w:tcW w:w="476" w:type="dxa"/>
            <w:vMerge w:val="continue"/>
            <w:vAlign w:val="center"/>
          </w:tcPr>
          <w:p>
            <w:pPr>
              <w:widowControl/>
              <w:spacing w:line="360" w:lineRule="auto"/>
              <w:rPr>
                <w:rFonts w:ascii="宋体" w:hAnsi="宋体" w:eastAsia="宋体"/>
                <w:color w:val="auto"/>
                <w:spacing w:val="10"/>
                <w:sz w:val="21"/>
                <w:szCs w:val="21"/>
              </w:rPr>
            </w:pPr>
          </w:p>
        </w:tc>
        <w:tc>
          <w:tcPr>
            <w:tcW w:w="1558" w:type="dxa"/>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禁忌物</w:t>
            </w:r>
          </w:p>
        </w:tc>
        <w:tc>
          <w:tcPr>
            <w:tcW w:w="7145" w:type="dxa"/>
            <w:gridSpan w:val="10"/>
            <w:vAlign w:val="center"/>
          </w:tcPr>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强氧化剂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2" w:hRule="atLeast"/>
          <w:jc w:val="center"/>
        </w:trPr>
        <w:tc>
          <w:tcPr>
            <w:tcW w:w="476" w:type="dxa"/>
            <w:vMerge w:val="continue"/>
            <w:vAlign w:val="center"/>
          </w:tcPr>
          <w:p>
            <w:pPr>
              <w:widowControl/>
              <w:spacing w:line="360" w:lineRule="auto"/>
              <w:rPr>
                <w:rFonts w:ascii="宋体" w:hAnsi="宋体" w:eastAsia="宋体"/>
                <w:color w:val="auto"/>
                <w:spacing w:val="10"/>
                <w:sz w:val="21"/>
                <w:szCs w:val="21"/>
              </w:rPr>
            </w:pPr>
          </w:p>
        </w:tc>
        <w:tc>
          <w:tcPr>
            <w:tcW w:w="1558" w:type="dxa"/>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储运条件</w:t>
            </w:r>
          </w:p>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与泄漏处理</w:t>
            </w:r>
          </w:p>
        </w:tc>
        <w:tc>
          <w:tcPr>
            <w:tcW w:w="7145" w:type="dxa"/>
            <w:gridSpan w:val="10"/>
            <w:vAlign w:val="center"/>
          </w:tcPr>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储运条件：储存于阴凉、通风的库房中。催化剂与清漆应隔离储存。与其他氧化剂隔离储运。远离火种、热源。搬运时轻装轻卸，防止容器破损。避免几种组分混杂。</w:t>
            </w:r>
          </w:p>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泄漏处理：首先切断一切火源，戴好防毒面具与手套。用砂土洗手，倒至空旷地方掩埋。被污染的地面，用油漆刀刮清。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76" w:type="dxa"/>
            <w:vMerge w:val="continue"/>
            <w:vAlign w:val="center"/>
          </w:tcPr>
          <w:p>
            <w:pPr>
              <w:widowControl/>
              <w:spacing w:line="360" w:lineRule="auto"/>
              <w:rPr>
                <w:rFonts w:ascii="宋体" w:hAnsi="宋体" w:eastAsia="宋体"/>
                <w:color w:val="auto"/>
                <w:spacing w:val="10"/>
                <w:sz w:val="21"/>
                <w:szCs w:val="21"/>
              </w:rPr>
            </w:pPr>
          </w:p>
        </w:tc>
        <w:tc>
          <w:tcPr>
            <w:tcW w:w="1558" w:type="dxa"/>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灭火方法</w:t>
            </w:r>
          </w:p>
        </w:tc>
        <w:tc>
          <w:tcPr>
            <w:tcW w:w="7145" w:type="dxa"/>
            <w:gridSpan w:val="10"/>
            <w:vAlign w:val="center"/>
          </w:tcPr>
          <w:p>
            <w:pPr>
              <w:spacing w:line="360" w:lineRule="auto"/>
              <w:ind w:left="-4"/>
              <w:rPr>
                <w:rFonts w:ascii="宋体" w:hAnsi="宋体" w:eastAsia="宋体"/>
                <w:color w:val="auto"/>
                <w:spacing w:val="10"/>
                <w:sz w:val="21"/>
                <w:szCs w:val="21"/>
              </w:rPr>
            </w:pPr>
            <w:r>
              <w:rPr>
                <w:rFonts w:hint="eastAsia" w:ascii="宋体" w:hAnsi="宋体" w:eastAsia="宋体"/>
                <w:color w:val="auto"/>
                <w:spacing w:val="10"/>
                <w:sz w:val="21"/>
                <w:szCs w:val="21"/>
              </w:rPr>
              <w:t>用泡沫、雾状水、二氧化碳、干粉灭火，消防人员应穿防毒面具与消防服。</w:t>
            </w:r>
          </w:p>
        </w:tc>
      </w:tr>
    </w:tbl>
    <w:p>
      <w:pPr>
        <w:spacing w:line="560" w:lineRule="exact"/>
        <w:jc w:val="center"/>
        <w:outlineLvl w:val="2"/>
        <w:rPr>
          <w:rFonts w:ascii="宋体" w:hAnsi="宋体" w:eastAsia="宋体" w:cs="Times New Roman"/>
          <w:b/>
          <w:bCs/>
          <w:color w:val="auto"/>
          <w:kern w:val="2"/>
          <w:lang w:val="en-US" w:eastAsia="zh-CN" w:bidi="ar-SA"/>
        </w:rPr>
      </w:pPr>
      <w:r>
        <w:rPr>
          <w:rFonts w:hint="eastAsia" w:ascii="宋体" w:hAnsi="宋体" w:eastAsia="宋体" w:cs="Times New Roman"/>
          <w:b/>
          <w:bCs/>
          <w:color w:val="auto"/>
          <w:kern w:val="2"/>
          <w:lang w:val="en-US" w:eastAsia="zh-CN" w:bidi="ar-SA"/>
        </w:rPr>
        <w:t>附表1-7硝基漆稀释剂</w:t>
      </w:r>
      <w:r>
        <w:rPr>
          <w:rFonts w:ascii="宋体" w:hAnsi="宋体" w:eastAsia="宋体" w:cs="Times New Roman"/>
          <w:b/>
          <w:bCs/>
          <w:color w:val="auto"/>
          <w:kern w:val="2"/>
          <w:lang w:val="en-US" w:eastAsia="zh-CN" w:bidi="ar-SA"/>
        </w:rPr>
        <w:t>的理化性质及危险特性</w:t>
      </w:r>
      <w:bookmarkEnd w:id="163"/>
      <w:bookmarkEnd w:id="164"/>
    </w:p>
    <w:tbl>
      <w:tblPr>
        <w:tblStyle w:val="45"/>
        <w:tblW w:w="91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6"/>
        <w:gridCol w:w="1558"/>
        <w:gridCol w:w="1202"/>
        <w:gridCol w:w="255"/>
        <w:gridCol w:w="343"/>
        <w:gridCol w:w="1236"/>
        <w:gridCol w:w="384"/>
        <w:gridCol w:w="370"/>
        <w:gridCol w:w="530"/>
        <w:gridCol w:w="1455"/>
        <w:gridCol w:w="705"/>
        <w:gridCol w:w="6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9" w:hRule="atLeast"/>
          <w:jc w:val="center"/>
        </w:trPr>
        <w:tc>
          <w:tcPr>
            <w:tcW w:w="476" w:type="dxa"/>
            <w:vMerge w:val="restart"/>
            <w:vAlign w:val="center"/>
          </w:tcPr>
          <w:p>
            <w:pPr>
              <w:spacing w:line="360" w:lineRule="auto"/>
              <w:rPr>
                <w:rFonts w:ascii="宋体" w:hAnsi="宋体" w:eastAsia="宋体"/>
                <w:color w:val="auto"/>
                <w:spacing w:val="10"/>
                <w:sz w:val="21"/>
                <w:szCs w:val="21"/>
              </w:rPr>
            </w:pPr>
            <w:bookmarkStart w:id="165" w:name="_Toc174954605"/>
            <w:bookmarkStart w:id="166" w:name="_Toc524426342"/>
            <w:r>
              <w:rPr>
                <w:rFonts w:ascii="宋体" w:hAnsi="宋体" w:eastAsia="宋体"/>
                <w:color w:val="auto"/>
                <w:spacing w:val="10"/>
                <w:sz w:val="21"/>
                <w:szCs w:val="21"/>
              </w:rPr>
              <w:t>标</w:t>
            </w:r>
          </w:p>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识</w:t>
            </w:r>
          </w:p>
        </w:tc>
        <w:tc>
          <w:tcPr>
            <w:tcW w:w="5348" w:type="dxa"/>
            <w:gridSpan w:val="7"/>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中文名</w:t>
            </w:r>
            <w:r>
              <w:rPr>
                <w:rFonts w:hint="eastAsia" w:ascii="宋体" w:hAnsi="宋体" w:eastAsia="宋体"/>
                <w:color w:val="auto"/>
                <w:spacing w:val="10"/>
                <w:sz w:val="21"/>
                <w:szCs w:val="21"/>
              </w:rPr>
              <w:t>：</w:t>
            </w:r>
            <w:r>
              <w:rPr>
                <w:rFonts w:hint="eastAsia" w:ascii="宋体" w:hAnsi="宋体" w:eastAsia="宋体"/>
                <w:color w:val="auto"/>
                <w:sz w:val="21"/>
                <w:szCs w:val="21"/>
              </w:rPr>
              <w:t>硝基漆稀释剂</w:t>
            </w:r>
          </w:p>
        </w:tc>
        <w:tc>
          <w:tcPr>
            <w:tcW w:w="3355" w:type="dxa"/>
            <w:gridSpan w:val="4"/>
            <w:vAlign w:val="center"/>
          </w:tcPr>
          <w:p>
            <w:pPr>
              <w:spacing w:line="360" w:lineRule="auto"/>
              <w:rPr>
                <w:rFonts w:ascii="宋体" w:hAnsi="宋体" w:eastAsia="宋体"/>
                <w:color w:val="auto"/>
                <w:spacing w:val="10"/>
                <w:sz w:val="21"/>
                <w:szCs w:val="21"/>
              </w:rPr>
            </w:pPr>
            <w:r>
              <w:rPr>
                <w:rFonts w:hint="eastAsia" w:ascii="宋体" w:hAnsi="宋体" w:eastAsia="宋体"/>
                <w:color w:val="auto"/>
                <w:sz w:val="21"/>
                <w:szCs w:val="21"/>
              </w:rPr>
              <w:t>危险化学品的目录序号：2828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5" w:hRule="atLeast"/>
          <w:jc w:val="center"/>
        </w:trPr>
        <w:tc>
          <w:tcPr>
            <w:tcW w:w="476" w:type="dxa"/>
            <w:vMerge w:val="continue"/>
            <w:vAlign w:val="center"/>
          </w:tcPr>
          <w:p>
            <w:pPr>
              <w:widowControl/>
              <w:spacing w:line="360" w:lineRule="auto"/>
              <w:rPr>
                <w:rFonts w:ascii="宋体" w:hAnsi="宋体" w:eastAsia="宋体"/>
                <w:color w:val="auto"/>
                <w:spacing w:val="10"/>
                <w:sz w:val="21"/>
                <w:szCs w:val="21"/>
              </w:rPr>
            </w:pPr>
          </w:p>
        </w:tc>
        <w:tc>
          <w:tcPr>
            <w:tcW w:w="5878" w:type="dxa"/>
            <w:gridSpan w:val="8"/>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英文名：nitrocellulose</w:t>
            </w:r>
            <w:r>
              <w:rPr>
                <w:rFonts w:hint="eastAsia" w:ascii="宋体" w:hAnsi="宋体" w:eastAsia="MS Mincho" w:cs="MS Mincho"/>
                <w:color w:val="auto"/>
                <w:spacing w:val="10"/>
                <w:sz w:val="21"/>
                <w:szCs w:val="21"/>
              </w:rPr>
              <w:t> </w:t>
            </w:r>
            <w:r>
              <w:rPr>
                <w:rFonts w:hint="eastAsia" w:ascii="宋体" w:hAnsi="宋体" w:eastAsia="宋体" w:cs="宋体"/>
                <w:color w:val="auto"/>
                <w:spacing w:val="10"/>
                <w:sz w:val="21"/>
                <w:szCs w:val="21"/>
              </w:rPr>
              <w:t>lacquer</w:t>
            </w:r>
            <w:r>
              <w:rPr>
                <w:rFonts w:hint="eastAsia" w:ascii="宋体" w:hAnsi="宋体" w:eastAsia="MS Mincho" w:cs="MS Mincho"/>
                <w:color w:val="auto"/>
                <w:spacing w:val="10"/>
                <w:sz w:val="21"/>
                <w:szCs w:val="21"/>
              </w:rPr>
              <w:t> </w:t>
            </w:r>
            <w:r>
              <w:rPr>
                <w:rFonts w:hint="eastAsia" w:ascii="宋体" w:hAnsi="宋体" w:eastAsia="宋体" w:cs="宋体"/>
                <w:color w:val="auto"/>
                <w:spacing w:val="10"/>
                <w:sz w:val="21"/>
                <w:szCs w:val="21"/>
              </w:rPr>
              <w:t>thinner</w:t>
            </w:r>
          </w:p>
        </w:tc>
        <w:tc>
          <w:tcPr>
            <w:tcW w:w="2825" w:type="dxa"/>
            <w:gridSpan w:val="3"/>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UN编号：</w:t>
            </w:r>
            <w:r>
              <w:rPr>
                <w:rFonts w:hint="eastAsia" w:ascii="宋体" w:hAnsi="宋体" w:eastAsia="宋体"/>
                <w:color w:val="auto"/>
                <w:spacing w:val="10"/>
                <w:sz w:val="21"/>
                <w:szCs w:val="21"/>
              </w:rPr>
              <w:t>1139、1263、1293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1" w:hRule="atLeast"/>
          <w:jc w:val="center"/>
        </w:trPr>
        <w:tc>
          <w:tcPr>
            <w:tcW w:w="476" w:type="dxa"/>
            <w:vMerge w:val="continue"/>
            <w:vAlign w:val="center"/>
          </w:tcPr>
          <w:p>
            <w:pPr>
              <w:widowControl/>
              <w:spacing w:line="360" w:lineRule="auto"/>
              <w:rPr>
                <w:rFonts w:ascii="宋体" w:hAnsi="宋体" w:eastAsia="宋体"/>
                <w:color w:val="auto"/>
                <w:spacing w:val="10"/>
                <w:sz w:val="21"/>
                <w:szCs w:val="21"/>
              </w:rPr>
            </w:pPr>
          </w:p>
        </w:tc>
        <w:tc>
          <w:tcPr>
            <w:tcW w:w="3015" w:type="dxa"/>
            <w:gridSpan w:val="3"/>
            <w:vAlign w:val="center"/>
          </w:tcPr>
          <w:p>
            <w:pPr>
              <w:spacing w:line="360" w:lineRule="auto"/>
              <w:ind w:left="880" w:hanging="920" w:hangingChars="400"/>
              <w:rPr>
                <w:rFonts w:ascii="宋体" w:hAnsi="宋体" w:eastAsia="宋体"/>
                <w:color w:val="auto"/>
                <w:spacing w:val="10"/>
                <w:sz w:val="21"/>
                <w:szCs w:val="21"/>
              </w:rPr>
            </w:pPr>
            <w:r>
              <w:rPr>
                <w:rFonts w:ascii="宋体" w:hAnsi="宋体" w:eastAsia="宋体"/>
                <w:color w:val="auto"/>
                <w:spacing w:val="10"/>
                <w:sz w:val="21"/>
                <w:szCs w:val="21"/>
              </w:rPr>
              <w:t>分子式：</w:t>
            </w:r>
            <w:r>
              <w:rPr>
                <w:rFonts w:hint="eastAsia" w:ascii="宋体" w:hAnsi="宋体" w:eastAsia="宋体"/>
                <w:color w:val="auto"/>
                <w:spacing w:val="10"/>
                <w:sz w:val="21"/>
                <w:szCs w:val="21"/>
              </w:rPr>
              <w:t>/</w:t>
            </w:r>
          </w:p>
        </w:tc>
        <w:tc>
          <w:tcPr>
            <w:tcW w:w="2863" w:type="dxa"/>
            <w:gridSpan w:val="5"/>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分子量：</w:t>
            </w:r>
            <w:r>
              <w:rPr>
                <w:rFonts w:hint="eastAsia" w:ascii="宋体" w:hAnsi="宋体" w:eastAsia="宋体"/>
                <w:color w:val="auto"/>
                <w:spacing w:val="10"/>
                <w:sz w:val="21"/>
                <w:szCs w:val="21"/>
              </w:rPr>
              <w:t>/</w:t>
            </w:r>
          </w:p>
        </w:tc>
        <w:tc>
          <w:tcPr>
            <w:tcW w:w="2825" w:type="dxa"/>
            <w:gridSpan w:val="3"/>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CAS号：</w:t>
            </w:r>
            <w:r>
              <w:rPr>
                <w:rFonts w:hint="eastAsia" w:ascii="宋体" w:hAnsi="宋体" w:eastAsia="宋体"/>
                <w:color w:val="auto"/>
                <w:spacing w:val="1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476" w:type="dxa"/>
            <w:vMerge w:val="restart"/>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理</w:t>
            </w:r>
          </w:p>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化性质</w:t>
            </w:r>
          </w:p>
        </w:tc>
        <w:tc>
          <w:tcPr>
            <w:tcW w:w="1558" w:type="dxa"/>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外观与性状</w:t>
            </w:r>
          </w:p>
        </w:tc>
        <w:tc>
          <w:tcPr>
            <w:tcW w:w="7145" w:type="dxa"/>
            <w:gridSpan w:val="10"/>
            <w:vAlign w:val="center"/>
          </w:tcPr>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具有刺激性气味的液体。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jc w:val="center"/>
        </w:trPr>
        <w:tc>
          <w:tcPr>
            <w:tcW w:w="476" w:type="dxa"/>
            <w:vMerge w:val="continue"/>
            <w:vAlign w:val="center"/>
          </w:tcPr>
          <w:p>
            <w:pPr>
              <w:widowControl/>
              <w:spacing w:line="360" w:lineRule="auto"/>
              <w:rPr>
                <w:rFonts w:ascii="宋体" w:hAnsi="宋体" w:eastAsia="宋体"/>
                <w:color w:val="auto"/>
                <w:spacing w:val="10"/>
                <w:sz w:val="21"/>
                <w:szCs w:val="21"/>
              </w:rPr>
            </w:pPr>
          </w:p>
        </w:tc>
        <w:tc>
          <w:tcPr>
            <w:tcW w:w="1558" w:type="dxa"/>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熔点（℃）</w:t>
            </w:r>
          </w:p>
        </w:tc>
        <w:tc>
          <w:tcPr>
            <w:tcW w:w="1202" w:type="dxa"/>
            <w:vAlign w:val="center"/>
          </w:tcPr>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w:t>
            </w:r>
          </w:p>
        </w:tc>
        <w:tc>
          <w:tcPr>
            <w:tcW w:w="2218" w:type="dxa"/>
            <w:gridSpan w:val="4"/>
            <w:vAlign w:val="center"/>
          </w:tcPr>
          <w:p>
            <w:pPr>
              <w:spacing w:line="360" w:lineRule="auto"/>
              <w:jc w:val="center"/>
              <w:rPr>
                <w:rFonts w:ascii="宋体" w:hAnsi="宋体" w:eastAsia="宋体"/>
                <w:color w:val="auto"/>
                <w:spacing w:val="10"/>
                <w:sz w:val="21"/>
                <w:szCs w:val="21"/>
              </w:rPr>
            </w:pPr>
            <w:r>
              <w:rPr>
                <w:rFonts w:ascii="宋体" w:hAnsi="宋体" w:eastAsia="宋体"/>
                <w:color w:val="auto"/>
                <w:spacing w:val="10"/>
                <w:sz w:val="21"/>
                <w:szCs w:val="21"/>
              </w:rPr>
              <w:t>相对密度(水=1)</w:t>
            </w:r>
          </w:p>
        </w:tc>
        <w:tc>
          <w:tcPr>
            <w:tcW w:w="900" w:type="dxa"/>
            <w:gridSpan w:val="2"/>
            <w:vAlign w:val="center"/>
          </w:tcPr>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w:t>
            </w:r>
          </w:p>
        </w:tc>
        <w:tc>
          <w:tcPr>
            <w:tcW w:w="2160" w:type="dxa"/>
            <w:gridSpan w:val="2"/>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相对密度(空气=1)</w:t>
            </w:r>
          </w:p>
        </w:tc>
        <w:tc>
          <w:tcPr>
            <w:tcW w:w="665" w:type="dxa"/>
            <w:vAlign w:val="center"/>
          </w:tcPr>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6" w:hRule="atLeast"/>
          <w:jc w:val="center"/>
        </w:trPr>
        <w:tc>
          <w:tcPr>
            <w:tcW w:w="476" w:type="dxa"/>
            <w:vMerge w:val="continue"/>
            <w:vAlign w:val="center"/>
          </w:tcPr>
          <w:p>
            <w:pPr>
              <w:widowControl/>
              <w:spacing w:line="360" w:lineRule="auto"/>
              <w:rPr>
                <w:rFonts w:ascii="宋体" w:hAnsi="宋体" w:eastAsia="宋体"/>
                <w:color w:val="auto"/>
                <w:spacing w:val="10"/>
                <w:sz w:val="21"/>
                <w:szCs w:val="21"/>
              </w:rPr>
            </w:pPr>
          </w:p>
        </w:tc>
        <w:tc>
          <w:tcPr>
            <w:tcW w:w="1558" w:type="dxa"/>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沸点（℃）</w:t>
            </w:r>
          </w:p>
        </w:tc>
        <w:tc>
          <w:tcPr>
            <w:tcW w:w="1202" w:type="dxa"/>
            <w:vAlign w:val="center"/>
          </w:tcPr>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w:t>
            </w:r>
          </w:p>
        </w:tc>
        <w:tc>
          <w:tcPr>
            <w:tcW w:w="3118" w:type="dxa"/>
            <w:gridSpan w:val="6"/>
            <w:vAlign w:val="center"/>
          </w:tcPr>
          <w:p>
            <w:pPr>
              <w:spacing w:line="360" w:lineRule="auto"/>
              <w:ind w:left="-40"/>
              <w:jc w:val="center"/>
              <w:rPr>
                <w:rFonts w:ascii="宋体" w:hAnsi="宋体" w:eastAsia="宋体"/>
                <w:color w:val="auto"/>
                <w:spacing w:val="10"/>
                <w:sz w:val="21"/>
                <w:szCs w:val="21"/>
              </w:rPr>
            </w:pPr>
            <w:r>
              <w:rPr>
                <w:rFonts w:ascii="宋体" w:hAnsi="宋体" w:eastAsia="宋体"/>
                <w:color w:val="auto"/>
                <w:spacing w:val="10"/>
                <w:sz w:val="21"/>
                <w:szCs w:val="21"/>
              </w:rPr>
              <w:t>饱和蒸气压（kPa）</w:t>
            </w:r>
          </w:p>
        </w:tc>
        <w:tc>
          <w:tcPr>
            <w:tcW w:w="2825" w:type="dxa"/>
            <w:gridSpan w:val="3"/>
            <w:vAlign w:val="center"/>
          </w:tcPr>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8" w:hRule="atLeast"/>
          <w:jc w:val="center"/>
        </w:trPr>
        <w:tc>
          <w:tcPr>
            <w:tcW w:w="476" w:type="dxa"/>
            <w:vMerge w:val="continue"/>
            <w:vAlign w:val="center"/>
          </w:tcPr>
          <w:p>
            <w:pPr>
              <w:widowControl/>
              <w:spacing w:line="360" w:lineRule="auto"/>
              <w:rPr>
                <w:rFonts w:ascii="宋体" w:hAnsi="宋体" w:eastAsia="宋体"/>
                <w:color w:val="auto"/>
                <w:spacing w:val="10"/>
                <w:sz w:val="21"/>
                <w:szCs w:val="21"/>
              </w:rPr>
            </w:pPr>
          </w:p>
        </w:tc>
        <w:tc>
          <w:tcPr>
            <w:tcW w:w="1558" w:type="dxa"/>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溶解性</w:t>
            </w:r>
          </w:p>
        </w:tc>
        <w:tc>
          <w:tcPr>
            <w:tcW w:w="7145" w:type="dxa"/>
            <w:gridSpan w:val="10"/>
            <w:vAlign w:val="center"/>
          </w:tcPr>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不溶于水，溶于多数有机溶剂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 w:hRule="atLeast"/>
          <w:jc w:val="center"/>
        </w:trPr>
        <w:tc>
          <w:tcPr>
            <w:tcW w:w="476" w:type="dxa"/>
            <w:vMerge w:val="continue"/>
            <w:vAlign w:val="center"/>
          </w:tcPr>
          <w:p>
            <w:pPr>
              <w:widowControl/>
              <w:spacing w:line="360" w:lineRule="auto"/>
              <w:rPr>
                <w:rFonts w:ascii="宋体" w:hAnsi="宋体" w:eastAsia="宋体"/>
                <w:color w:val="auto"/>
                <w:spacing w:val="10"/>
                <w:sz w:val="21"/>
                <w:szCs w:val="21"/>
              </w:rPr>
            </w:pPr>
          </w:p>
        </w:tc>
        <w:tc>
          <w:tcPr>
            <w:tcW w:w="1558" w:type="dxa"/>
            <w:vAlign w:val="center"/>
          </w:tcPr>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危险性类别</w:t>
            </w:r>
          </w:p>
        </w:tc>
        <w:tc>
          <w:tcPr>
            <w:tcW w:w="7145" w:type="dxa"/>
            <w:gridSpan w:val="10"/>
            <w:vAlign w:val="center"/>
          </w:tcPr>
          <w:p>
            <w:pPr>
              <w:spacing w:line="360" w:lineRule="auto"/>
              <w:rPr>
                <w:rFonts w:ascii="宋体" w:hAnsi="宋体" w:eastAsia="宋体"/>
                <w:color w:val="auto"/>
                <w:spacing w:val="10"/>
                <w:sz w:val="21"/>
                <w:szCs w:val="21"/>
                <w:lang w:eastAsia="zh-CN"/>
              </w:rPr>
            </w:pPr>
            <w:r>
              <w:rPr>
                <w:rFonts w:hint="eastAsia" w:ascii="宋体" w:hAnsi="宋体" w:eastAsia="宋体" w:cs="宋体"/>
                <w:color w:val="auto"/>
                <w:sz w:val="21"/>
                <w:szCs w:val="21"/>
              </w:rPr>
              <w:t>易燃液体，类别</w:t>
            </w:r>
            <w:r>
              <w:rPr>
                <w:rFonts w:hint="eastAsia" w:ascii="宋体" w:hAnsi="宋体" w:eastAsia="宋体" w:cs="宋体"/>
                <w:color w:val="auto"/>
                <w:sz w:val="21"/>
                <w:szCs w:val="21"/>
                <w:lang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0" w:hRule="atLeast"/>
          <w:jc w:val="center"/>
        </w:trPr>
        <w:tc>
          <w:tcPr>
            <w:tcW w:w="476" w:type="dxa"/>
            <w:vMerge w:val="restart"/>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毒</w:t>
            </w:r>
          </w:p>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性及健康危害</w:t>
            </w:r>
          </w:p>
        </w:tc>
        <w:tc>
          <w:tcPr>
            <w:tcW w:w="1558" w:type="dxa"/>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侵入途径</w:t>
            </w:r>
          </w:p>
        </w:tc>
        <w:tc>
          <w:tcPr>
            <w:tcW w:w="7145" w:type="dxa"/>
            <w:gridSpan w:val="10"/>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吸入</w:t>
            </w:r>
            <w:r>
              <w:rPr>
                <w:rFonts w:hint="eastAsia" w:ascii="宋体" w:hAnsi="宋体" w:eastAsia="宋体"/>
                <w:color w:val="auto"/>
                <w:spacing w:val="10"/>
                <w:sz w:val="21"/>
                <w:szCs w:val="21"/>
              </w:rPr>
              <w:t>、</w:t>
            </w:r>
            <w:r>
              <w:rPr>
                <w:rFonts w:ascii="宋体" w:hAnsi="宋体" w:eastAsia="宋体"/>
                <w:color w:val="auto"/>
                <w:spacing w:val="10"/>
                <w:sz w:val="21"/>
                <w:szCs w:val="21"/>
              </w:rPr>
              <w:t>食入</w:t>
            </w:r>
            <w:r>
              <w:rPr>
                <w:rFonts w:hint="eastAsia" w:ascii="宋体" w:hAnsi="宋体" w:eastAsia="宋体"/>
                <w:color w:val="auto"/>
                <w:spacing w:val="10"/>
                <w:sz w:val="21"/>
                <w:szCs w:val="21"/>
              </w:rPr>
              <w:t>、</w:t>
            </w:r>
            <w:r>
              <w:rPr>
                <w:rFonts w:ascii="宋体" w:hAnsi="宋体" w:eastAsia="宋体"/>
                <w:color w:val="auto"/>
                <w:spacing w:val="10"/>
                <w:sz w:val="21"/>
                <w:szCs w:val="21"/>
              </w:rPr>
              <w:t>经皮吸收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7" w:hRule="atLeast"/>
          <w:jc w:val="center"/>
        </w:trPr>
        <w:tc>
          <w:tcPr>
            <w:tcW w:w="476" w:type="dxa"/>
            <w:vMerge w:val="continue"/>
            <w:vAlign w:val="center"/>
          </w:tcPr>
          <w:p>
            <w:pPr>
              <w:widowControl/>
              <w:spacing w:line="360" w:lineRule="auto"/>
              <w:rPr>
                <w:rFonts w:ascii="宋体" w:hAnsi="宋体" w:eastAsia="宋体"/>
                <w:color w:val="auto"/>
                <w:spacing w:val="10"/>
                <w:sz w:val="21"/>
                <w:szCs w:val="21"/>
              </w:rPr>
            </w:pPr>
          </w:p>
        </w:tc>
        <w:tc>
          <w:tcPr>
            <w:tcW w:w="1558" w:type="dxa"/>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毒性</w:t>
            </w:r>
          </w:p>
        </w:tc>
        <w:tc>
          <w:tcPr>
            <w:tcW w:w="7145" w:type="dxa"/>
            <w:gridSpan w:val="10"/>
            <w:vAlign w:val="center"/>
          </w:tcPr>
          <w:p>
            <w:pPr>
              <w:spacing w:line="360" w:lineRule="auto"/>
              <w:ind w:left="-4"/>
              <w:rPr>
                <w:rFonts w:ascii="宋体" w:hAnsi="宋体" w:eastAsia="宋体"/>
                <w:color w:val="auto"/>
                <w:sz w:val="21"/>
                <w:szCs w:val="21"/>
              </w:rPr>
            </w:pPr>
            <w:r>
              <w:rPr>
                <w:rFonts w:ascii="宋体" w:hAnsi="宋体" w:eastAsia="宋体"/>
                <w:color w:val="auto"/>
                <w:spacing w:val="10"/>
                <w:sz w:val="21"/>
                <w:szCs w:val="21"/>
              </w:rPr>
              <w:t xml:space="preserve"> LD</w:t>
            </w:r>
            <w:r>
              <w:rPr>
                <w:rFonts w:ascii="宋体" w:hAnsi="宋体" w:eastAsia="宋体"/>
                <w:color w:val="auto"/>
                <w:spacing w:val="10"/>
                <w:sz w:val="21"/>
                <w:szCs w:val="21"/>
                <w:vertAlign w:val="subscript"/>
              </w:rPr>
              <w:t>50</w:t>
            </w:r>
            <w:r>
              <w:rPr>
                <w:rFonts w:ascii="宋体" w:hAnsi="宋体" w:eastAsia="宋体"/>
                <w:color w:val="auto"/>
                <w:spacing w:val="10"/>
                <w:sz w:val="21"/>
                <w:szCs w:val="21"/>
              </w:rPr>
              <w:t>：</w:t>
            </w:r>
            <w:r>
              <w:rPr>
                <w:rFonts w:hint="eastAsia" w:ascii="宋体" w:hAnsi="宋体" w:eastAsia="宋体"/>
                <w:color w:val="auto"/>
                <w:spacing w:val="1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9" w:hRule="atLeast"/>
          <w:jc w:val="center"/>
        </w:trPr>
        <w:tc>
          <w:tcPr>
            <w:tcW w:w="476" w:type="dxa"/>
            <w:vMerge w:val="continue"/>
            <w:vAlign w:val="center"/>
          </w:tcPr>
          <w:p>
            <w:pPr>
              <w:widowControl/>
              <w:spacing w:line="360" w:lineRule="auto"/>
              <w:rPr>
                <w:rFonts w:ascii="宋体" w:hAnsi="宋体" w:eastAsia="宋体"/>
                <w:color w:val="auto"/>
                <w:spacing w:val="10"/>
                <w:sz w:val="21"/>
                <w:szCs w:val="21"/>
              </w:rPr>
            </w:pPr>
          </w:p>
        </w:tc>
        <w:tc>
          <w:tcPr>
            <w:tcW w:w="1558" w:type="dxa"/>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健康危害</w:t>
            </w:r>
          </w:p>
        </w:tc>
        <w:tc>
          <w:tcPr>
            <w:tcW w:w="7145" w:type="dxa"/>
            <w:gridSpan w:val="10"/>
            <w:vAlign w:val="center"/>
          </w:tcPr>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蒸气能刺激皮肤和黏膜,吸入蒸气能产生眩晕、头痛、兴奋等症状;吸入高浓度蒸气能造急性中毒。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8" w:hRule="atLeast"/>
          <w:jc w:val="center"/>
        </w:trPr>
        <w:tc>
          <w:tcPr>
            <w:tcW w:w="476" w:type="dxa"/>
            <w:vMerge w:val="continue"/>
            <w:vAlign w:val="center"/>
          </w:tcPr>
          <w:p>
            <w:pPr>
              <w:widowControl/>
              <w:spacing w:line="360" w:lineRule="auto"/>
              <w:rPr>
                <w:rFonts w:ascii="宋体" w:hAnsi="宋体" w:eastAsia="宋体"/>
                <w:color w:val="auto"/>
                <w:spacing w:val="10"/>
                <w:sz w:val="21"/>
                <w:szCs w:val="21"/>
              </w:rPr>
            </w:pPr>
          </w:p>
        </w:tc>
        <w:tc>
          <w:tcPr>
            <w:tcW w:w="1558" w:type="dxa"/>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急救方法</w:t>
            </w:r>
          </w:p>
        </w:tc>
        <w:tc>
          <w:tcPr>
            <w:tcW w:w="7145" w:type="dxa"/>
            <w:gridSpan w:val="10"/>
            <w:vAlign w:val="center"/>
          </w:tcPr>
          <w:p>
            <w:pPr>
              <w:widowControl/>
              <w:shd w:val="clear" w:color="auto" w:fill="FFFFFF"/>
              <w:spacing w:line="360" w:lineRule="auto"/>
              <w:rPr>
                <w:rFonts w:ascii="宋体" w:hAnsi="宋体" w:eastAsia="宋体" w:cs="Arial"/>
                <w:color w:val="auto"/>
                <w:sz w:val="21"/>
                <w:szCs w:val="21"/>
              </w:rPr>
            </w:pPr>
            <w:r>
              <w:rPr>
                <w:rFonts w:hint="eastAsia" w:ascii="宋体" w:hAnsi="宋体" w:eastAsia="宋体" w:cs="Arial"/>
                <w:color w:val="auto"/>
                <w:sz w:val="21"/>
                <w:szCs w:val="21"/>
              </w:rPr>
              <w:t>肤接触:先用稀料擦清油污,再用肥皂彻底洗涤。</w:t>
            </w:r>
          </w:p>
          <w:p>
            <w:pPr>
              <w:widowControl/>
              <w:shd w:val="clear" w:color="auto" w:fill="FFFFFF"/>
              <w:spacing w:line="360" w:lineRule="auto"/>
              <w:rPr>
                <w:rFonts w:ascii="宋体" w:hAnsi="宋体" w:eastAsia="宋体" w:cs="Arial"/>
                <w:color w:val="auto"/>
                <w:sz w:val="21"/>
                <w:szCs w:val="21"/>
              </w:rPr>
            </w:pPr>
            <w:r>
              <w:rPr>
                <w:rFonts w:hint="eastAsia" w:ascii="宋体" w:hAnsi="宋体" w:eastAsia="宋体" w:cs="Arial"/>
                <w:color w:val="auto"/>
                <w:sz w:val="21"/>
                <w:szCs w:val="21"/>
              </w:rPr>
              <w:t>吸入:应使吸入蒸气的患者脱离污染区,安置休息并保暖。严重者就医诊治。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476" w:type="dxa"/>
            <w:vMerge w:val="restart"/>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燃</w:t>
            </w:r>
          </w:p>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烧爆炸危险性</w:t>
            </w:r>
          </w:p>
        </w:tc>
        <w:tc>
          <w:tcPr>
            <w:tcW w:w="1558" w:type="dxa"/>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燃烧性</w:t>
            </w:r>
          </w:p>
        </w:tc>
        <w:tc>
          <w:tcPr>
            <w:tcW w:w="1800" w:type="dxa"/>
            <w:gridSpan w:val="3"/>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易燃</w:t>
            </w:r>
          </w:p>
        </w:tc>
        <w:tc>
          <w:tcPr>
            <w:tcW w:w="2520" w:type="dxa"/>
            <w:gridSpan w:val="4"/>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燃烧分解物</w:t>
            </w:r>
          </w:p>
        </w:tc>
        <w:tc>
          <w:tcPr>
            <w:tcW w:w="2825" w:type="dxa"/>
            <w:gridSpan w:val="3"/>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一氧化碳</w:t>
            </w:r>
            <w:r>
              <w:rPr>
                <w:rFonts w:hint="eastAsia" w:ascii="宋体" w:hAnsi="宋体" w:eastAsia="宋体"/>
                <w:color w:val="auto"/>
                <w:spacing w:val="10"/>
                <w:sz w:val="21"/>
                <w:szCs w:val="21"/>
              </w:rPr>
              <w:t>、</w:t>
            </w:r>
            <w:r>
              <w:rPr>
                <w:rFonts w:ascii="宋体" w:hAnsi="宋体" w:eastAsia="宋体"/>
                <w:color w:val="auto"/>
                <w:spacing w:val="10"/>
                <w:sz w:val="21"/>
                <w:szCs w:val="21"/>
              </w:rPr>
              <w:t>二氧化碳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9" w:hRule="atLeast"/>
          <w:jc w:val="center"/>
        </w:trPr>
        <w:tc>
          <w:tcPr>
            <w:tcW w:w="476" w:type="dxa"/>
            <w:vMerge w:val="continue"/>
            <w:vAlign w:val="center"/>
          </w:tcPr>
          <w:p>
            <w:pPr>
              <w:widowControl/>
              <w:spacing w:line="360" w:lineRule="auto"/>
              <w:rPr>
                <w:rFonts w:ascii="宋体" w:hAnsi="宋体" w:eastAsia="宋体"/>
                <w:color w:val="auto"/>
                <w:spacing w:val="10"/>
                <w:sz w:val="21"/>
                <w:szCs w:val="21"/>
              </w:rPr>
            </w:pPr>
          </w:p>
        </w:tc>
        <w:tc>
          <w:tcPr>
            <w:tcW w:w="1558" w:type="dxa"/>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闪点(℃)</w:t>
            </w:r>
          </w:p>
        </w:tc>
        <w:tc>
          <w:tcPr>
            <w:tcW w:w="1800" w:type="dxa"/>
            <w:gridSpan w:val="3"/>
            <w:vAlign w:val="center"/>
          </w:tcPr>
          <w:p>
            <w:pPr>
              <w:spacing w:line="360" w:lineRule="auto"/>
              <w:rPr>
                <w:rFonts w:ascii="宋体" w:hAnsi="宋体" w:eastAsia="宋体"/>
                <w:color w:val="auto"/>
                <w:spacing w:val="10"/>
                <w:sz w:val="21"/>
                <w:szCs w:val="21"/>
                <w:lang w:eastAsia="zh-CN"/>
              </w:rPr>
            </w:pPr>
            <w:r>
              <w:rPr>
                <w:rFonts w:hint="eastAsia" w:ascii="宋体" w:hAnsi="宋体" w:eastAsia="宋体"/>
                <w:color w:val="auto"/>
                <w:spacing w:val="10"/>
                <w:sz w:val="21"/>
                <w:szCs w:val="21"/>
                <w:lang w:eastAsia="zh-CN"/>
              </w:rPr>
              <w:t>7</w:t>
            </w:r>
          </w:p>
        </w:tc>
        <w:tc>
          <w:tcPr>
            <w:tcW w:w="2520" w:type="dxa"/>
            <w:gridSpan w:val="4"/>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爆炸上限（v%）</w:t>
            </w:r>
          </w:p>
        </w:tc>
        <w:tc>
          <w:tcPr>
            <w:tcW w:w="2825" w:type="dxa"/>
            <w:gridSpan w:val="3"/>
            <w:vAlign w:val="center"/>
          </w:tcPr>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6" w:hRule="atLeast"/>
          <w:jc w:val="center"/>
        </w:trPr>
        <w:tc>
          <w:tcPr>
            <w:tcW w:w="476" w:type="dxa"/>
            <w:vMerge w:val="continue"/>
            <w:vAlign w:val="center"/>
          </w:tcPr>
          <w:p>
            <w:pPr>
              <w:widowControl/>
              <w:spacing w:line="360" w:lineRule="auto"/>
              <w:rPr>
                <w:rFonts w:ascii="宋体" w:hAnsi="宋体" w:eastAsia="宋体"/>
                <w:color w:val="auto"/>
                <w:spacing w:val="10"/>
                <w:sz w:val="21"/>
                <w:szCs w:val="21"/>
              </w:rPr>
            </w:pPr>
          </w:p>
        </w:tc>
        <w:tc>
          <w:tcPr>
            <w:tcW w:w="1558" w:type="dxa"/>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引燃温度(℃)</w:t>
            </w:r>
          </w:p>
        </w:tc>
        <w:tc>
          <w:tcPr>
            <w:tcW w:w="1800" w:type="dxa"/>
            <w:gridSpan w:val="3"/>
            <w:vAlign w:val="center"/>
          </w:tcPr>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w:t>
            </w:r>
          </w:p>
        </w:tc>
        <w:tc>
          <w:tcPr>
            <w:tcW w:w="2520" w:type="dxa"/>
            <w:gridSpan w:val="4"/>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爆炸下限（v%）</w:t>
            </w:r>
          </w:p>
        </w:tc>
        <w:tc>
          <w:tcPr>
            <w:tcW w:w="2825" w:type="dxa"/>
            <w:gridSpan w:val="3"/>
            <w:vAlign w:val="center"/>
          </w:tcPr>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8" w:hRule="atLeast"/>
          <w:jc w:val="center"/>
        </w:trPr>
        <w:tc>
          <w:tcPr>
            <w:tcW w:w="476" w:type="dxa"/>
            <w:vMerge w:val="continue"/>
            <w:vAlign w:val="center"/>
          </w:tcPr>
          <w:p>
            <w:pPr>
              <w:widowControl/>
              <w:spacing w:line="360" w:lineRule="auto"/>
              <w:rPr>
                <w:rFonts w:ascii="宋体" w:hAnsi="宋体" w:eastAsia="宋体"/>
                <w:color w:val="auto"/>
                <w:spacing w:val="10"/>
                <w:sz w:val="21"/>
                <w:szCs w:val="21"/>
              </w:rPr>
            </w:pPr>
          </w:p>
        </w:tc>
        <w:tc>
          <w:tcPr>
            <w:tcW w:w="1558" w:type="dxa"/>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危险特性</w:t>
            </w:r>
          </w:p>
        </w:tc>
        <w:tc>
          <w:tcPr>
            <w:tcW w:w="7145" w:type="dxa"/>
            <w:gridSpan w:val="10"/>
            <w:vAlign w:val="center"/>
          </w:tcPr>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遇明火、高热易燃烧。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0" w:hRule="atLeast"/>
          <w:jc w:val="center"/>
        </w:trPr>
        <w:tc>
          <w:tcPr>
            <w:tcW w:w="476" w:type="dxa"/>
            <w:vMerge w:val="continue"/>
            <w:vAlign w:val="center"/>
          </w:tcPr>
          <w:p>
            <w:pPr>
              <w:widowControl/>
              <w:spacing w:line="360" w:lineRule="auto"/>
              <w:rPr>
                <w:rFonts w:ascii="宋体" w:hAnsi="宋体" w:eastAsia="宋体"/>
                <w:color w:val="auto"/>
                <w:spacing w:val="10"/>
                <w:sz w:val="21"/>
                <w:szCs w:val="21"/>
              </w:rPr>
            </w:pPr>
          </w:p>
        </w:tc>
        <w:tc>
          <w:tcPr>
            <w:tcW w:w="1558" w:type="dxa"/>
            <w:vAlign w:val="center"/>
          </w:tcPr>
          <w:p>
            <w:pPr>
              <w:spacing w:line="360" w:lineRule="auto"/>
              <w:rPr>
                <w:rFonts w:ascii="宋体" w:hAnsi="宋体" w:eastAsia="宋体"/>
                <w:color w:val="auto"/>
                <w:spacing w:val="4"/>
                <w:sz w:val="21"/>
                <w:szCs w:val="21"/>
              </w:rPr>
            </w:pPr>
            <w:r>
              <w:rPr>
                <w:rFonts w:ascii="宋体" w:hAnsi="宋体" w:eastAsia="宋体"/>
                <w:color w:val="auto"/>
                <w:spacing w:val="4"/>
                <w:sz w:val="21"/>
                <w:szCs w:val="21"/>
              </w:rPr>
              <w:t>建规火险分级</w:t>
            </w:r>
          </w:p>
        </w:tc>
        <w:tc>
          <w:tcPr>
            <w:tcW w:w="1800" w:type="dxa"/>
            <w:gridSpan w:val="3"/>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甲</w:t>
            </w:r>
          </w:p>
        </w:tc>
        <w:tc>
          <w:tcPr>
            <w:tcW w:w="1236" w:type="dxa"/>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稳定性</w:t>
            </w:r>
          </w:p>
        </w:tc>
        <w:tc>
          <w:tcPr>
            <w:tcW w:w="1284" w:type="dxa"/>
            <w:gridSpan w:val="3"/>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稳定</w:t>
            </w:r>
          </w:p>
        </w:tc>
        <w:tc>
          <w:tcPr>
            <w:tcW w:w="1455" w:type="dxa"/>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聚合危害</w:t>
            </w:r>
          </w:p>
        </w:tc>
        <w:tc>
          <w:tcPr>
            <w:tcW w:w="1370" w:type="dxa"/>
            <w:gridSpan w:val="2"/>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不聚合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8" w:hRule="atLeast"/>
          <w:jc w:val="center"/>
        </w:trPr>
        <w:tc>
          <w:tcPr>
            <w:tcW w:w="476" w:type="dxa"/>
            <w:vMerge w:val="continue"/>
            <w:vAlign w:val="center"/>
          </w:tcPr>
          <w:p>
            <w:pPr>
              <w:widowControl/>
              <w:spacing w:line="360" w:lineRule="auto"/>
              <w:rPr>
                <w:rFonts w:ascii="宋体" w:hAnsi="宋体" w:eastAsia="宋体"/>
                <w:color w:val="auto"/>
                <w:spacing w:val="10"/>
                <w:sz w:val="21"/>
                <w:szCs w:val="21"/>
              </w:rPr>
            </w:pPr>
          </w:p>
        </w:tc>
        <w:tc>
          <w:tcPr>
            <w:tcW w:w="1558" w:type="dxa"/>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禁忌物</w:t>
            </w:r>
          </w:p>
        </w:tc>
        <w:tc>
          <w:tcPr>
            <w:tcW w:w="7145" w:type="dxa"/>
            <w:gridSpan w:val="10"/>
            <w:vAlign w:val="center"/>
          </w:tcPr>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强氧化剂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2" w:hRule="atLeast"/>
          <w:jc w:val="center"/>
        </w:trPr>
        <w:tc>
          <w:tcPr>
            <w:tcW w:w="476" w:type="dxa"/>
            <w:vMerge w:val="continue"/>
            <w:vAlign w:val="center"/>
          </w:tcPr>
          <w:p>
            <w:pPr>
              <w:widowControl/>
              <w:spacing w:line="360" w:lineRule="auto"/>
              <w:rPr>
                <w:rFonts w:ascii="宋体" w:hAnsi="宋体" w:eastAsia="宋体"/>
                <w:color w:val="auto"/>
                <w:spacing w:val="10"/>
                <w:sz w:val="21"/>
                <w:szCs w:val="21"/>
              </w:rPr>
            </w:pPr>
          </w:p>
        </w:tc>
        <w:tc>
          <w:tcPr>
            <w:tcW w:w="1558" w:type="dxa"/>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储运条件</w:t>
            </w:r>
          </w:p>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与泄漏处理</w:t>
            </w:r>
          </w:p>
        </w:tc>
        <w:tc>
          <w:tcPr>
            <w:tcW w:w="7145" w:type="dxa"/>
            <w:gridSpan w:val="10"/>
            <w:vAlign w:val="center"/>
          </w:tcPr>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储运条件：储存于阴凉、通风的库房中。催化剂与清漆应隔离储存。与其他氧化剂隔离储运。远离火种、热源。搬运时轻装轻卸，防止容器破损。避免几种组分混杂。</w:t>
            </w:r>
          </w:p>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泄漏处理：首先切断一切火源，戴好防毒面具与手套。用砂土洗手，倒至空旷地方掩埋。被污染的地面，用油漆刀刮清。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76" w:type="dxa"/>
            <w:vMerge w:val="continue"/>
            <w:vAlign w:val="center"/>
          </w:tcPr>
          <w:p>
            <w:pPr>
              <w:widowControl/>
              <w:spacing w:line="360" w:lineRule="auto"/>
              <w:rPr>
                <w:rFonts w:ascii="宋体" w:hAnsi="宋体" w:eastAsia="宋体"/>
                <w:color w:val="auto"/>
                <w:spacing w:val="10"/>
                <w:sz w:val="21"/>
                <w:szCs w:val="21"/>
              </w:rPr>
            </w:pPr>
          </w:p>
        </w:tc>
        <w:tc>
          <w:tcPr>
            <w:tcW w:w="1558" w:type="dxa"/>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灭火方法</w:t>
            </w:r>
          </w:p>
        </w:tc>
        <w:tc>
          <w:tcPr>
            <w:tcW w:w="7145" w:type="dxa"/>
            <w:gridSpan w:val="10"/>
            <w:vAlign w:val="center"/>
          </w:tcPr>
          <w:p>
            <w:pPr>
              <w:spacing w:line="360" w:lineRule="auto"/>
              <w:ind w:left="-4"/>
              <w:rPr>
                <w:rFonts w:ascii="宋体" w:hAnsi="宋体" w:eastAsia="宋体"/>
                <w:color w:val="auto"/>
                <w:spacing w:val="10"/>
                <w:sz w:val="21"/>
                <w:szCs w:val="21"/>
              </w:rPr>
            </w:pPr>
            <w:r>
              <w:rPr>
                <w:rFonts w:hint="eastAsia" w:ascii="宋体" w:hAnsi="宋体" w:eastAsia="宋体"/>
                <w:color w:val="auto"/>
                <w:spacing w:val="10"/>
                <w:sz w:val="21"/>
                <w:szCs w:val="21"/>
              </w:rPr>
              <w:t>用泡沫、雾状水、二氧化碳、干粉灭火，消防人员应穿防毒面具与消防服。</w:t>
            </w:r>
          </w:p>
        </w:tc>
      </w:tr>
    </w:tbl>
    <w:p>
      <w:pPr>
        <w:spacing w:line="560" w:lineRule="exact"/>
        <w:jc w:val="center"/>
        <w:outlineLvl w:val="2"/>
        <w:rPr>
          <w:rFonts w:ascii="宋体" w:hAnsi="宋体" w:eastAsia="宋体" w:cs="Times New Roman"/>
          <w:b/>
          <w:bCs/>
          <w:color w:val="auto"/>
          <w:kern w:val="2"/>
          <w:lang w:val="en-US" w:eastAsia="zh-CN" w:bidi="ar-SA"/>
        </w:rPr>
      </w:pPr>
      <w:r>
        <w:rPr>
          <w:rFonts w:hint="eastAsia" w:ascii="宋体" w:hAnsi="宋体" w:eastAsia="宋体" w:cs="Times New Roman"/>
          <w:b/>
          <w:bCs/>
          <w:color w:val="auto"/>
          <w:kern w:val="2"/>
          <w:lang w:val="en-US" w:eastAsia="zh-CN" w:bidi="ar-SA"/>
        </w:rPr>
        <w:t>附表1-8二甲苯异构体混合物</w:t>
      </w:r>
      <w:r>
        <w:rPr>
          <w:rFonts w:ascii="宋体" w:hAnsi="宋体" w:eastAsia="宋体" w:cs="Times New Roman"/>
          <w:b/>
          <w:bCs/>
          <w:color w:val="auto"/>
          <w:kern w:val="2"/>
          <w:lang w:val="en-US" w:eastAsia="zh-CN" w:bidi="ar-SA"/>
        </w:rPr>
        <w:t>的理化性质及危险特性</w:t>
      </w:r>
      <w:bookmarkEnd w:id="165"/>
      <w:bookmarkEnd w:id="166"/>
    </w:p>
    <w:tbl>
      <w:tblPr>
        <w:tblStyle w:val="45"/>
        <w:tblW w:w="9179" w:type="dxa"/>
        <w:jc w:val="center"/>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
      <w:tblGrid>
        <w:gridCol w:w="476"/>
        <w:gridCol w:w="1856"/>
        <w:gridCol w:w="904"/>
        <w:gridCol w:w="255"/>
        <w:gridCol w:w="360"/>
        <w:gridCol w:w="1043"/>
        <w:gridCol w:w="321"/>
        <w:gridCol w:w="722"/>
        <w:gridCol w:w="237"/>
        <w:gridCol w:w="1384"/>
        <w:gridCol w:w="718"/>
        <w:gridCol w:w="903"/>
      </w:tblGrid>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99" w:hRule="atLeast"/>
          <w:jc w:val="center"/>
        </w:trPr>
        <w:tc>
          <w:tcPr>
            <w:tcW w:w="476" w:type="dxa"/>
            <w:vMerge w:val="restart"/>
            <w:tcBorders>
              <w:top w:val="single" w:color="auto" w:sz="6" w:space="0"/>
              <w:left w:val="single" w:color="auto" w:sz="6" w:space="0"/>
              <w:bottom w:val="single" w:color="auto" w:sz="6" w:space="0"/>
              <w:right w:val="single" w:color="auto" w:sz="6" w:space="0"/>
            </w:tcBorders>
            <w:vAlign w:val="center"/>
          </w:tcPr>
          <w:p>
            <w:pPr>
              <w:spacing w:line="360" w:lineRule="auto"/>
              <w:rPr>
                <w:rFonts w:ascii="宋体" w:hAnsi="宋体" w:eastAsia="宋体" w:cs="Arial"/>
                <w:color w:val="auto"/>
                <w:spacing w:val="10"/>
                <w:sz w:val="21"/>
                <w:szCs w:val="21"/>
              </w:rPr>
            </w:pPr>
            <w:bookmarkStart w:id="167" w:name="_Toc205087576"/>
            <w:bookmarkStart w:id="168" w:name="_Toc174954641"/>
            <w:r>
              <w:rPr>
                <w:rFonts w:hint="eastAsia" w:ascii="宋体" w:hAnsi="宋体" w:eastAsia="宋体" w:cs="Arial"/>
                <w:color w:val="auto"/>
                <w:spacing w:val="10"/>
                <w:sz w:val="21"/>
                <w:szCs w:val="21"/>
              </w:rPr>
              <w:t>标识</w:t>
            </w:r>
          </w:p>
        </w:tc>
        <w:tc>
          <w:tcPr>
            <w:tcW w:w="5698" w:type="dxa"/>
            <w:gridSpan w:val="8"/>
            <w:tcBorders>
              <w:top w:val="single" w:color="auto" w:sz="6" w:space="0"/>
              <w:left w:val="single" w:color="auto" w:sz="6" w:space="0"/>
              <w:bottom w:val="single" w:color="auto" w:sz="6" w:space="0"/>
              <w:right w:val="single" w:color="auto" w:sz="6" w:space="0"/>
            </w:tcBorders>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中文名：</w:t>
            </w:r>
            <w:r>
              <w:rPr>
                <w:rFonts w:ascii="宋体" w:hAnsi="宋体" w:eastAsia="宋体" w:cs="Arial"/>
                <w:color w:val="auto"/>
                <w:sz w:val="21"/>
                <w:szCs w:val="21"/>
              </w:rPr>
              <w:t>二甲苯异构体混合物</w:t>
            </w:r>
            <w:r>
              <w:rPr>
                <w:rFonts w:ascii="宋体" w:hAnsi="宋体" w:eastAsia="宋体" w:cs="Arial"/>
                <w:color w:val="auto"/>
                <w:spacing w:val="10"/>
                <w:sz w:val="21"/>
                <w:szCs w:val="21"/>
              </w:rPr>
              <w:t>；</w:t>
            </w:r>
            <w:r>
              <w:rPr>
                <w:rFonts w:ascii="宋体" w:hAnsi="宋体" w:eastAsia="宋体" w:cs="Arial"/>
                <w:color w:val="auto"/>
                <w:sz w:val="21"/>
                <w:szCs w:val="21"/>
              </w:rPr>
              <w:t>混合二甲苯</w:t>
            </w:r>
          </w:p>
        </w:tc>
        <w:tc>
          <w:tcPr>
            <w:tcW w:w="3005" w:type="dxa"/>
            <w:gridSpan w:val="3"/>
            <w:tcBorders>
              <w:top w:val="single" w:color="auto" w:sz="6" w:space="0"/>
              <w:left w:val="single" w:color="auto" w:sz="6" w:space="0"/>
              <w:bottom w:val="single" w:color="auto" w:sz="6" w:space="0"/>
              <w:right w:val="single" w:color="auto" w:sz="6" w:space="0"/>
            </w:tcBorders>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危险</w:t>
            </w:r>
            <w:r>
              <w:rPr>
                <w:rFonts w:hint="eastAsia" w:ascii="宋体" w:hAnsi="宋体" w:eastAsia="宋体" w:cs="Arial"/>
                <w:color w:val="auto"/>
                <w:spacing w:val="10"/>
                <w:sz w:val="21"/>
                <w:szCs w:val="21"/>
              </w:rPr>
              <w:t>化学品序号：358</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75" w:hRule="atLeast"/>
          <w:jc w:val="center"/>
        </w:trPr>
        <w:tc>
          <w:tcPr>
            <w:tcW w:w="476" w:type="dxa"/>
            <w:vMerge w:val="continue"/>
            <w:tcBorders>
              <w:top w:val="single" w:color="auto" w:sz="6" w:space="0"/>
              <w:left w:val="single" w:color="auto" w:sz="6" w:space="0"/>
              <w:bottom w:val="single" w:color="auto" w:sz="6" w:space="0"/>
              <w:right w:val="single" w:color="auto" w:sz="6" w:space="0"/>
            </w:tcBorders>
            <w:vAlign w:val="center"/>
          </w:tcPr>
          <w:p>
            <w:pPr>
              <w:spacing w:line="360" w:lineRule="auto"/>
              <w:rPr>
                <w:rFonts w:ascii="宋体" w:hAnsi="宋体" w:eastAsia="宋体"/>
                <w:color w:val="auto"/>
                <w:sz w:val="21"/>
                <w:szCs w:val="21"/>
              </w:rPr>
            </w:pPr>
          </w:p>
        </w:tc>
        <w:tc>
          <w:tcPr>
            <w:tcW w:w="5698" w:type="dxa"/>
            <w:gridSpan w:val="8"/>
            <w:tcBorders>
              <w:top w:val="single" w:color="auto" w:sz="6" w:space="0"/>
              <w:left w:val="single" w:color="auto" w:sz="6" w:space="0"/>
              <w:bottom w:val="single" w:color="auto" w:sz="6" w:space="0"/>
              <w:right w:val="single" w:color="auto" w:sz="6" w:space="0"/>
            </w:tcBorders>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英文名：</w:t>
            </w:r>
            <w:r>
              <w:rPr>
                <w:rFonts w:ascii="宋体" w:hAnsi="宋体" w:eastAsia="宋体" w:cs="Arial"/>
                <w:color w:val="auto"/>
                <w:sz w:val="21"/>
                <w:szCs w:val="21"/>
              </w:rPr>
              <w:t>xylene mixed isomers</w:t>
            </w:r>
          </w:p>
        </w:tc>
        <w:tc>
          <w:tcPr>
            <w:tcW w:w="3005" w:type="dxa"/>
            <w:gridSpan w:val="3"/>
            <w:tcBorders>
              <w:top w:val="single" w:color="auto" w:sz="6" w:space="0"/>
              <w:left w:val="single" w:color="auto" w:sz="6" w:space="0"/>
              <w:bottom w:val="single" w:color="auto" w:sz="6" w:space="0"/>
              <w:right w:val="single" w:color="auto" w:sz="6" w:space="0"/>
            </w:tcBorders>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UN编号：1307</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51" w:hRule="atLeast"/>
          <w:jc w:val="center"/>
        </w:trPr>
        <w:tc>
          <w:tcPr>
            <w:tcW w:w="476" w:type="dxa"/>
            <w:vMerge w:val="continue"/>
            <w:tcBorders>
              <w:top w:val="single" w:color="auto" w:sz="6" w:space="0"/>
              <w:left w:val="single" w:color="auto" w:sz="6" w:space="0"/>
              <w:bottom w:val="single" w:color="auto" w:sz="6" w:space="0"/>
              <w:right w:val="single" w:color="auto" w:sz="6" w:space="0"/>
            </w:tcBorders>
            <w:vAlign w:val="center"/>
          </w:tcPr>
          <w:p>
            <w:pPr>
              <w:spacing w:line="360" w:lineRule="auto"/>
              <w:rPr>
                <w:rFonts w:ascii="宋体" w:hAnsi="宋体" w:eastAsia="宋体"/>
                <w:color w:val="auto"/>
                <w:sz w:val="21"/>
                <w:szCs w:val="21"/>
              </w:rPr>
            </w:pPr>
          </w:p>
        </w:tc>
        <w:tc>
          <w:tcPr>
            <w:tcW w:w="3015" w:type="dxa"/>
            <w:gridSpan w:val="3"/>
            <w:tcBorders>
              <w:top w:val="single" w:color="auto" w:sz="6" w:space="0"/>
              <w:left w:val="single" w:color="auto" w:sz="6" w:space="0"/>
              <w:bottom w:val="single" w:color="auto" w:sz="6" w:space="0"/>
              <w:right w:val="single" w:color="auto" w:sz="6" w:space="0"/>
            </w:tcBorders>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分子式：C</w:t>
            </w:r>
            <w:r>
              <w:rPr>
                <w:rFonts w:ascii="宋体" w:hAnsi="宋体" w:eastAsia="宋体" w:cs="Arial"/>
                <w:color w:val="auto"/>
                <w:spacing w:val="10"/>
                <w:sz w:val="21"/>
                <w:szCs w:val="21"/>
                <w:vertAlign w:val="subscript"/>
              </w:rPr>
              <w:t>8</w:t>
            </w:r>
            <w:r>
              <w:rPr>
                <w:rFonts w:ascii="宋体" w:hAnsi="宋体" w:eastAsia="宋体" w:cs="Arial"/>
                <w:color w:val="auto"/>
                <w:spacing w:val="10"/>
                <w:sz w:val="21"/>
                <w:szCs w:val="21"/>
              </w:rPr>
              <w:t>H</w:t>
            </w:r>
            <w:r>
              <w:rPr>
                <w:rFonts w:ascii="宋体" w:hAnsi="宋体" w:eastAsia="宋体" w:cs="Arial"/>
                <w:color w:val="auto"/>
                <w:spacing w:val="10"/>
                <w:sz w:val="21"/>
                <w:szCs w:val="21"/>
                <w:vertAlign w:val="subscript"/>
              </w:rPr>
              <w:t>10</w:t>
            </w:r>
          </w:p>
        </w:tc>
        <w:tc>
          <w:tcPr>
            <w:tcW w:w="2683" w:type="dxa"/>
            <w:gridSpan w:val="5"/>
            <w:tcBorders>
              <w:top w:val="single" w:color="auto" w:sz="6" w:space="0"/>
              <w:left w:val="single" w:color="auto" w:sz="6" w:space="0"/>
              <w:bottom w:val="single" w:color="auto" w:sz="6" w:space="0"/>
              <w:right w:val="single" w:color="auto" w:sz="6" w:space="0"/>
            </w:tcBorders>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分子量：106.2</w:t>
            </w:r>
          </w:p>
        </w:tc>
        <w:tc>
          <w:tcPr>
            <w:tcW w:w="3005" w:type="dxa"/>
            <w:gridSpan w:val="3"/>
            <w:tcBorders>
              <w:top w:val="single" w:color="auto" w:sz="6" w:space="0"/>
              <w:left w:val="single" w:color="auto" w:sz="6" w:space="0"/>
              <w:bottom w:val="single" w:color="auto" w:sz="6" w:space="0"/>
              <w:right w:val="single" w:color="auto" w:sz="6" w:space="0"/>
            </w:tcBorders>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CAS号：1330-20-7</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302" w:hRule="atLeast"/>
          <w:jc w:val="center"/>
        </w:trPr>
        <w:tc>
          <w:tcPr>
            <w:tcW w:w="476" w:type="dxa"/>
            <w:vMerge w:val="restart"/>
            <w:tcBorders>
              <w:top w:val="single" w:color="auto" w:sz="6" w:space="0"/>
              <w:left w:val="single" w:color="auto" w:sz="6" w:space="0"/>
              <w:right w:val="single" w:color="auto" w:sz="6" w:space="0"/>
            </w:tcBorders>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理化性质</w:t>
            </w:r>
          </w:p>
        </w:tc>
        <w:tc>
          <w:tcPr>
            <w:tcW w:w="1856" w:type="dxa"/>
            <w:tcBorders>
              <w:top w:val="single" w:color="auto" w:sz="6" w:space="0"/>
              <w:left w:val="single" w:color="auto" w:sz="6" w:space="0"/>
              <w:bottom w:val="single" w:color="auto" w:sz="6" w:space="0"/>
              <w:right w:val="single" w:color="auto" w:sz="6" w:space="0"/>
            </w:tcBorders>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外观与性状</w:t>
            </w:r>
          </w:p>
        </w:tc>
        <w:tc>
          <w:tcPr>
            <w:tcW w:w="6847" w:type="dxa"/>
            <w:gridSpan w:val="10"/>
            <w:tcBorders>
              <w:top w:val="single" w:color="auto" w:sz="6" w:space="0"/>
              <w:left w:val="single" w:color="auto" w:sz="6" w:space="0"/>
              <w:bottom w:val="single" w:color="auto" w:sz="6" w:space="0"/>
              <w:right w:val="single" w:color="auto" w:sz="6" w:space="0"/>
            </w:tcBorders>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z w:val="21"/>
                <w:szCs w:val="21"/>
              </w:rPr>
              <w:t>无色透明液体，有强烈芳香味。</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92" w:hRule="atLeast"/>
          <w:jc w:val="center"/>
        </w:trPr>
        <w:tc>
          <w:tcPr>
            <w:tcW w:w="476" w:type="dxa"/>
            <w:vMerge w:val="continue"/>
            <w:tcBorders>
              <w:left w:val="single" w:color="auto" w:sz="6" w:space="0"/>
              <w:right w:val="single" w:color="auto" w:sz="6" w:space="0"/>
            </w:tcBorders>
            <w:vAlign w:val="center"/>
          </w:tcPr>
          <w:p>
            <w:pPr>
              <w:spacing w:line="360" w:lineRule="auto"/>
              <w:rPr>
                <w:rFonts w:ascii="宋体" w:hAnsi="宋体" w:eastAsia="宋体"/>
                <w:color w:val="auto"/>
                <w:sz w:val="21"/>
                <w:szCs w:val="21"/>
              </w:rPr>
            </w:pPr>
          </w:p>
        </w:tc>
        <w:tc>
          <w:tcPr>
            <w:tcW w:w="1856" w:type="dxa"/>
            <w:tcBorders>
              <w:top w:val="single" w:color="auto" w:sz="6" w:space="0"/>
              <w:left w:val="single" w:color="auto" w:sz="6" w:space="0"/>
              <w:bottom w:val="single" w:color="auto" w:sz="6" w:space="0"/>
              <w:right w:val="single" w:color="auto" w:sz="6" w:space="0"/>
            </w:tcBorders>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熔点（</w:t>
            </w:r>
            <w:r>
              <w:rPr>
                <w:rFonts w:hint="eastAsia" w:ascii="宋体" w:hAnsi="宋体" w:eastAsia="宋体" w:cs="Arial"/>
                <w:color w:val="auto"/>
                <w:spacing w:val="10"/>
                <w:sz w:val="21"/>
                <w:szCs w:val="21"/>
              </w:rPr>
              <w:t>℃</w:t>
            </w:r>
            <w:r>
              <w:rPr>
                <w:rFonts w:ascii="宋体" w:hAnsi="宋体" w:eastAsia="宋体" w:cs="Arial"/>
                <w:color w:val="auto"/>
                <w:spacing w:val="10"/>
                <w:sz w:val="21"/>
                <w:szCs w:val="21"/>
              </w:rPr>
              <w:t>）</w:t>
            </w:r>
          </w:p>
        </w:tc>
        <w:tc>
          <w:tcPr>
            <w:tcW w:w="904" w:type="dxa"/>
            <w:tcBorders>
              <w:top w:val="single" w:color="auto" w:sz="6" w:space="0"/>
              <w:left w:val="single" w:color="auto" w:sz="6" w:space="0"/>
              <w:bottom w:val="single" w:color="auto" w:sz="6" w:space="0"/>
              <w:right w:val="single" w:color="auto" w:sz="6" w:space="0"/>
            </w:tcBorders>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w:t>
            </w:r>
          </w:p>
        </w:tc>
        <w:tc>
          <w:tcPr>
            <w:tcW w:w="1979" w:type="dxa"/>
            <w:gridSpan w:val="4"/>
            <w:tcBorders>
              <w:top w:val="single" w:color="auto" w:sz="6" w:space="0"/>
              <w:left w:val="single" w:color="auto" w:sz="6" w:space="0"/>
              <w:bottom w:val="single" w:color="auto" w:sz="6" w:space="0"/>
              <w:right w:val="single" w:color="auto" w:sz="6" w:space="0"/>
            </w:tcBorders>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相对密度(水=1)</w:t>
            </w:r>
          </w:p>
        </w:tc>
        <w:tc>
          <w:tcPr>
            <w:tcW w:w="959" w:type="dxa"/>
            <w:gridSpan w:val="2"/>
            <w:tcBorders>
              <w:top w:val="single" w:color="auto" w:sz="6" w:space="0"/>
              <w:left w:val="single" w:color="auto" w:sz="6" w:space="0"/>
              <w:bottom w:val="single" w:color="auto" w:sz="6" w:space="0"/>
              <w:right w:val="single" w:color="auto" w:sz="6" w:space="0"/>
            </w:tcBorders>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z w:val="21"/>
                <w:szCs w:val="21"/>
              </w:rPr>
              <w:t>0.86</w:t>
            </w:r>
          </w:p>
        </w:tc>
        <w:tc>
          <w:tcPr>
            <w:tcW w:w="2102" w:type="dxa"/>
            <w:gridSpan w:val="2"/>
            <w:tcBorders>
              <w:top w:val="single" w:color="auto" w:sz="6" w:space="0"/>
              <w:left w:val="single" w:color="auto" w:sz="6" w:space="0"/>
              <w:bottom w:val="single" w:color="auto" w:sz="6" w:space="0"/>
              <w:right w:val="single" w:color="auto" w:sz="6" w:space="0"/>
            </w:tcBorders>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相对密度(空气=1)</w:t>
            </w:r>
          </w:p>
        </w:tc>
        <w:tc>
          <w:tcPr>
            <w:tcW w:w="903" w:type="dxa"/>
            <w:tcBorders>
              <w:top w:val="single" w:color="auto" w:sz="6" w:space="0"/>
              <w:left w:val="single" w:color="auto" w:sz="6" w:space="0"/>
              <w:bottom w:val="single" w:color="auto" w:sz="6" w:space="0"/>
              <w:right w:val="single" w:color="auto" w:sz="6" w:space="0"/>
            </w:tcBorders>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68" w:hRule="atLeast"/>
          <w:jc w:val="center"/>
        </w:trPr>
        <w:tc>
          <w:tcPr>
            <w:tcW w:w="476" w:type="dxa"/>
            <w:vMerge w:val="continue"/>
            <w:tcBorders>
              <w:left w:val="single" w:color="auto" w:sz="6" w:space="0"/>
              <w:right w:val="single" w:color="auto" w:sz="6" w:space="0"/>
            </w:tcBorders>
            <w:vAlign w:val="center"/>
          </w:tcPr>
          <w:p>
            <w:pPr>
              <w:spacing w:line="360" w:lineRule="auto"/>
              <w:rPr>
                <w:rFonts w:ascii="宋体" w:hAnsi="宋体" w:eastAsia="宋体"/>
                <w:color w:val="auto"/>
                <w:sz w:val="21"/>
                <w:szCs w:val="21"/>
              </w:rPr>
            </w:pPr>
          </w:p>
        </w:tc>
        <w:tc>
          <w:tcPr>
            <w:tcW w:w="1856" w:type="dxa"/>
            <w:tcBorders>
              <w:top w:val="single" w:color="auto" w:sz="6" w:space="0"/>
              <w:left w:val="single" w:color="auto" w:sz="6" w:space="0"/>
              <w:bottom w:val="single" w:color="auto" w:sz="6" w:space="0"/>
              <w:right w:val="single" w:color="auto" w:sz="6" w:space="0"/>
            </w:tcBorders>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沸点（</w:t>
            </w:r>
            <w:r>
              <w:rPr>
                <w:rFonts w:hint="eastAsia" w:ascii="宋体" w:hAnsi="宋体" w:eastAsia="宋体" w:cs="Arial"/>
                <w:color w:val="auto"/>
                <w:spacing w:val="10"/>
                <w:sz w:val="21"/>
                <w:szCs w:val="21"/>
              </w:rPr>
              <w:t>℃</w:t>
            </w:r>
            <w:r>
              <w:rPr>
                <w:rFonts w:ascii="宋体" w:hAnsi="宋体" w:eastAsia="宋体" w:cs="Arial"/>
                <w:color w:val="auto"/>
                <w:spacing w:val="10"/>
                <w:sz w:val="21"/>
                <w:szCs w:val="21"/>
              </w:rPr>
              <w:t>）</w:t>
            </w:r>
          </w:p>
        </w:tc>
        <w:tc>
          <w:tcPr>
            <w:tcW w:w="904" w:type="dxa"/>
            <w:tcBorders>
              <w:top w:val="single" w:color="auto" w:sz="6" w:space="0"/>
              <w:left w:val="single" w:color="auto" w:sz="6" w:space="0"/>
              <w:bottom w:val="single" w:color="auto" w:sz="6" w:space="0"/>
              <w:right w:val="single" w:color="auto" w:sz="6" w:space="0"/>
            </w:tcBorders>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w:t>
            </w:r>
          </w:p>
        </w:tc>
        <w:tc>
          <w:tcPr>
            <w:tcW w:w="2938" w:type="dxa"/>
            <w:gridSpan w:val="6"/>
            <w:tcBorders>
              <w:top w:val="single" w:color="auto" w:sz="6" w:space="0"/>
              <w:left w:val="single" w:color="auto" w:sz="6" w:space="0"/>
              <w:bottom w:val="single" w:color="auto" w:sz="6" w:space="0"/>
              <w:right w:val="single" w:color="auto" w:sz="6" w:space="0"/>
            </w:tcBorders>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饱和蒸气压（kPa）</w:t>
            </w:r>
          </w:p>
        </w:tc>
        <w:tc>
          <w:tcPr>
            <w:tcW w:w="3005" w:type="dxa"/>
            <w:gridSpan w:val="3"/>
            <w:tcBorders>
              <w:top w:val="single" w:color="auto" w:sz="6" w:space="0"/>
              <w:left w:val="single" w:color="auto" w:sz="6" w:space="0"/>
              <w:bottom w:val="single" w:color="auto" w:sz="6" w:space="0"/>
              <w:right w:val="single" w:color="auto" w:sz="6" w:space="0"/>
            </w:tcBorders>
            <w:vAlign w:val="center"/>
          </w:tcPr>
          <w:p>
            <w:pPr>
              <w:spacing w:line="360" w:lineRule="auto"/>
              <w:rPr>
                <w:rFonts w:ascii="宋体" w:hAnsi="宋体" w:eastAsia="宋体" w:cs="Arial"/>
                <w:color w:val="auto"/>
                <w:spacing w:val="10"/>
                <w:sz w:val="21"/>
                <w:szCs w:val="21"/>
              </w:rPr>
            </w:pP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PrEx>
        <w:trPr>
          <w:cantSplit/>
          <w:trHeight w:val="303" w:hRule="atLeast"/>
          <w:jc w:val="center"/>
        </w:trPr>
        <w:tc>
          <w:tcPr>
            <w:tcW w:w="476" w:type="dxa"/>
            <w:vMerge w:val="continue"/>
            <w:tcBorders>
              <w:left w:val="single" w:color="auto" w:sz="6" w:space="0"/>
              <w:right w:val="single" w:color="auto" w:sz="6" w:space="0"/>
            </w:tcBorders>
            <w:vAlign w:val="center"/>
          </w:tcPr>
          <w:p>
            <w:pPr>
              <w:spacing w:line="360" w:lineRule="auto"/>
              <w:rPr>
                <w:rFonts w:ascii="宋体" w:hAnsi="宋体" w:eastAsia="宋体"/>
                <w:color w:val="auto"/>
                <w:sz w:val="21"/>
                <w:szCs w:val="21"/>
              </w:rPr>
            </w:pPr>
          </w:p>
        </w:tc>
        <w:tc>
          <w:tcPr>
            <w:tcW w:w="1856" w:type="dxa"/>
            <w:tcBorders>
              <w:top w:val="single" w:color="auto" w:sz="6" w:space="0"/>
              <w:left w:val="single" w:color="auto" w:sz="6" w:space="0"/>
              <w:bottom w:val="single" w:color="auto" w:sz="4" w:space="0"/>
              <w:right w:val="single" w:color="auto" w:sz="6" w:space="0"/>
            </w:tcBorders>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溶解性</w:t>
            </w:r>
          </w:p>
        </w:tc>
        <w:tc>
          <w:tcPr>
            <w:tcW w:w="6847" w:type="dxa"/>
            <w:gridSpan w:val="10"/>
            <w:tcBorders>
              <w:top w:val="single" w:color="auto" w:sz="6" w:space="0"/>
              <w:left w:val="single" w:color="auto" w:sz="6" w:space="0"/>
              <w:bottom w:val="single" w:color="auto" w:sz="4" w:space="0"/>
              <w:right w:val="single" w:color="auto" w:sz="6" w:space="0"/>
            </w:tcBorders>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z w:val="21"/>
                <w:szCs w:val="21"/>
              </w:rPr>
              <w:t>不溶于水，溶于乙醇、乙醚等多数有机溶剂。</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115" w:hRule="atLeast"/>
          <w:jc w:val="center"/>
        </w:trPr>
        <w:tc>
          <w:tcPr>
            <w:tcW w:w="476" w:type="dxa"/>
            <w:vMerge w:val="continue"/>
            <w:tcBorders>
              <w:left w:val="single" w:color="auto" w:sz="6" w:space="0"/>
              <w:bottom w:val="single" w:color="auto" w:sz="6" w:space="0"/>
              <w:right w:val="single" w:color="auto" w:sz="6" w:space="0"/>
            </w:tcBorders>
            <w:vAlign w:val="center"/>
          </w:tcPr>
          <w:p>
            <w:pPr>
              <w:spacing w:line="360" w:lineRule="auto"/>
              <w:rPr>
                <w:rFonts w:ascii="宋体" w:hAnsi="宋体" w:eastAsia="宋体"/>
                <w:color w:val="auto"/>
                <w:sz w:val="21"/>
                <w:szCs w:val="21"/>
              </w:rPr>
            </w:pPr>
          </w:p>
        </w:tc>
        <w:tc>
          <w:tcPr>
            <w:tcW w:w="1856" w:type="dxa"/>
            <w:tcBorders>
              <w:top w:val="single" w:color="auto" w:sz="4" w:space="0"/>
              <w:left w:val="single" w:color="auto" w:sz="6" w:space="0"/>
              <w:bottom w:val="single" w:color="auto" w:sz="6" w:space="0"/>
              <w:right w:val="single" w:color="auto" w:sz="6" w:space="0"/>
            </w:tcBorders>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危险性类别</w:t>
            </w:r>
          </w:p>
        </w:tc>
        <w:tc>
          <w:tcPr>
            <w:tcW w:w="6847" w:type="dxa"/>
            <w:gridSpan w:val="10"/>
            <w:tcBorders>
              <w:top w:val="single" w:color="auto" w:sz="4" w:space="0"/>
              <w:left w:val="single" w:color="auto" w:sz="6" w:space="0"/>
              <w:bottom w:val="single" w:color="auto" w:sz="6" w:space="0"/>
              <w:right w:val="single" w:color="auto" w:sz="6" w:space="0"/>
            </w:tcBorders>
            <w:vAlign w:val="center"/>
          </w:tcPr>
          <w:p>
            <w:pPr>
              <w:widowControl/>
              <w:spacing w:line="360" w:lineRule="auto"/>
              <w:rPr>
                <w:rFonts w:ascii="宋体" w:hAnsi="宋体" w:eastAsia="宋体" w:cs="宋体"/>
                <w:color w:val="auto"/>
                <w:sz w:val="21"/>
                <w:szCs w:val="21"/>
              </w:rPr>
            </w:pPr>
            <w:r>
              <w:rPr>
                <w:rFonts w:ascii="宋体" w:hAnsi="宋体" w:eastAsia="宋体" w:cs="宋体"/>
                <w:color w:val="auto"/>
                <w:sz w:val="21"/>
                <w:szCs w:val="21"/>
              </w:rPr>
              <w:t>易燃液体,类别3</w:t>
            </w:r>
          </w:p>
          <w:p>
            <w:pPr>
              <w:widowControl/>
              <w:spacing w:line="360" w:lineRule="auto"/>
              <w:rPr>
                <w:rFonts w:ascii="宋体" w:hAnsi="宋体" w:eastAsia="宋体" w:cs="宋体"/>
                <w:color w:val="auto"/>
                <w:sz w:val="21"/>
                <w:szCs w:val="21"/>
              </w:rPr>
            </w:pPr>
            <w:r>
              <w:rPr>
                <w:rFonts w:ascii="宋体" w:hAnsi="宋体" w:eastAsia="宋体" w:cs="宋体"/>
                <w:color w:val="auto"/>
                <w:sz w:val="21"/>
                <w:szCs w:val="21"/>
              </w:rPr>
              <w:t>皮肤腐蚀/刺激,类别2</w:t>
            </w:r>
          </w:p>
          <w:p>
            <w:pPr>
              <w:spacing w:line="360" w:lineRule="auto"/>
              <w:rPr>
                <w:rFonts w:ascii="宋体" w:hAnsi="宋体" w:eastAsia="宋体" w:cs="Arial"/>
                <w:color w:val="auto"/>
                <w:sz w:val="21"/>
                <w:szCs w:val="21"/>
              </w:rPr>
            </w:pPr>
            <w:r>
              <w:rPr>
                <w:rFonts w:ascii="宋体" w:hAnsi="宋体" w:eastAsia="宋体" w:cs="宋体"/>
                <w:color w:val="auto"/>
                <w:sz w:val="21"/>
                <w:szCs w:val="21"/>
              </w:rPr>
              <w:t>危害水生环境-急性危害,类别2</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70" w:hRule="atLeast"/>
          <w:jc w:val="center"/>
        </w:trPr>
        <w:tc>
          <w:tcPr>
            <w:tcW w:w="476" w:type="dxa"/>
            <w:vMerge w:val="restart"/>
            <w:tcBorders>
              <w:top w:val="single" w:color="auto" w:sz="6" w:space="0"/>
              <w:left w:val="single" w:color="auto" w:sz="6" w:space="0"/>
              <w:bottom w:val="single" w:color="auto" w:sz="6" w:space="0"/>
              <w:right w:val="single" w:color="auto" w:sz="6" w:space="0"/>
            </w:tcBorders>
            <w:vAlign w:val="center"/>
          </w:tcPr>
          <w:p>
            <w:pPr>
              <w:spacing w:line="360" w:lineRule="auto"/>
              <w:rPr>
                <w:rFonts w:ascii="宋体" w:hAnsi="宋体" w:eastAsia="宋体" w:cs="Arial"/>
                <w:color w:val="auto"/>
                <w:spacing w:val="10"/>
                <w:sz w:val="21"/>
                <w:szCs w:val="21"/>
              </w:rPr>
            </w:pPr>
            <w:r>
              <w:rPr>
                <w:rFonts w:hint="eastAsia" w:ascii="宋体" w:hAnsi="宋体" w:eastAsia="宋体" w:cs="Arial"/>
                <w:color w:val="auto"/>
                <w:spacing w:val="10"/>
                <w:sz w:val="21"/>
                <w:szCs w:val="21"/>
              </w:rPr>
              <w:t>毒性及健康危害</w:t>
            </w:r>
          </w:p>
        </w:tc>
        <w:tc>
          <w:tcPr>
            <w:tcW w:w="1856" w:type="dxa"/>
            <w:tcBorders>
              <w:top w:val="single" w:color="auto" w:sz="6" w:space="0"/>
              <w:left w:val="single" w:color="auto" w:sz="6" w:space="0"/>
              <w:bottom w:val="single" w:color="auto" w:sz="6" w:space="0"/>
              <w:right w:val="single" w:color="auto" w:sz="6" w:space="0"/>
            </w:tcBorders>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侵入途径</w:t>
            </w:r>
          </w:p>
        </w:tc>
        <w:tc>
          <w:tcPr>
            <w:tcW w:w="6847" w:type="dxa"/>
            <w:gridSpan w:val="10"/>
            <w:tcBorders>
              <w:top w:val="single" w:color="auto" w:sz="6" w:space="0"/>
              <w:left w:val="single" w:color="auto" w:sz="6" w:space="0"/>
              <w:bottom w:val="single" w:color="auto" w:sz="6" w:space="0"/>
              <w:right w:val="single" w:color="auto" w:sz="4" w:space="0"/>
            </w:tcBorders>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吸入、食入、经皮吸收。</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476" w:type="dxa"/>
            <w:vMerge w:val="continue"/>
            <w:tcBorders>
              <w:top w:val="single" w:color="auto" w:sz="6" w:space="0"/>
              <w:left w:val="single" w:color="auto" w:sz="6" w:space="0"/>
              <w:bottom w:val="single" w:color="auto" w:sz="6" w:space="0"/>
              <w:right w:val="single" w:color="auto" w:sz="6" w:space="0"/>
            </w:tcBorders>
            <w:vAlign w:val="center"/>
          </w:tcPr>
          <w:p>
            <w:pPr>
              <w:spacing w:line="360" w:lineRule="auto"/>
              <w:rPr>
                <w:rFonts w:ascii="宋体" w:hAnsi="宋体" w:eastAsia="宋体"/>
                <w:color w:val="auto"/>
                <w:sz w:val="21"/>
                <w:szCs w:val="21"/>
              </w:rPr>
            </w:pPr>
          </w:p>
        </w:tc>
        <w:tc>
          <w:tcPr>
            <w:tcW w:w="1856" w:type="dxa"/>
            <w:tcBorders>
              <w:top w:val="single" w:color="auto" w:sz="6" w:space="0"/>
              <w:left w:val="single" w:color="auto" w:sz="6" w:space="0"/>
              <w:bottom w:val="single" w:color="auto" w:sz="6" w:space="0"/>
              <w:right w:val="single" w:color="auto" w:sz="6" w:space="0"/>
            </w:tcBorders>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毒性</w:t>
            </w:r>
          </w:p>
        </w:tc>
        <w:tc>
          <w:tcPr>
            <w:tcW w:w="6847" w:type="dxa"/>
            <w:gridSpan w:val="10"/>
            <w:tcBorders>
              <w:top w:val="single" w:color="auto" w:sz="6" w:space="0"/>
              <w:left w:val="single" w:color="auto" w:sz="6" w:space="0"/>
              <w:bottom w:val="single" w:color="auto" w:sz="6" w:space="0"/>
              <w:right w:val="single" w:color="auto" w:sz="6" w:space="0"/>
            </w:tcBorders>
            <w:vAlign w:val="center"/>
          </w:tcPr>
          <w:p>
            <w:pPr>
              <w:spacing w:line="360" w:lineRule="auto"/>
              <w:rPr>
                <w:rFonts w:ascii="宋体" w:hAnsi="宋体" w:eastAsia="宋体"/>
                <w:color w:val="auto"/>
                <w:sz w:val="21"/>
                <w:szCs w:val="21"/>
              </w:rPr>
            </w:pPr>
            <w:r>
              <w:rPr>
                <w:rFonts w:hint="eastAsia" w:ascii="宋体" w:hAnsi="宋体" w:eastAsia="宋体"/>
                <w:color w:val="auto"/>
                <w:sz w:val="21"/>
                <w:szCs w:val="21"/>
              </w:rPr>
              <w:t>LD</w:t>
            </w:r>
            <w:r>
              <w:rPr>
                <w:rFonts w:hint="eastAsia" w:ascii="宋体" w:hAnsi="宋体" w:eastAsia="宋体"/>
                <w:color w:val="auto"/>
                <w:sz w:val="21"/>
                <w:szCs w:val="21"/>
                <w:vertAlign w:val="subscript"/>
              </w:rPr>
              <w:t>50</w:t>
            </w:r>
            <w:r>
              <w:rPr>
                <w:rFonts w:hint="eastAsia" w:ascii="宋体" w:hAnsi="宋体" w:eastAsia="宋体"/>
                <w:color w:val="auto"/>
                <w:sz w:val="21"/>
                <w:szCs w:val="21"/>
              </w:rPr>
              <w:t>：4300mg/kg(大鼠经口)；</w:t>
            </w:r>
          </w:p>
          <w:p>
            <w:pPr>
              <w:spacing w:line="360" w:lineRule="auto"/>
              <w:rPr>
                <w:rFonts w:ascii="宋体" w:hAnsi="宋体" w:eastAsia="宋体" w:cs="Arial"/>
                <w:color w:val="auto"/>
                <w:sz w:val="21"/>
                <w:szCs w:val="21"/>
              </w:rPr>
            </w:pPr>
            <w:r>
              <w:rPr>
                <w:rFonts w:hint="eastAsia" w:ascii="宋体" w:hAnsi="宋体" w:eastAsia="宋体"/>
                <w:color w:val="auto"/>
                <w:sz w:val="21"/>
                <w:szCs w:val="21"/>
              </w:rPr>
              <w:t>LC</w:t>
            </w:r>
            <w:r>
              <w:rPr>
                <w:rFonts w:hint="eastAsia" w:ascii="宋体" w:hAnsi="宋体" w:eastAsia="宋体"/>
                <w:color w:val="auto"/>
                <w:sz w:val="21"/>
                <w:szCs w:val="21"/>
                <w:vertAlign w:val="subscript"/>
              </w:rPr>
              <w:t>50</w:t>
            </w:r>
            <w:r>
              <w:rPr>
                <w:rFonts w:hint="eastAsia" w:ascii="宋体" w:hAnsi="宋体" w:eastAsia="宋体"/>
                <w:color w:val="auto"/>
                <w:sz w:val="21"/>
                <w:szCs w:val="21"/>
              </w:rPr>
              <w:t>：5000mg/m</w:t>
            </w:r>
            <w:r>
              <w:rPr>
                <w:rFonts w:hint="eastAsia" w:ascii="宋体" w:hAnsi="宋体" w:eastAsia="宋体"/>
                <w:color w:val="auto"/>
                <w:sz w:val="21"/>
                <w:szCs w:val="21"/>
                <w:vertAlign w:val="superscript"/>
              </w:rPr>
              <w:t>3</w:t>
            </w:r>
            <w:r>
              <w:rPr>
                <w:rFonts w:hint="eastAsia" w:ascii="宋体" w:hAnsi="宋体" w:eastAsia="宋体"/>
                <w:color w:val="auto"/>
                <w:sz w:val="21"/>
                <w:szCs w:val="21"/>
              </w:rPr>
              <w:t>，4小时(大鼠吸入)</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PrEx>
        <w:trPr>
          <w:cantSplit/>
          <w:trHeight w:val="603" w:hRule="atLeast"/>
          <w:jc w:val="center"/>
        </w:trPr>
        <w:tc>
          <w:tcPr>
            <w:tcW w:w="476" w:type="dxa"/>
            <w:vMerge w:val="continue"/>
            <w:tcBorders>
              <w:top w:val="single" w:color="auto" w:sz="6" w:space="0"/>
              <w:left w:val="single" w:color="auto" w:sz="6" w:space="0"/>
              <w:bottom w:val="single" w:color="auto" w:sz="6" w:space="0"/>
              <w:right w:val="single" w:color="auto" w:sz="6" w:space="0"/>
            </w:tcBorders>
            <w:vAlign w:val="center"/>
          </w:tcPr>
          <w:p>
            <w:pPr>
              <w:spacing w:line="360" w:lineRule="auto"/>
              <w:rPr>
                <w:rFonts w:ascii="宋体" w:hAnsi="宋体" w:eastAsia="宋体"/>
                <w:color w:val="auto"/>
                <w:sz w:val="21"/>
                <w:szCs w:val="21"/>
              </w:rPr>
            </w:pPr>
          </w:p>
        </w:tc>
        <w:tc>
          <w:tcPr>
            <w:tcW w:w="1856" w:type="dxa"/>
            <w:tcBorders>
              <w:top w:val="single" w:color="auto" w:sz="6" w:space="0"/>
              <w:left w:val="single" w:color="auto" w:sz="6" w:space="0"/>
              <w:bottom w:val="single" w:color="auto" w:sz="4" w:space="0"/>
              <w:right w:val="single" w:color="auto" w:sz="6" w:space="0"/>
            </w:tcBorders>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健康危害</w:t>
            </w:r>
          </w:p>
        </w:tc>
        <w:tc>
          <w:tcPr>
            <w:tcW w:w="6847" w:type="dxa"/>
            <w:gridSpan w:val="10"/>
            <w:tcBorders>
              <w:top w:val="single" w:color="auto" w:sz="6" w:space="0"/>
              <w:left w:val="single" w:color="auto" w:sz="6" w:space="0"/>
              <w:bottom w:val="single" w:color="auto" w:sz="4" w:space="0"/>
              <w:right w:val="single" w:color="auto" w:sz="6" w:space="0"/>
            </w:tcBorders>
            <w:vAlign w:val="center"/>
          </w:tcPr>
          <w:p>
            <w:pPr>
              <w:spacing w:line="360" w:lineRule="auto"/>
              <w:rPr>
                <w:rFonts w:ascii="宋体" w:hAnsi="宋体" w:eastAsia="宋体" w:cs="Arial"/>
                <w:color w:val="auto"/>
                <w:sz w:val="21"/>
                <w:szCs w:val="21"/>
              </w:rPr>
            </w:pPr>
            <w:r>
              <w:rPr>
                <w:rFonts w:ascii="宋体" w:hAnsi="宋体" w:eastAsia="宋体" w:cs="Arial"/>
                <w:color w:val="auto"/>
                <w:sz w:val="21"/>
                <w:szCs w:val="21"/>
              </w:rPr>
              <w:t>对眼及上呼吸道有刺激作用，高浓度时对中枢神经系统有麻醉作用。急性</w:t>
            </w:r>
          </w:p>
          <w:p>
            <w:pPr>
              <w:spacing w:line="360" w:lineRule="auto"/>
              <w:rPr>
                <w:rFonts w:ascii="宋体" w:hAnsi="宋体" w:eastAsia="宋体" w:cs="Arial"/>
                <w:color w:val="auto"/>
                <w:sz w:val="21"/>
                <w:szCs w:val="21"/>
              </w:rPr>
            </w:pPr>
            <w:r>
              <w:rPr>
                <w:rFonts w:ascii="宋体" w:hAnsi="宋体" w:eastAsia="宋体" w:cs="Arial"/>
                <w:color w:val="auto"/>
                <w:sz w:val="21"/>
                <w:szCs w:val="21"/>
              </w:rPr>
              <w:t>中毒：短期内吸入较高浓度核武器中可出现眼及上呼吸道明显的刺激症</w:t>
            </w:r>
          </w:p>
          <w:p>
            <w:pPr>
              <w:spacing w:line="360" w:lineRule="auto"/>
              <w:rPr>
                <w:rFonts w:ascii="宋体" w:hAnsi="宋体" w:eastAsia="宋体" w:cs="Arial"/>
                <w:color w:val="auto"/>
                <w:sz w:val="21"/>
                <w:szCs w:val="21"/>
              </w:rPr>
            </w:pPr>
            <w:r>
              <w:rPr>
                <w:rFonts w:ascii="宋体" w:hAnsi="宋体" w:eastAsia="宋体" w:cs="Arial"/>
                <w:color w:val="auto"/>
                <w:sz w:val="21"/>
                <w:szCs w:val="21"/>
              </w:rPr>
              <w:t>状、眼结膜及咽充血、头晕、恶心、呕吐、胸闷、四肢无力、意识模糊、</w:t>
            </w:r>
          </w:p>
          <w:p>
            <w:pPr>
              <w:spacing w:line="360" w:lineRule="auto"/>
              <w:rPr>
                <w:rFonts w:ascii="宋体" w:hAnsi="宋体" w:eastAsia="宋体" w:cs="Arial"/>
                <w:color w:val="auto"/>
                <w:sz w:val="21"/>
                <w:szCs w:val="21"/>
              </w:rPr>
            </w:pPr>
            <w:r>
              <w:rPr>
                <w:rFonts w:ascii="宋体" w:hAnsi="宋体" w:eastAsia="宋体" w:cs="Arial"/>
                <w:color w:val="auto"/>
                <w:sz w:val="21"/>
                <w:szCs w:val="21"/>
              </w:rPr>
              <w:t>步态蹒跚。重者可有躁动、抽搐或昏迷，有的有癔病样发作。慢性影响：</w:t>
            </w:r>
          </w:p>
          <w:p>
            <w:pPr>
              <w:spacing w:line="360" w:lineRule="auto"/>
              <w:rPr>
                <w:rFonts w:ascii="宋体" w:hAnsi="宋体" w:eastAsia="宋体" w:cs="Arial"/>
                <w:color w:val="auto"/>
                <w:sz w:val="21"/>
                <w:szCs w:val="21"/>
              </w:rPr>
            </w:pPr>
            <w:r>
              <w:rPr>
                <w:rFonts w:ascii="宋体" w:hAnsi="宋体" w:eastAsia="宋体" w:cs="Arial"/>
                <w:color w:val="auto"/>
                <w:sz w:val="21"/>
                <w:szCs w:val="21"/>
              </w:rPr>
              <w:t>长期接触有神经衰弱综合征，女工有月经异常，工人常发生皮肤干燥、皲</w:t>
            </w:r>
          </w:p>
          <w:p>
            <w:pPr>
              <w:spacing w:line="360" w:lineRule="auto"/>
              <w:rPr>
                <w:rFonts w:ascii="宋体" w:hAnsi="宋体" w:eastAsia="宋体" w:cs="Arial"/>
                <w:color w:val="auto"/>
                <w:spacing w:val="10"/>
                <w:sz w:val="21"/>
                <w:szCs w:val="21"/>
              </w:rPr>
            </w:pPr>
            <w:r>
              <w:rPr>
                <w:rFonts w:ascii="宋体" w:hAnsi="宋体" w:eastAsia="宋体" w:cs="Arial"/>
                <w:color w:val="auto"/>
                <w:sz w:val="21"/>
                <w:szCs w:val="21"/>
              </w:rPr>
              <w:t>裂、皮炎。</w:t>
            </w:r>
            <w:r>
              <w:rPr>
                <w:rFonts w:hint="eastAsia" w:ascii="宋体" w:hAnsi="宋体" w:eastAsia="宋体"/>
                <w:color w:val="auto"/>
                <w:sz w:val="21"/>
                <w:szCs w:val="21"/>
              </w:rPr>
              <w:t>高浓度的二甲苯蒸气甚至造成肺水肿而死亡。</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318" w:hRule="atLeast"/>
          <w:jc w:val="center"/>
        </w:trPr>
        <w:tc>
          <w:tcPr>
            <w:tcW w:w="476" w:type="dxa"/>
            <w:vMerge w:val="continue"/>
            <w:tcBorders>
              <w:top w:val="single" w:color="auto" w:sz="6" w:space="0"/>
              <w:left w:val="single" w:color="auto" w:sz="6" w:space="0"/>
              <w:bottom w:val="single" w:color="auto" w:sz="6" w:space="0"/>
              <w:right w:val="single" w:color="auto" w:sz="6" w:space="0"/>
            </w:tcBorders>
            <w:vAlign w:val="center"/>
          </w:tcPr>
          <w:p>
            <w:pPr>
              <w:spacing w:line="360" w:lineRule="auto"/>
              <w:rPr>
                <w:rFonts w:ascii="宋体" w:hAnsi="宋体" w:eastAsia="宋体"/>
                <w:color w:val="auto"/>
                <w:sz w:val="21"/>
                <w:szCs w:val="21"/>
              </w:rPr>
            </w:pPr>
          </w:p>
        </w:tc>
        <w:tc>
          <w:tcPr>
            <w:tcW w:w="1856" w:type="dxa"/>
            <w:tcBorders>
              <w:top w:val="single" w:color="auto" w:sz="4" w:space="0"/>
              <w:left w:val="single" w:color="auto" w:sz="6" w:space="0"/>
              <w:bottom w:val="single" w:color="auto" w:sz="6" w:space="0"/>
              <w:right w:val="single" w:color="auto" w:sz="6" w:space="0"/>
            </w:tcBorders>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急救方法</w:t>
            </w:r>
          </w:p>
        </w:tc>
        <w:tc>
          <w:tcPr>
            <w:tcW w:w="6847" w:type="dxa"/>
            <w:gridSpan w:val="10"/>
            <w:tcBorders>
              <w:top w:val="single" w:color="auto" w:sz="4" w:space="0"/>
              <w:left w:val="single" w:color="auto" w:sz="6" w:space="0"/>
              <w:bottom w:val="single" w:color="auto" w:sz="6" w:space="0"/>
              <w:right w:val="single" w:color="auto" w:sz="6" w:space="0"/>
            </w:tcBorders>
            <w:vAlign w:val="center"/>
          </w:tcPr>
          <w:p>
            <w:pPr>
              <w:spacing w:line="360" w:lineRule="auto"/>
              <w:rPr>
                <w:rFonts w:ascii="宋体" w:hAnsi="宋体" w:eastAsia="宋体" w:cs="Arial"/>
                <w:color w:val="auto"/>
                <w:sz w:val="21"/>
                <w:szCs w:val="21"/>
              </w:rPr>
            </w:pPr>
            <w:r>
              <w:rPr>
                <w:rFonts w:ascii="宋体" w:hAnsi="宋体" w:eastAsia="宋体" w:cs="Arial"/>
                <w:color w:val="auto"/>
                <w:sz w:val="21"/>
                <w:szCs w:val="21"/>
              </w:rPr>
              <w:t>皮肤接触：脱去被污染的衣着，用肥皂水和清水彻底冲洗皮肤。眼睛接触：</w:t>
            </w:r>
          </w:p>
          <w:p>
            <w:pPr>
              <w:spacing w:line="360" w:lineRule="auto"/>
              <w:rPr>
                <w:rFonts w:ascii="宋体" w:hAnsi="宋体" w:eastAsia="宋体" w:cs="Arial"/>
                <w:color w:val="auto"/>
                <w:sz w:val="21"/>
                <w:szCs w:val="21"/>
              </w:rPr>
            </w:pPr>
            <w:r>
              <w:rPr>
                <w:rFonts w:ascii="宋体" w:hAnsi="宋体" w:eastAsia="宋体" w:cs="Arial"/>
                <w:color w:val="auto"/>
                <w:sz w:val="21"/>
                <w:szCs w:val="21"/>
              </w:rPr>
              <w:t>提起眼睑，用流动清水或生理盐水冲洗。就医。吸入：迅速脱离现场至空</w:t>
            </w:r>
          </w:p>
          <w:p>
            <w:pPr>
              <w:spacing w:line="360" w:lineRule="auto"/>
              <w:rPr>
                <w:rFonts w:ascii="宋体" w:hAnsi="宋体" w:eastAsia="宋体" w:cs="Arial"/>
                <w:color w:val="auto"/>
                <w:sz w:val="21"/>
                <w:szCs w:val="21"/>
              </w:rPr>
            </w:pPr>
            <w:r>
              <w:rPr>
                <w:rFonts w:ascii="宋体" w:hAnsi="宋体" w:eastAsia="宋体" w:cs="Arial"/>
                <w:color w:val="auto"/>
                <w:sz w:val="21"/>
                <w:szCs w:val="21"/>
              </w:rPr>
              <w:t>气新鲜处。保持呼吸道通畅。如呼吸困难，给输氧。如呼吸停止，立即进</w:t>
            </w:r>
          </w:p>
          <w:p>
            <w:pPr>
              <w:spacing w:line="360" w:lineRule="auto"/>
              <w:rPr>
                <w:rFonts w:ascii="宋体" w:hAnsi="宋体" w:eastAsia="宋体" w:cs="Arial"/>
                <w:color w:val="auto"/>
                <w:spacing w:val="10"/>
                <w:sz w:val="21"/>
                <w:szCs w:val="21"/>
              </w:rPr>
            </w:pPr>
            <w:r>
              <w:rPr>
                <w:rFonts w:ascii="宋体" w:hAnsi="宋体" w:eastAsia="宋体" w:cs="Arial"/>
                <w:color w:val="auto"/>
                <w:sz w:val="21"/>
                <w:szCs w:val="21"/>
              </w:rPr>
              <w:t>行人工呼吸。就医。食入：饮足量水，催吐。就医。</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308" w:hRule="atLeast"/>
          <w:jc w:val="center"/>
        </w:trPr>
        <w:tc>
          <w:tcPr>
            <w:tcW w:w="476" w:type="dxa"/>
            <w:vMerge w:val="restart"/>
            <w:tcBorders>
              <w:top w:val="single" w:color="auto" w:sz="6" w:space="0"/>
              <w:left w:val="single" w:color="auto" w:sz="6" w:space="0"/>
              <w:bottom w:val="single" w:color="auto" w:sz="6" w:space="0"/>
              <w:right w:val="single" w:color="auto" w:sz="6" w:space="0"/>
            </w:tcBorders>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燃烧爆炸危险性</w:t>
            </w:r>
          </w:p>
        </w:tc>
        <w:tc>
          <w:tcPr>
            <w:tcW w:w="1856" w:type="dxa"/>
            <w:tcBorders>
              <w:top w:val="single" w:color="auto" w:sz="6" w:space="0"/>
              <w:left w:val="single" w:color="auto" w:sz="6" w:space="0"/>
              <w:bottom w:val="single" w:color="auto" w:sz="6" w:space="0"/>
              <w:right w:val="single" w:color="auto" w:sz="6" w:space="0"/>
            </w:tcBorders>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燃烧性</w:t>
            </w:r>
          </w:p>
        </w:tc>
        <w:tc>
          <w:tcPr>
            <w:tcW w:w="1519" w:type="dxa"/>
            <w:gridSpan w:val="3"/>
            <w:tcBorders>
              <w:top w:val="single" w:color="auto" w:sz="6" w:space="0"/>
              <w:left w:val="single" w:color="auto" w:sz="6" w:space="0"/>
              <w:bottom w:val="single" w:color="auto" w:sz="6" w:space="0"/>
              <w:right w:val="single" w:color="auto" w:sz="6" w:space="0"/>
            </w:tcBorders>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易燃</w:t>
            </w:r>
          </w:p>
        </w:tc>
        <w:tc>
          <w:tcPr>
            <w:tcW w:w="2086" w:type="dxa"/>
            <w:gridSpan w:val="3"/>
            <w:tcBorders>
              <w:top w:val="single" w:color="auto" w:sz="6" w:space="0"/>
              <w:left w:val="single" w:color="auto" w:sz="6" w:space="0"/>
              <w:bottom w:val="single" w:color="auto" w:sz="6" w:space="0"/>
              <w:right w:val="single" w:color="auto" w:sz="6" w:space="0"/>
            </w:tcBorders>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燃烧分解物</w:t>
            </w:r>
          </w:p>
        </w:tc>
        <w:tc>
          <w:tcPr>
            <w:tcW w:w="3242" w:type="dxa"/>
            <w:gridSpan w:val="4"/>
            <w:tcBorders>
              <w:top w:val="single" w:color="auto" w:sz="6" w:space="0"/>
              <w:left w:val="single" w:color="auto" w:sz="6" w:space="0"/>
              <w:bottom w:val="single" w:color="auto" w:sz="6" w:space="0"/>
              <w:right w:val="single" w:color="auto" w:sz="6" w:space="0"/>
            </w:tcBorders>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一氧化碳、二氧化碳</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96" w:hRule="atLeast"/>
          <w:jc w:val="center"/>
        </w:trPr>
        <w:tc>
          <w:tcPr>
            <w:tcW w:w="476" w:type="dxa"/>
            <w:vMerge w:val="continue"/>
            <w:tcBorders>
              <w:top w:val="single" w:color="auto" w:sz="6" w:space="0"/>
              <w:left w:val="single" w:color="auto" w:sz="6" w:space="0"/>
              <w:bottom w:val="single" w:color="auto" w:sz="6" w:space="0"/>
              <w:right w:val="single" w:color="auto" w:sz="6" w:space="0"/>
            </w:tcBorders>
            <w:vAlign w:val="center"/>
          </w:tcPr>
          <w:p>
            <w:pPr>
              <w:spacing w:line="360" w:lineRule="auto"/>
              <w:rPr>
                <w:rFonts w:ascii="宋体" w:hAnsi="宋体" w:eastAsia="宋体"/>
                <w:color w:val="auto"/>
                <w:sz w:val="21"/>
                <w:szCs w:val="21"/>
              </w:rPr>
            </w:pPr>
          </w:p>
        </w:tc>
        <w:tc>
          <w:tcPr>
            <w:tcW w:w="1856" w:type="dxa"/>
            <w:tcBorders>
              <w:top w:val="single" w:color="auto" w:sz="6" w:space="0"/>
              <w:left w:val="single" w:color="auto" w:sz="6" w:space="0"/>
              <w:bottom w:val="single" w:color="auto" w:sz="6" w:space="0"/>
              <w:right w:val="single" w:color="auto" w:sz="6" w:space="0"/>
            </w:tcBorders>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闪点(</w:t>
            </w:r>
            <w:r>
              <w:rPr>
                <w:rFonts w:hint="eastAsia" w:ascii="宋体" w:hAnsi="宋体" w:eastAsia="宋体" w:cs="Arial"/>
                <w:color w:val="auto"/>
                <w:spacing w:val="10"/>
                <w:sz w:val="21"/>
                <w:szCs w:val="21"/>
              </w:rPr>
              <w:t>℃</w:t>
            </w:r>
            <w:r>
              <w:rPr>
                <w:rFonts w:ascii="宋体" w:hAnsi="宋体" w:eastAsia="宋体" w:cs="Arial"/>
                <w:color w:val="auto"/>
                <w:spacing w:val="10"/>
                <w:sz w:val="21"/>
                <w:szCs w:val="21"/>
              </w:rPr>
              <w:t>)</w:t>
            </w:r>
          </w:p>
        </w:tc>
        <w:tc>
          <w:tcPr>
            <w:tcW w:w="1519" w:type="dxa"/>
            <w:gridSpan w:val="3"/>
            <w:tcBorders>
              <w:top w:val="single" w:color="auto" w:sz="6" w:space="0"/>
              <w:left w:val="single" w:color="auto" w:sz="6" w:space="0"/>
              <w:bottom w:val="single" w:color="auto" w:sz="6" w:space="0"/>
              <w:right w:val="single" w:color="auto" w:sz="6" w:space="0"/>
            </w:tcBorders>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25</w:t>
            </w:r>
          </w:p>
        </w:tc>
        <w:tc>
          <w:tcPr>
            <w:tcW w:w="2086" w:type="dxa"/>
            <w:gridSpan w:val="3"/>
            <w:tcBorders>
              <w:top w:val="single" w:color="auto" w:sz="6" w:space="0"/>
              <w:left w:val="single" w:color="auto" w:sz="6" w:space="0"/>
              <w:bottom w:val="single" w:color="auto" w:sz="6" w:space="0"/>
              <w:right w:val="single" w:color="auto" w:sz="6" w:space="0"/>
            </w:tcBorders>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爆炸上限（v%）</w:t>
            </w:r>
          </w:p>
        </w:tc>
        <w:tc>
          <w:tcPr>
            <w:tcW w:w="3242" w:type="dxa"/>
            <w:gridSpan w:val="4"/>
            <w:tcBorders>
              <w:top w:val="single" w:color="auto" w:sz="6" w:space="0"/>
              <w:left w:val="single" w:color="auto" w:sz="6" w:space="0"/>
              <w:bottom w:val="single" w:color="auto" w:sz="6" w:space="0"/>
              <w:right w:val="single" w:color="auto" w:sz="6" w:space="0"/>
            </w:tcBorders>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7.0</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86" w:hRule="atLeast"/>
          <w:jc w:val="center"/>
        </w:trPr>
        <w:tc>
          <w:tcPr>
            <w:tcW w:w="476" w:type="dxa"/>
            <w:vMerge w:val="continue"/>
            <w:tcBorders>
              <w:top w:val="single" w:color="auto" w:sz="6" w:space="0"/>
              <w:left w:val="single" w:color="auto" w:sz="6" w:space="0"/>
              <w:bottom w:val="single" w:color="auto" w:sz="6" w:space="0"/>
              <w:right w:val="single" w:color="auto" w:sz="6" w:space="0"/>
            </w:tcBorders>
            <w:vAlign w:val="center"/>
          </w:tcPr>
          <w:p>
            <w:pPr>
              <w:spacing w:line="360" w:lineRule="auto"/>
              <w:rPr>
                <w:rFonts w:ascii="宋体" w:hAnsi="宋体" w:eastAsia="宋体"/>
                <w:color w:val="auto"/>
                <w:sz w:val="21"/>
                <w:szCs w:val="21"/>
              </w:rPr>
            </w:pPr>
          </w:p>
        </w:tc>
        <w:tc>
          <w:tcPr>
            <w:tcW w:w="1856" w:type="dxa"/>
            <w:tcBorders>
              <w:top w:val="single" w:color="auto" w:sz="6" w:space="0"/>
              <w:left w:val="single" w:color="auto" w:sz="6" w:space="0"/>
              <w:bottom w:val="single" w:color="auto" w:sz="6" w:space="0"/>
              <w:right w:val="single" w:color="auto" w:sz="6" w:space="0"/>
            </w:tcBorders>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引燃温度(</w:t>
            </w:r>
            <w:r>
              <w:rPr>
                <w:rFonts w:hint="eastAsia" w:ascii="宋体" w:hAnsi="宋体" w:eastAsia="宋体" w:cs="Arial"/>
                <w:color w:val="auto"/>
                <w:spacing w:val="10"/>
                <w:sz w:val="21"/>
                <w:szCs w:val="21"/>
              </w:rPr>
              <w:t>℃</w:t>
            </w:r>
            <w:r>
              <w:rPr>
                <w:rFonts w:ascii="宋体" w:hAnsi="宋体" w:eastAsia="宋体" w:cs="Arial"/>
                <w:color w:val="auto"/>
                <w:spacing w:val="10"/>
                <w:sz w:val="21"/>
                <w:szCs w:val="21"/>
              </w:rPr>
              <w:t>)</w:t>
            </w:r>
          </w:p>
        </w:tc>
        <w:tc>
          <w:tcPr>
            <w:tcW w:w="1519" w:type="dxa"/>
            <w:gridSpan w:val="3"/>
            <w:tcBorders>
              <w:top w:val="single" w:color="auto" w:sz="6" w:space="0"/>
              <w:left w:val="single" w:color="auto" w:sz="6" w:space="0"/>
              <w:bottom w:val="single" w:color="auto" w:sz="6" w:space="0"/>
              <w:right w:val="single" w:color="auto" w:sz="6" w:space="0"/>
            </w:tcBorders>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w:t>
            </w:r>
          </w:p>
        </w:tc>
        <w:tc>
          <w:tcPr>
            <w:tcW w:w="2086" w:type="dxa"/>
            <w:gridSpan w:val="3"/>
            <w:tcBorders>
              <w:top w:val="single" w:color="auto" w:sz="6" w:space="0"/>
              <w:left w:val="single" w:color="auto" w:sz="6" w:space="0"/>
              <w:bottom w:val="single" w:color="auto" w:sz="6" w:space="0"/>
              <w:right w:val="single" w:color="auto" w:sz="6" w:space="0"/>
            </w:tcBorders>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爆炸下限（v%）</w:t>
            </w:r>
          </w:p>
        </w:tc>
        <w:tc>
          <w:tcPr>
            <w:tcW w:w="3242" w:type="dxa"/>
            <w:gridSpan w:val="4"/>
            <w:tcBorders>
              <w:top w:val="single" w:color="auto" w:sz="6" w:space="0"/>
              <w:left w:val="single" w:color="auto" w:sz="6" w:space="0"/>
              <w:bottom w:val="single" w:color="auto" w:sz="6" w:space="0"/>
              <w:right w:val="single" w:color="auto" w:sz="6" w:space="0"/>
            </w:tcBorders>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1.0</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PrEx>
        <w:trPr>
          <w:cantSplit/>
          <w:trHeight w:val="286" w:hRule="atLeast"/>
          <w:jc w:val="center"/>
        </w:trPr>
        <w:tc>
          <w:tcPr>
            <w:tcW w:w="476" w:type="dxa"/>
            <w:vMerge w:val="continue"/>
            <w:tcBorders>
              <w:top w:val="single" w:color="auto" w:sz="6" w:space="0"/>
              <w:left w:val="single" w:color="auto" w:sz="6" w:space="0"/>
              <w:bottom w:val="single" w:color="auto" w:sz="6" w:space="0"/>
              <w:right w:val="single" w:color="auto" w:sz="6" w:space="0"/>
            </w:tcBorders>
            <w:vAlign w:val="center"/>
          </w:tcPr>
          <w:p>
            <w:pPr>
              <w:spacing w:line="360" w:lineRule="auto"/>
              <w:rPr>
                <w:rFonts w:ascii="宋体" w:hAnsi="宋体" w:eastAsia="宋体"/>
                <w:color w:val="auto"/>
                <w:sz w:val="21"/>
                <w:szCs w:val="21"/>
              </w:rPr>
            </w:pPr>
          </w:p>
        </w:tc>
        <w:tc>
          <w:tcPr>
            <w:tcW w:w="1856" w:type="dxa"/>
            <w:tcBorders>
              <w:top w:val="single" w:color="auto" w:sz="6" w:space="0"/>
              <w:left w:val="single" w:color="auto" w:sz="6" w:space="0"/>
              <w:bottom w:val="single" w:color="auto" w:sz="6" w:space="0"/>
              <w:right w:val="single" w:color="auto" w:sz="6" w:space="0"/>
            </w:tcBorders>
            <w:vAlign w:val="center"/>
          </w:tcPr>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建规火险分级</w:t>
            </w:r>
          </w:p>
        </w:tc>
        <w:tc>
          <w:tcPr>
            <w:tcW w:w="1519" w:type="dxa"/>
            <w:gridSpan w:val="3"/>
            <w:tcBorders>
              <w:top w:val="single" w:color="auto" w:sz="6" w:space="0"/>
              <w:left w:val="single" w:color="auto" w:sz="6" w:space="0"/>
              <w:bottom w:val="single" w:color="auto" w:sz="6" w:space="0"/>
              <w:right w:val="single" w:color="auto" w:sz="6" w:space="0"/>
            </w:tcBorders>
            <w:vAlign w:val="center"/>
          </w:tcPr>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甲</w:t>
            </w:r>
          </w:p>
        </w:tc>
        <w:tc>
          <w:tcPr>
            <w:tcW w:w="1043" w:type="dxa"/>
            <w:tcBorders>
              <w:top w:val="single" w:color="auto" w:sz="6" w:space="0"/>
              <w:left w:val="single" w:color="auto" w:sz="6" w:space="0"/>
              <w:bottom w:val="single" w:color="auto" w:sz="6" w:space="0"/>
              <w:right w:val="single" w:color="auto" w:sz="6" w:space="0"/>
            </w:tcBorders>
            <w:vAlign w:val="center"/>
          </w:tcPr>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稳定性</w:t>
            </w:r>
          </w:p>
        </w:tc>
        <w:tc>
          <w:tcPr>
            <w:tcW w:w="1043" w:type="dxa"/>
            <w:gridSpan w:val="2"/>
            <w:tcBorders>
              <w:top w:val="single" w:color="auto" w:sz="6" w:space="0"/>
              <w:left w:val="single" w:color="auto" w:sz="6" w:space="0"/>
              <w:bottom w:val="single" w:color="auto" w:sz="6" w:space="0"/>
              <w:right w:val="single" w:color="auto" w:sz="6" w:space="0"/>
            </w:tcBorders>
            <w:vAlign w:val="center"/>
          </w:tcPr>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稳定</w:t>
            </w:r>
          </w:p>
        </w:tc>
        <w:tc>
          <w:tcPr>
            <w:tcW w:w="1621" w:type="dxa"/>
            <w:gridSpan w:val="2"/>
            <w:tcBorders>
              <w:top w:val="single" w:color="auto" w:sz="6" w:space="0"/>
              <w:left w:val="single" w:color="auto" w:sz="6" w:space="0"/>
              <w:bottom w:val="single" w:color="auto" w:sz="6" w:space="0"/>
              <w:right w:val="single" w:color="auto" w:sz="6" w:space="0"/>
            </w:tcBorders>
            <w:vAlign w:val="center"/>
          </w:tcPr>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聚合危害</w:t>
            </w:r>
          </w:p>
        </w:tc>
        <w:tc>
          <w:tcPr>
            <w:tcW w:w="1621" w:type="dxa"/>
            <w:gridSpan w:val="2"/>
            <w:tcBorders>
              <w:top w:val="single" w:color="auto" w:sz="6" w:space="0"/>
              <w:left w:val="single" w:color="auto" w:sz="6" w:space="0"/>
              <w:bottom w:val="single" w:color="auto" w:sz="6" w:space="0"/>
              <w:right w:val="single" w:color="auto" w:sz="6" w:space="0"/>
            </w:tcBorders>
            <w:vAlign w:val="center"/>
          </w:tcPr>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不聚合</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86" w:hRule="atLeast"/>
          <w:jc w:val="center"/>
        </w:trPr>
        <w:tc>
          <w:tcPr>
            <w:tcW w:w="476" w:type="dxa"/>
            <w:vMerge w:val="continue"/>
            <w:tcBorders>
              <w:top w:val="single" w:color="auto" w:sz="6" w:space="0"/>
              <w:left w:val="single" w:color="auto" w:sz="6" w:space="0"/>
              <w:bottom w:val="single" w:color="auto" w:sz="6" w:space="0"/>
              <w:right w:val="single" w:color="auto" w:sz="6" w:space="0"/>
            </w:tcBorders>
            <w:vAlign w:val="center"/>
          </w:tcPr>
          <w:p>
            <w:pPr>
              <w:spacing w:line="360" w:lineRule="auto"/>
              <w:rPr>
                <w:rFonts w:ascii="宋体" w:hAnsi="宋体" w:eastAsia="宋体"/>
                <w:color w:val="auto"/>
                <w:sz w:val="21"/>
                <w:szCs w:val="21"/>
              </w:rPr>
            </w:pPr>
          </w:p>
        </w:tc>
        <w:tc>
          <w:tcPr>
            <w:tcW w:w="1856" w:type="dxa"/>
            <w:tcBorders>
              <w:top w:val="single" w:color="auto" w:sz="6" w:space="0"/>
              <w:left w:val="single" w:color="auto" w:sz="6" w:space="0"/>
              <w:bottom w:val="single" w:color="auto" w:sz="6" w:space="0"/>
              <w:right w:val="single" w:color="auto" w:sz="6" w:space="0"/>
            </w:tcBorders>
            <w:vAlign w:val="center"/>
          </w:tcPr>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禁忌物</w:t>
            </w:r>
          </w:p>
        </w:tc>
        <w:tc>
          <w:tcPr>
            <w:tcW w:w="6847" w:type="dxa"/>
            <w:gridSpan w:val="10"/>
            <w:tcBorders>
              <w:top w:val="single" w:color="auto" w:sz="6" w:space="0"/>
              <w:left w:val="single" w:color="auto" w:sz="6" w:space="0"/>
              <w:bottom w:val="single" w:color="auto" w:sz="6" w:space="0"/>
              <w:right w:val="single" w:color="auto" w:sz="6" w:space="0"/>
            </w:tcBorders>
            <w:vAlign w:val="center"/>
          </w:tcPr>
          <w:p>
            <w:pPr>
              <w:spacing w:line="360" w:lineRule="auto"/>
              <w:rPr>
                <w:rFonts w:ascii="宋体" w:hAnsi="宋体" w:eastAsia="宋体"/>
                <w:color w:val="auto"/>
                <w:spacing w:val="10"/>
                <w:sz w:val="21"/>
                <w:szCs w:val="21"/>
              </w:rPr>
            </w:pPr>
            <w:r>
              <w:rPr>
                <w:rFonts w:hint="eastAsia" w:ascii="宋体" w:hAnsi="宋体" w:eastAsia="宋体"/>
                <w:color w:val="auto"/>
                <w:sz w:val="21"/>
                <w:szCs w:val="21"/>
              </w:rPr>
              <w:t>强氧化剂</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548" w:hRule="atLeast"/>
          <w:jc w:val="center"/>
        </w:trPr>
        <w:tc>
          <w:tcPr>
            <w:tcW w:w="476" w:type="dxa"/>
            <w:vMerge w:val="continue"/>
            <w:tcBorders>
              <w:top w:val="single" w:color="auto" w:sz="6" w:space="0"/>
              <w:left w:val="single" w:color="auto" w:sz="6" w:space="0"/>
              <w:bottom w:val="single" w:color="auto" w:sz="6" w:space="0"/>
              <w:right w:val="single" w:color="auto" w:sz="6" w:space="0"/>
            </w:tcBorders>
            <w:vAlign w:val="center"/>
          </w:tcPr>
          <w:p>
            <w:pPr>
              <w:spacing w:line="360" w:lineRule="auto"/>
              <w:rPr>
                <w:rFonts w:ascii="宋体" w:hAnsi="宋体" w:eastAsia="宋体"/>
                <w:color w:val="auto"/>
                <w:sz w:val="21"/>
                <w:szCs w:val="21"/>
              </w:rPr>
            </w:pPr>
          </w:p>
        </w:tc>
        <w:tc>
          <w:tcPr>
            <w:tcW w:w="1856" w:type="dxa"/>
            <w:tcBorders>
              <w:top w:val="single" w:color="auto" w:sz="6" w:space="0"/>
              <w:left w:val="single" w:color="auto" w:sz="6" w:space="0"/>
              <w:bottom w:val="single" w:color="auto" w:sz="6" w:space="0"/>
              <w:right w:val="single" w:color="auto" w:sz="6" w:space="0"/>
            </w:tcBorders>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危险特性</w:t>
            </w:r>
          </w:p>
        </w:tc>
        <w:tc>
          <w:tcPr>
            <w:tcW w:w="6847" w:type="dxa"/>
            <w:gridSpan w:val="10"/>
            <w:tcBorders>
              <w:top w:val="single" w:color="auto" w:sz="6" w:space="0"/>
              <w:left w:val="single" w:color="auto" w:sz="6" w:space="0"/>
              <w:bottom w:val="single" w:color="auto" w:sz="6" w:space="0"/>
              <w:right w:val="single" w:color="auto" w:sz="6" w:space="0"/>
            </w:tcBorders>
            <w:vAlign w:val="center"/>
          </w:tcPr>
          <w:p>
            <w:pPr>
              <w:spacing w:line="360" w:lineRule="auto"/>
              <w:rPr>
                <w:rFonts w:ascii="宋体" w:hAnsi="宋体" w:eastAsia="宋体" w:cs="Arial"/>
                <w:color w:val="auto"/>
                <w:sz w:val="21"/>
                <w:szCs w:val="21"/>
              </w:rPr>
            </w:pPr>
            <w:r>
              <w:rPr>
                <w:rFonts w:ascii="宋体" w:hAnsi="宋体" w:eastAsia="宋体" w:cs="Arial"/>
                <w:color w:val="auto"/>
                <w:sz w:val="21"/>
                <w:szCs w:val="21"/>
              </w:rPr>
              <w:t>易燃，其蒸气与空气可形成爆炸性混合物。遇明火、高热能引起燃烧爆炸。</w:t>
            </w:r>
          </w:p>
          <w:p>
            <w:pPr>
              <w:spacing w:line="360" w:lineRule="auto"/>
              <w:rPr>
                <w:rFonts w:ascii="宋体" w:hAnsi="宋体" w:eastAsia="宋体" w:cs="Arial"/>
                <w:color w:val="auto"/>
                <w:sz w:val="21"/>
                <w:szCs w:val="21"/>
              </w:rPr>
            </w:pPr>
            <w:r>
              <w:rPr>
                <w:rFonts w:ascii="宋体" w:hAnsi="宋体" w:eastAsia="宋体" w:cs="Arial"/>
                <w:color w:val="auto"/>
                <w:sz w:val="21"/>
                <w:szCs w:val="21"/>
              </w:rPr>
              <w:t>与氧化剂能发生强烈反应。流速过快，容易产生和积聚静电。其蒸气比空</w:t>
            </w:r>
          </w:p>
          <w:p>
            <w:pPr>
              <w:spacing w:line="360" w:lineRule="auto"/>
              <w:rPr>
                <w:rFonts w:ascii="宋体" w:hAnsi="宋体" w:eastAsia="宋体" w:cs="Arial"/>
                <w:color w:val="auto"/>
                <w:spacing w:val="10"/>
                <w:sz w:val="21"/>
                <w:szCs w:val="21"/>
              </w:rPr>
            </w:pPr>
            <w:r>
              <w:rPr>
                <w:rFonts w:ascii="宋体" w:hAnsi="宋体" w:eastAsia="宋体" w:cs="Arial"/>
                <w:color w:val="auto"/>
                <w:sz w:val="21"/>
                <w:szCs w:val="21"/>
              </w:rPr>
              <w:t>气重，能在较低处扩散至相当远的地方，遇明火会引着回燃。</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422" w:hRule="atLeast"/>
          <w:jc w:val="center"/>
        </w:trPr>
        <w:tc>
          <w:tcPr>
            <w:tcW w:w="476" w:type="dxa"/>
            <w:vMerge w:val="continue"/>
            <w:tcBorders>
              <w:top w:val="single" w:color="auto" w:sz="6" w:space="0"/>
              <w:left w:val="single" w:color="auto" w:sz="6" w:space="0"/>
              <w:bottom w:val="single" w:color="auto" w:sz="6" w:space="0"/>
              <w:right w:val="single" w:color="auto" w:sz="6" w:space="0"/>
            </w:tcBorders>
            <w:vAlign w:val="center"/>
          </w:tcPr>
          <w:p>
            <w:pPr>
              <w:spacing w:line="360" w:lineRule="auto"/>
              <w:rPr>
                <w:rFonts w:ascii="宋体" w:hAnsi="宋体" w:eastAsia="宋体"/>
                <w:color w:val="auto"/>
                <w:sz w:val="21"/>
                <w:szCs w:val="21"/>
              </w:rPr>
            </w:pPr>
          </w:p>
        </w:tc>
        <w:tc>
          <w:tcPr>
            <w:tcW w:w="1856" w:type="dxa"/>
            <w:tcBorders>
              <w:top w:val="single" w:color="auto" w:sz="6" w:space="0"/>
              <w:left w:val="single" w:color="auto" w:sz="6" w:space="0"/>
              <w:bottom w:val="single" w:color="auto" w:sz="6" w:space="0"/>
              <w:right w:val="single" w:color="auto" w:sz="6" w:space="0"/>
            </w:tcBorders>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储运条件</w:t>
            </w:r>
          </w:p>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与泄漏处理</w:t>
            </w:r>
          </w:p>
        </w:tc>
        <w:tc>
          <w:tcPr>
            <w:tcW w:w="6847" w:type="dxa"/>
            <w:gridSpan w:val="10"/>
            <w:tcBorders>
              <w:top w:val="single" w:color="auto" w:sz="6" w:space="0"/>
              <w:left w:val="single" w:color="auto" w:sz="6" w:space="0"/>
              <w:bottom w:val="single" w:color="auto" w:sz="6" w:space="0"/>
              <w:right w:val="single" w:color="auto" w:sz="6" w:space="0"/>
            </w:tcBorders>
            <w:vAlign w:val="center"/>
          </w:tcPr>
          <w:p>
            <w:pPr>
              <w:spacing w:line="360" w:lineRule="auto"/>
              <w:rPr>
                <w:rFonts w:ascii="宋体" w:hAnsi="宋体" w:eastAsia="宋体" w:cs="Arial"/>
                <w:color w:val="auto"/>
                <w:spacing w:val="-4"/>
                <w:sz w:val="21"/>
                <w:szCs w:val="21"/>
              </w:rPr>
            </w:pPr>
            <w:r>
              <w:rPr>
                <w:rFonts w:ascii="宋体" w:hAnsi="宋体" w:eastAsia="宋体" w:cs="Arial"/>
                <w:b/>
                <w:color w:val="auto"/>
                <w:spacing w:val="-4"/>
                <w:sz w:val="21"/>
                <w:szCs w:val="21"/>
              </w:rPr>
              <w:t>储运条件</w:t>
            </w:r>
            <w:r>
              <w:rPr>
                <w:rFonts w:ascii="宋体" w:hAnsi="宋体" w:eastAsia="宋体" w:cs="Arial"/>
                <w:color w:val="auto"/>
                <w:spacing w:val="-4"/>
                <w:sz w:val="21"/>
                <w:szCs w:val="21"/>
              </w:rPr>
              <w:t>：储存于阴凉、通风的仓间内，远离火种、热源。保持容器密封；</w:t>
            </w:r>
          </w:p>
          <w:p>
            <w:pPr>
              <w:spacing w:line="360" w:lineRule="auto"/>
              <w:rPr>
                <w:rFonts w:ascii="宋体" w:hAnsi="宋体" w:eastAsia="宋体"/>
                <w:color w:val="auto"/>
                <w:spacing w:val="-4"/>
                <w:sz w:val="21"/>
                <w:szCs w:val="21"/>
              </w:rPr>
            </w:pPr>
            <w:r>
              <w:rPr>
                <w:rFonts w:ascii="宋体" w:hAnsi="宋体" w:eastAsia="宋体" w:cs="Arial"/>
                <w:color w:val="auto"/>
                <w:spacing w:val="-4"/>
                <w:sz w:val="21"/>
                <w:szCs w:val="21"/>
              </w:rPr>
              <w:t>与氧化剂分开存放。搬运时应轻装轻卸。</w:t>
            </w:r>
            <w:r>
              <w:rPr>
                <w:rFonts w:hint="eastAsia" w:ascii="宋体" w:hAnsi="宋体" w:eastAsia="宋体"/>
                <w:color w:val="auto"/>
                <w:spacing w:val="-4"/>
                <w:sz w:val="21"/>
                <w:szCs w:val="21"/>
              </w:rPr>
              <w:t>本品铁路运输时限使用钢制企业自</w:t>
            </w:r>
          </w:p>
          <w:p>
            <w:pPr>
              <w:spacing w:line="360" w:lineRule="auto"/>
              <w:rPr>
                <w:rFonts w:ascii="宋体" w:hAnsi="宋体" w:eastAsia="宋体"/>
                <w:color w:val="auto"/>
                <w:spacing w:val="-4"/>
                <w:sz w:val="21"/>
                <w:szCs w:val="21"/>
              </w:rPr>
            </w:pPr>
            <w:r>
              <w:rPr>
                <w:rFonts w:hint="eastAsia" w:ascii="宋体" w:hAnsi="宋体" w:eastAsia="宋体"/>
                <w:color w:val="auto"/>
                <w:spacing w:val="-4"/>
                <w:sz w:val="21"/>
                <w:szCs w:val="21"/>
              </w:rPr>
              <w:t>备罐车装运，装运前需报有关部门批准。</w:t>
            </w:r>
          </w:p>
          <w:p>
            <w:pPr>
              <w:spacing w:line="360" w:lineRule="auto"/>
              <w:rPr>
                <w:rFonts w:ascii="宋体" w:hAnsi="宋体" w:eastAsia="宋体" w:cs="Arial"/>
                <w:color w:val="auto"/>
                <w:spacing w:val="-4"/>
                <w:sz w:val="21"/>
                <w:szCs w:val="21"/>
              </w:rPr>
            </w:pPr>
            <w:r>
              <w:rPr>
                <w:rFonts w:ascii="宋体" w:hAnsi="宋体" w:eastAsia="宋体" w:cs="Arial"/>
                <w:b/>
                <w:color w:val="auto"/>
                <w:spacing w:val="-4"/>
                <w:sz w:val="21"/>
                <w:szCs w:val="21"/>
              </w:rPr>
              <w:t>泄漏处理</w:t>
            </w:r>
            <w:r>
              <w:rPr>
                <w:rFonts w:ascii="宋体" w:hAnsi="宋体" w:eastAsia="宋体" w:cs="Arial"/>
                <w:color w:val="auto"/>
                <w:spacing w:val="-4"/>
                <w:sz w:val="21"/>
                <w:szCs w:val="21"/>
              </w:rPr>
              <w:t>：迅速撤离泄漏污染区人</w:t>
            </w:r>
          </w:p>
          <w:p>
            <w:pPr>
              <w:spacing w:line="360" w:lineRule="auto"/>
              <w:rPr>
                <w:rFonts w:ascii="宋体" w:hAnsi="宋体" w:eastAsia="宋体" w:cs="Arial"/>
                <w:color w:val="auto"/>
                <w:spacing w:val="-4"/>
                <w:sz w:val="21"/>
                <w:szCs w:val="21"/>
              </w:rPr>
            </w:pPr>
            <w:r>
              <w:rPr>
                <w:rFonts w:ascii="宋体" w:hAnsi="宋体" w:eastAsia="宋体" w:cs="Arial"/>
                <w:color w:val="auto"/>
                <w:spacing w:val="-4"/>
                <w:sz w:val="21"/>
                <w:szCs w:val="21"/>
              </w:rPr>
              <w:t>员至安全区，并进行隔离，严格限制出入。切断火源。建议应急处理人员戴</w:t>
            </w:r>
          </w:p>
          <w:p>
            <w:pPr>
              <w:spacing w:line="360" w:lineRule="auto"/>
              <w:rPr>
                <w:rFonts w:ascii="宋体" w:hAnsi="宋体" w:eastAsia="宋体" w:cs="Arial"/>
                <w:color w:val="auto"/>
                <w:spacing w:val="-4"/>
                <w:sz w:val="21"/>
                <w:szCs w:val="21"/>
              </w:rPr>
            </w:pPr>
            <w:r>
              <w:rPr>
                <w:rFonts w:ascii="宋体" w:hAnsi="宋体" w:eastAsia="宋体" w:cs="Arial"/>
                <w:color w:val="auto"/>
                <w:spacing w:val="-4"/>
                <w:sz w:val="21"/>
                <w:szCs w:val="21"/>
              </w:rPr>
              <w:t>自给正压式呼吸器，穿消防防护服。尽可能切断泄漏源，防止进入下水道、</w:t>
            </w:r>
          </w:p>
          <w:p>
            <w:pPr>
              <w:spacing w:line="360" w:lineRule="auto"/>
              <w:rPr>
                <w:rFonts w:ascii="宋体" w:hAnsi="宋体" w:eastAsia="宋体" w:cs="Arial"/>
                <w:color w:val="auto"/>
                <w:spacing w:val="-4"/>
                <w:sz w:val="21"/>
                <w:szCs w:val="21"/>
              </w:rPr>
            </w:pPr>
            <w:r>
              <w:rPr>
                <w:rFonts w:ascii="宋体" w:hAnsi="宋体" w:eastAsia="宋体" w:cs="Arial"/>
                <w:color w:val="auto"/>
                <w:spacing w:val="-4"/>
                <w:sz w:val="21"/>
                <w:szCs w:val="21"/>
              </w:rPr>
              <w:t>排洪沟等限制性空间。小量泄漏：用活性炭或其它惰性材料吸收。也可以用</w:t>
            </w:r>
          </w:p>
          <w:p>
            <w:pPr>
              <w:spacing w:line="360" w:lineRule="auto"/>
              <w:rPr>
                <w:rFonts w:ascii="宋体" w:hAnsi="宋体" w:eastAsia="宋体" w:cs="Arial"/>
                <w:color w:val="auto"/>
                <w:spacing w:val="-4"/>
                <w:sz w:val="21"/>
                <w:szCs w:val="21"/>
              </w:rPr>
            </w:pPr>
            <w:r>
              <w:rPr>
                <w:rFonts w:ascii="宋体" w:hAnsi="宋体" w:eastAsia="宋体" w:cs="Arial"/>
                <w:color w:val="auto"/>
                <w:spacing w:val="-4"/>
                <w:sz w:val="21"/>
                <w:szCs w:val="21"/>
              </w:rPr>
              <w:t>不燃性分散剂制成的乳液刷洗，洗液稀释后放入废水系统。大量泄漏：构筑</w:t>
            </w:r>
          </w:p>
          <w:p>
            <w:pPr>
              <w:spacing w:line="360" w:lineRule="auto"/>
              <w:rPr>
                <w:rFonts w:ascii="宋体" w:hAnsi="宋体" w:eastAsia="宋体" w:cs="Arial"/>
                <w:color w:val="auto"/>
                <w:spacing w:val="-4"/>
                <w:sz w:val="21"/>
                <w:szCs w:val="21"/>
              </w:rPr>
            </w:pPr>
            <w:r>
              <w:rPr>
                <w:rFonts w:ascii="宋体" w:hAnsi="宋体" w:eastAsia="宋体" w:cs="Arial"/>
                <w:color w:val="auto"/>
                <w:spacing w:val="-4"/>
                <w:sz w:val="21"/>
                <w:szCs w:val="21"/>
              </w:rPr>
              <w:t>围堤或挖坑收容；用泡沫覆盖，抑制蒸发。用防爆泵转移至槽车或专用收集</w:t>
            </w:r>
          </w:p>
          <w:p>
            <w:pPr>
              <w:spacing w:line="360" w:lineRule="auto"/>
              <w:rPr>
                <w:rFonts w:ascii="宋体" w:hAnsi="宋体" w:eastAsia="宋体" w:cs="Arial"/>
                <w:color w:val="auto"/>
                <w:spacing w:val="-4"/>
                <w:sz w:val="21"/>
                <w:szCs w:val="21"/>
              </w:rPr>
            </w:pPr>
            <w:r>
              <w:rPr>
                <w:rFonts w:ascii="宋体" w:hAnsi="宋体" w:eastAsia="宋体" w:cs="Arial"/>
                <w:color w:val="auto"/>
                <w:spacing w:val="-4"/>
                <w:sz w:val="21"/>
                <w:szCs w:val="21"/>
              </w:rPr>
              <w:t>器内，回收或运至废物处理场所处置。迅速将被二甲苯污染的土壤收集起来，</w:t>
            </w:r>
          </w:p>
          <w:p>
            <w:pPr>
              <w:spacing w:line="360" w:lineRule="auto"/>
              <w:rPr>
                <w:rFonts w:ascii="宋体" w:hAnsi="宋体" w:eastAsia="宋体" w:cs="Arial"/>
                <w:color w:val="auto"/>
                <w:spacing w:val="-4"/>
                <w:sz w:val="21"/>
                <w:szCs w:val="21"/>
              </w:rPr>
            </w:pPr>
            <w:r>
              <w:rPr>
                <w:rFonts w:ascii="宋体" w:hAnsi="宋体" w:eastAsia="宋体" w:cs="Arial"/>
                <w:color w:val="auto"/>
                <w:spacing w:val="-4"/>
                <w:sz w:val="21"/>
                <w:szCs w:val="21"/>
              </w:rPr>
              <w:t>转移到安全地带。对污染地带沿地面加强通风，蒸发残液，排除蒸气。迅速</w:t>
            </w:r>
          </w:p>
          <w:p>
            <w:pPr>
              <w:spacing w:line="360" w:lineRule="auto"/>
              <w:rPr>
                <w:rFonts w:ascii="宋体" w:hAnsi="宋体" w:eastAsia="宋体" w:cs="Arial"/>
                <w:color w:val="auto"/>
                <w:spacing w:val="-4"/>
                <w:sz w:val="21"/>
                <w:szCs w:val="21"/>
              </w:rPr>
            </w:pPr>
            <w:r>
              <w:rPr>
                <w:rFonts w:ascii="宋体" w:hAnsi="宋体" w:eastAsia="宋体" w:cs="Arial"/>
                <w:color w:val="auto"/>
                <w:spacing w:val="-4"/>
                <w:sz w:val="21"/>
                <w:szCs w:val="21"/>
              </w:rPr>
              <w:t>筑坝，切断受污染水体的流动，并用围栏等限制水面二甲苯的扩散。</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421" w:hRule="atLeast"/>
          <w:jc w:val="center"/>
        </w:trPr>
        <w:tc>
          <w:tcPr>
            <w:tcW w:w="476" w:type="dxa"/>
            <w:vMerge w:val="continue"/>
            <w:tcBorders>
              <w:top w:val="single" w:color="auto" w:sz="6" w:space="0"/>
              <w:left w:val="single" w:color="auto" w:sz="6" w:space="0"/>
              <w:bottom w:val="single" w:color="auto" w:sz="6" w:space="0"/>
              <w:right w:val="single" w:color="auto" w:sz="6" w:space="0"/>
            </w:tcBorders>
            <w:vAlign w:val="center"/>
          </w:tcPr>
          <w:p>
            <w:pPr>
              <w:spacing w:line="360" w:lineRule="auto"/>
              <w:rPr>
                <w:rFonts w:ascii="宋体" w:hAnsi="宋体" w:eastAsia="宋体"/>
                <w:color w:val="auto"/>
                <w:sz w:val="21"/>
                <w:szCs w:val="21"/>
              </w:rPr>
            </w:pPr>
          </w:p>
        </w:tc>
        <w:tc>
          <w:tcPr>
            <w:tcW w:w="1856" w:type="dxa"/>
            <w:tcBorders>
              <w:top w:val="single" w:color="auto" w:sz="6" w:space="0"/>
              <w:left w:val="single" w:color="auto" w:sz="6" w:space="0"/>
              <w:bottom w:val="single" w:color="auto" w:sz="6" w:space="0"/>
              <w:right w:val="single" w:color="auto" w:sz="6" w:space="0"/>
            </w:tcBorders>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灭火方法</w:t>
            </w:r>
          </w:p>
        </w:tc>
        <w:tc>
          <w:tcPr>
            <w:tcW w:w="6847" w:type="dxa"/>
            <w:gridSpan w:val="10"/>
            <w:tcBorders>
              <w:top w:val="single" w:color="auto" w:sz="6" w:space="0"/>
              <w:left w:val="single" w:color="auto" w:sz="6" w:space="0"/>
              <w:bottom w:val="single" w:color="auto" w:sz="6" w:space="0"/>
              <w:right w:val="single" w:color="auto" w:sz="6" w:space="0"/>
            </w:tcBorders>
            <w:vAlign w:val="center"/>
          </w:tcPr>
          <w:p>
            <w:pPr>
              <w:spacing w:line="360" w:lineRule="auto"/>
              <w:rPr>
                <w:rFonts w:ascii="宋体" w:hAnsi="宋体" w:eastAsia="宋体" w:cs="Arial"/>
                <w:color w:val="auto"/>
                <w:sz w:val="21"/>
                <w:szCs w:val="21"/>
              </w:rPr>
            </w:pPr>
            <w:r>
              <w:rPr>
                <w:rFonts w:ascii="宋体" w:hAnsi="宋体" w:eastAsia="宋体" w:cs="Arial"/>
                <w:color w:val="auto"/>
                <w:sz w:val="21"/>
                <w:szCs w:val="21"/>
              </w:rPr>
              <w:t>喷水冷却容器，可能的话将容器从火场移至空旷处。灭火剂：泡沫、二氧</w:t>
            </w:r>
          </w:p>
          <w:p>
            <w:pPr>
              <w:spacing w:line="360" w:lineRule="auto"/>
              <w:rPr>
                <w:rFonts w:ascii="宋体" w:hAnsi="宋体" w:eastAsia="宋体" w:cs="Arial"/>
                <w:color w:val="auto"/>
                <w:spacing w:val="10"/>
                <w:sz w:val="21"/>
                <w:szCs w:val="21"/>
              </w:rPr>
            </w:pPr>
            <w:r>
              <w:rPr>
                <w:rFonts w:ascii="宋体" w:hAnsi="宋体" w:eastAsia="宋体" w:cs="Arial"/>
                <w:color w:val="auto"/>
                <w:sz w:val="21"/>
                <w:szCs w:val="21"/>
              </w:rPr>
              <w:t>化碳、干粉、砂土。</w:t>
            </w:r>
          </w:p>
        </w:tc>
      </w:tr>
    </w:tbl>
    <w:p>
      <w:pPr>
        <w:spacing w:line="560" w:lineRule="exact"/>
        <w:jc w:val="center"/>
        <w:outlineLvl w:val="2"/>
        <w:rPr>
          <w:rFonts w:ascii="宋体" w:hAnsi="宋体" w:eastAsia="宋体" w:cs="Times New Roman"/>
          <w:b/>
          <w:bCs/>
          <w:color w:val="auto"/>
          <w:kern w:val="2"/>
          <w:lang w:val="en-US" w:eastAsia="zh-CN" w:bidi="ar-SA"/>
        </w:rPr>
      </w:pPr>
      <w:r>
        <w:rPr>
          <w:rFonts w:hint="eastAsia" w:ascii="宋体" w:hAnsi="宋体" w:eastAsia="宋体" w:cs="Times New Roman"/>
          <w:b/>
          <w:bCs/>
          <w:color w:val="auto"/>
          <w:kern w:val="2"/>
          <w:lang w:val="en-US" w:eastAsia="zh-CN" w:bidi="ar-SA"/>
        </w:rPr>
        <w:t>附表1-9乙酸正丁酯</w:t>
      </w:r>
      <w:r>
        <w:rPr>
          <w:rFonts w:ascii="宋体" w:hAnsi="宋体" w:eastAsia="宋体" w:cs="Times New Roman"/>
          <w:b/>
          <w:bCs/>
          <w:color w:val="auto"/>
          <w:kern w:val="2"/>
          <w:lang w:val="en-US" w:eastAsia="zh-CN" w:bidi="ar-SA"/>
        </w:rPr>
        <w:t>的理化性质及危险特性</w:t>
      </w:r>
      <w:bookmarkEnd w:id="167"/>
      <w:bookmarkEnd w:id="168"/>
    </w:p>
    <w:tbl>
      <w:tblPr>
        <w:tblStyle w:val="45"/>
        <w:tblW w:w="91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6"/>
        <w:gridCol w:w="1558"/>
        <w:gridCol w:w="1202"/>
        <w:gridCol w:w="255"/>
        <w:gridCol w:w="343"/>
        <w:gridCol w:w="1236"/>
        <w:gridCol w:w="384"/>
        <w:gridCol w:w="900"/>
        <w:gridCol w:w="1455"/>
        <w:gridCol w:w="705"/>
        <w:gridCol w:w="6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9" w:hRule="atLeast"/>
          <w:jc w:val="center"/>
        </w:trPr>
        <w:tc>
          <w:tcPr>
            <w:tcW w:w="476" w:type="dxa"/>
            <w:vMerge w:val="restart"/>
            <w:vAlign w:val="center"/>
          </w:tcPr>
          <w:p>
            <w:pPr>
              <w:spacing w:line="360" w:lineRule="auto"/>
              <w:jc w:val="center"/>
              <w:rPr>
                <w:rFonts w:ascii="宋体" w:hAnsi="宋体" w:eastAsia="宋体"/>
                <w:color w:val="auto"/>
                <w:spacing w:val="10"/>
                <w:sz w:val="21"/>
                <w:szCs w:val="21"/>
              </w:rPr>
            </w:pPr>
            <w:r>
              <w:rPr>
                <w:rFonts w:ascii="宋体" w:hAnsi="宋体" w:eastAsia="宋体"/>
                <w:color w:val="auto"/>
                <w:spacing w:val="10"/>
                <w:sz w:val="21"/>
                <w:szCs w:val="21"/>
              </w:rPr>
              <w:t>标</w:t>
            </w:r>
          </w:p>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识</w:t>
            </w:r>
          </w:p>
        </w:tc>
        <w:tc>
          <w:tcPr>
            <w:tcW w:w="5878" w:type="dxa"/>
            <w:gridSpan w:val="7"/>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中文名</w:t>
            </w:r>
            <w:r>
              <w:rPr>
                <w:rFonts w:hint="eastAsia" w:ascii="宋体" w:hAnsi="宋体" w:eastAsia="宋体"/>
                <w:color w:val="auto"/>
                <w:spacing w:val="10"/>
                <w:sz w:val="21"/>
                <w:szCs w:val="21"/>
              </w:rPr>
              <w:t>：乙酸正丁酯；醋酸正丁酯；乙酸丁酯</w:t>
            </w:r>
          </w:p>
        </w:tc>
        <w:tc>
          <w:tcPr>
            <w:tcW w:w="2825" w:type="dxa"/>
            <w:gridSpan w:val="3"/>
            <w:vAlign w:val="center"/>
          </w:tcPr>
          <w:p>
            <w:pPr>
              <w:spacing w:line="360" w:lineRule="auto"/>
              <w:rPr>
                <w:rFonts w:ascii="宋体" w:hAnsi="宋体" w:eastAsia="宋体"/>
                <w:color w:val="auto"/>
                <w:spacing w:val="10"/>
                <w:sz w:val="21"/>
                <w:szCs w:val="21"/>
              </w:rPr>
            </w:pPr>
            <w:r>
              <w:rPr>
                <w:rFonts w:hint="eastAsia" w:ascii="宋体" w:hAnsi="宋体" w:eastAsia="宋体"/>
                <w:color w:val="auto"/>
                <w:sz w:val="21"/>
                <w:szCs w:val="21"/>
              </w:rPr>
              <w:t>危规号：2657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5" w:hRule="atLeast"/>
          <w:jc w:val="center"/>
        </w:trPr>
        <w:tc>
          <w:tcPr>
            <w:tcW w:w="476" w:type="dxa"/>
            <w:vMerge w:val="continue"/>
            <w:vAlign w:val="center"/>
          </w:tcPr>
          <w:p>
            <w:pPr>
              <w:widowControl/>
              <w:spacing w:line="360" w:lineRule="auto"/>
              <w:rPr>
                <w:rFonts w:ascii="宋体" w:hAnsi="宋体" w:eastAsia="宋体"/>
                <w:color w:val="auto"/>
                <w:spacing w:val="10"/>
                <w:sz w:val="21"/>
                <w:szCs w:val="21"/>
              </w:rPr>
            </w:pPr>
          </w:p>
        </w:tc>
        <w:tc>
          <w:tcPr>
            <w:tcW w:w="5878" w:type="dxa"/>
            <w:gridSpan w:val="7"/>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英文名：</w:t>
            </w:r>
            <w:r>
              <w:rPr>
                <w:rFonts w:hint="eastAsia" w:ascii="宋体" w:hAnsi="宋体" w:eastAsia="宋体"/>
                <w:color w:val="auto"/>
                <w:spacing w:val="10"/>
                <w:sz w:val="21"/>
                <w:szCs w:val="21"/>
              </w:rPr>
              <w:t>butyl acetate butyl ethanoate</w:t>
            </w:r>
          </w:p>
        </w:tc>
        <w:tc>
          <w:tcPr>
            <w:tcW w:w="2825" w:type="dxa"/>
            <w:gridSpan w:val="3"/>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UN编号：</w:t>
            </w:r>
            <w:r>
              <w:rPr>
                <w:rFonts w:hint="eastAsia" w:ascii="宋体" w:hAnsi="宋体" w:eastAsia="宋体"/>
                <w:color w:val="auto"/>
                <w:spacing w:val="10"/>
                <w:sz w:val="21"/>
                <w:szCs w:val="21"/>
              </w:rPr>
              <w:t>1123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1" w:hRule="atLeast"/>
          <w:jc w:val="center"/>
        </w:trPr>
        <w:tc>
          <w:tcPr>
            <w:tcW w:w="476" w:type="dxa"/>
            <w:vMerge w:val="continue"/>
            <w:vAlign w:val="center"/>
          </w:tcPr>
          <w:p>
            <w:pPr>
              <w:widowControl/>
              <w:spacing w:line="360" w:lineRule="auto"/>
              <w:rPr>
                <w:rFonts w:ascii="宋体" w:hAnsi="宋体" w:eastAsia="宋体"/>
                <w:color w:val="auto"/>
                <w:spacing w:val="10"/>
                <w:sz w:val="21"/>
                <w:szCs w:val="21"/>
              </w:rPr>
            </w:pPr>
          </w:p>
        </w:tc>
        <w:tc>
          <w:tcPr>
            <w:tcW w:w="3015" w:type="dxa"/>
            <w:gridSpan w:val="3"/>
            <w:vAlign w:val="center"/>
          </w:tcPr>
          <w:p>
            <w:pPr>
              <w:spacing w:line="360" w:lineRule="auto"/>
              <w:ind w:left="880" w:hanging="920" w:hangingChars="400"/>
              <w:rPr>
                <w:rFonts w:ascii="宋体" w:hAnsi="宋体" w:eastAsia="宋体"/>
                <w:color w:val="auto"/>
                <w:spacing w:val="10"/>
                <w:sz w:val="21"/>
                <w:szCs w:val="21"/>
                <w:vertAlign w:val="subscript"/>
              </w:rPr>
            </w:pPr>
            <w:r>
              <w:rPr>
                <w:rFonts w:ascii="宋体" w:hAnsi="宋体" w:eastAsia="宋体"/>
                <w:color w:val="auto"/>
                <w:spacing w:val="10"/>
                <w:sz w:val="21"/>
                <w:szCs w:val="21"/>
              </w:rPr>
              <w:t>分子式：</w:t>
            </w:r>
            <w:r>
              <w:rPr>
                <w:rFonts w:hint="eastAsia" w:ascii="宋体" w:hAnsi="宋体" w:eastAsia="宋体"/>
                <w:color w:val="auto"/>
                <w:spacing w:val="10"/>
                <w:sz w:val="21"/>
                <w:szCs w:val="21"/>
              </w:rPr>
              <w:t>C</w:t>
            </w:r>
            <w:r>
              <w:rPr>
                <w:rFonts w:hint="eastAsia" w:ascii="宋体" w:hAnsi="宋体" w:eastAsia="宋体"/>
                <w:color w:val="auto"/>
                <w:spacing w:val="10"/>
                <w:sz w:val="21"/>
                <w:szCs w:val="21"/>
                <w:vertAlign w:val="subscript"/>
              </w:rPr>
              <w:t>6</w:t>
            </w:r>
            <w:r>
              <w:rPr>
                <w:rFonts w:hint="eastAsia" w:ascii="宋体" w:hAnsi="宋体" w:eastAsia="宋体"/>
                <w:color w:val="auto"/>
                <w:spacing w:val="10"/>
                <w:sz w:val="21"/>
                <w:szCs w:val="21"/>
              </w:rPr>
              <w:t>H</w:t>
            </w:r>
            <w:r>
              <w:rPr>
                <w:rFonts w:hint="eastAsia" w:ascii="宋体" w:hAnsi="宋体" w:eastAsia="宋体"/>
                <w:color w:val="auto"/>
                <w:spacing w:val="10"/>
                <w:sz w:val="21"/>
                <w:szCs w:val="21"/>
                <w:vertAlign w:val="subscript"/>
              </w:rPr>
              <w:t>12</w:t>
            </w:r>
            <w:r>
              <w:rPr>
                <w:rFonts w:hint="eastAsia" w:ascii="宋体" w:hAnsi="宋体" w:eastAsia="宋体"/>
                <w:color w:val="auto"/>
                <w:spacing w:val="10"/>
                <w:sz w:val="21"/>
                <w:szCs w:val="21"/>
              </w:rPr>
              <w:t>O</w:t>
            </w:r>
            <w:r>
              <w:rPr>
                <w:rFonts w:hint="eastAsia" w:ascii="宋体" w:hAnsi="宋体" w:eastAsia="宋体"/>
                <w:color w:val="auto"/>
                <w:spacing w:val="10"/>
                <w:sz w:val="21"/>
                <w:szCs w:val="21"/>
                <w:vertAlign w:val="subscript"/>
              </w:rPr>
              <w:t>2</w:t>
            </w:r>
          </w:p>
        </w:tc>
        <w:tc>
          <w:tcPr>
            <w:tcW w:w="2863" w:type="dxa"/>
            <w:gridSpan w:val="4"/>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分子量：</w:t>
            </w:r>
            <w:r>
              <w:rPr>
                <w:rFonts w:hint="eastAsia" w:ascii="宋体" w:hAnsi="宋体" w:eastAsia="宋体"/>
                <w:color w:val="auto"/>
                <w:spacing w:val="10"/>
                <w:sz w:val="21"/>
                <w:szCs w:val="21"/>
              </w:rPr>
              <w:t>116.16</w:t>
            </w:r>
          </w:p>
        </w:tc>
        <w:tc>
          <w:tcPr>
            <w:tcW w:w="2825" w:type="dxa"/>
            <w:gridSpan w:val="3"/>
            <w:vAlign w:val="center"/>
          </w:tcPr>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CAS号：</w:t>
            </w:r>
            <w:r>
              <w:rPr>
                <w:rFonts w:hint="eastAsia" w:ascii="宋体" w:hAnsi="宋体" w:eastAsia="宋体"/>
                <w:color w:val="auto"/>
                <w:spacing w:val="10"/>
                <w:sz w:val="21"/>
                <w:szCs w:val="21"/>
              </w:rPr>
              <w:t>123-86-4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476" w:type="dxa"/>
            <w:vMerge w:val="restart"/>
            <w:vAlign w:val="center"/>
          </w:tcPr>
          <w:p>
            <w:pPr>
              <w:spacing w:line="360" w:lineRule="auto"/>
              <w:jc w:val="center"/>
              <w:rPr>
                <w:rFonts w:ascii="宋体" w:hAnsi="宋体" w:eastAsia="宋体"/>
                <w:color w:val="auto"/>
                <w:spacing w:val="10"/>
                <w:sz w:val="21"/>
                <w:szCs w:val="21"/>
              </w:rPr>
            </w:pPr>
            <w:r>
              <w:rPr>
                <w:rFonts w:ascii="宋体" w:hAnsi="宋体" w:eastAsia="宋体"/>
                <w:color w:val="auto"/>
                <w:spacing w:val="10"/>
                <w:sz w:val="21"/>
                <w:szCs w:val="21"/>
              </w:rPr>
              <w:t>理</w:t>
            </w:r>
          </w:p>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化性质</w:t>
            </w:r>
          </w:p>
        </w:tc>
        <w:tc>
          <w:tcPr>
            <w:tcW w:w="1558" w:type="dxa"/>
            <w:vAlign w:val="center"/>
          </w:tcPr>
          <w:p>
            <w:pPr>
              <w:spacing w:line="360" w:lineRule="auto"/>
              <w:jc w:val="center"/>
              <w:rPr>
                <w:rFonts w:ascii="宋体" w:hAnsi="宋体" w:eastAsia="宋体"/>
                <w:color w:val="auto"/>
                <w:spacing w:val="10"/>
                <w:sz w:val="21"/>
                <w:szCs w:val="21"/>
              </w:rPr>
            </w:pPr>
            <w:r>
              <w:rPr>
                <w:rFonts w:ascii="宋体" w:hAnsi="宋体" w:eastAsia="宋体"/>
                <w:color w:val="auto"/>
                <w:spacing w:val="10"/>
                <w:sz w:val="21"/>
                <w:szCs w:val="21"/>
              </w:rPr>
              <w:t>外观与性状</w:t>
            </w:r>
          </w:p>
        </w:tc>
        <w:tc>
          <w:tcPr>
            <w:tcW w:w="7145" w:type="dxa"/>
            <w:gridSpan w:val="9"/>
            <w:vAlign w:val="center"/>
          </w:tcPr>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无色透明液体，有果子香味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jc w:val="center"/>
        </w:trPr>
        <w:tc>
          <w:tcPr>
            <w:tcW w:w="476" w:type="dxa"/>
            <w:vMerge w:val="continue"/>
            <w:vAlign w:val="center"/>
          </w:tcPr>
          <w:p>
            <w:pPr>
              <w:widowControl/>
              <w:spacing w:line="360" w:lineRule="auto"/>
              <w:rPr>
                <w:rFonts w:ascii="宋体" w:hAnsi="宋体" w:eastAsia="宋体"/>
                <w:color w:val="auto"/>
                <w:spacing w:val="10"/>
                <w:sz w:val="21"/>
                <w:szCs w:val="21"/>
              </w:rPr>
            </w:pPr>
          </w:p>
        </w:tc>
        <w:tc>
          <w:tcPr>
            <w:tcW w:w="1558" w:type="dxa"/>
            <w:vAlign w:val="center"/>
          </w:tcPr>
          <w:p>
            <w:pPr>
              <w:spacing w:line="360" w:lineRule="auto"/>
              <w:jc w:val="center"/>
              <w:rPr>
                <w:rFonts w:ascii="宋体" w:hAnsi="宋体" w:eastAsia="宋体"/>
                <w:color w:val="auto"/>
                <w:spacing w:val="10"/>
                <w:sz w:val="21"/>
                <w:szCs w:val="21"/>
              </w:rPr>
            </w:pPr>
            <w:r>
              <w:rPr>
                <w:rFonts w:ascii="宋体" w:hAnsi="宋体" w:eastAsia="宋体"/>
                <w:color w:val="auto"/>
                <w:spacing w:val="10"/>
                <w:sz w:val="21"/>
                <w:szCs w:val="21"/>
              </w:rPr>
              <w:t>熔点（℃）</w:t>
            </w:r>
          </w:p>
        </w:tc>
        <w:tc>
          <w:tcPr>
            <w:tcW w:w="1202" w:type="dxa"/>
            <w:vAlign w:val="center"/>
          </w:tcPr>
          <w:p>
            <w:pPr>
              <w:spacing w:line="360" w:lineRule="auto"/>
              <w:jc w:val="center"/>
              <w:rPr>
                <w:rFonts w:ascii="宋体" w:hAnsi="宋体" w:eastAsia="宋体"/>
                <w:color w:val="auto"/>
                <w:spacing w:val="10"/>
                <w:sz w:val="21"/>
                <w:szCs w:val="21"/>
              </w:rPr>
            </w:pPr>
            <w:r>
              <w:rPr>
                <w:rFonts w:hint="eastAsia" w:ascii="宋体" w:hAnsi="宋体" w:eastAsia="宋体"/>
                <w:color w:val="auto"/>
                <w:spacing w:val="10"/>
                <w:sz w:val="21"/>
                <w:szCs w:val="21"/>
              </w:rPr>
              <w:t>-73.5</w:t>
            </w:r>
          </w:p>
        </w:tc>
        <w:tc>
          <w:tcPr>
            <w:tcW w:w="2218" w:type="dxa"/>
            <w:gridSpan w:val="4"/>
            <w:vAlign w:val="center"/>
          </w:tcPr>
          <w:p>
            <w:pPr>
              <w:spacing w:line="360" w:lineRule="auto"/>
              <w:jc w:val="center"/>
              <w:rPr>
                <w:rFonts w:ascii="宋体" w:hAnsi="宋体" w:eastAsia="宋体"/>
                <w:color w:val="auto"/>
                <w:spacing w:val="10"/>
                <w:sz w:val="21"/>
                <w:szCs w:val="21"/>
              </w:rPr>
            </w:pPr>
            <w:r>
              <w:rPr>
                <w:rFonts w:ascii="宋体" w:hAnsi="宋体" w:eastAsia="宋体"/>
                <w:color w:val="auto"/>
                <w:spacing w:val="10"/>
                <w:sz w:val="21"/>
                <w:szCs w:val="21"/>
              </w:rPr>
              <w:t>相对密度(水=1)</w:t>
            </w:r>
          </w:p>
        </w:tc>
        <w:tc>
          <w:tcPr>
            <w:tcW w:w="900" w:type="dxa"/>
            <w:vAlign w:val="center"/>
          </w:tcPr>
          <w:p>
            <w:pPr>
              <w:spacing w:line="360" w:lineRule="auto"/>
              <w:jc w:val="center"/>
              <w:rPr>
                <w:rFonts w:ascii="宋体" w:hAnsi="宋体" w:eastAsia="宋体"/>
                <w:color w:val="auto"/>
                <w:spacing w:val="10"/>
                <w:sz w:val="21"/>
                <w:szCs w:val="21"/>
              </w:rPr>
            </w:pPr>
            <w:r>
              <w:rPr>
                <w:rFonts w:hint="eastAsia" w:ascii="宋体" w:hAnsi="宋体" w:eastAsia="宋体"/>
                <w:color w:val="auto"/>
                <w:spacing w:val="10"/>
                <w:sz w:val="21"/>
                <w:szCs w:val="21"/>
              </w:rPr>
              <w:t>0.88</w:t>
            </w:r>
          </w:p>
        </w:tc>
        <w:tc>
          <w:tcPr>
            <w:tcW w:w="2160" w:type="dxa"/>
            <w:gridSpan w:val="2"/>
            <w:vAlign w:val="center"/>
          </w:tcPr>
          <w:p>
            <w:pPr>
              <w:spacing w:line="360" w:lineRule="auto"/>
              <w:jc w:val="center"/>
              <w:rPr>
                <w:rFonts w:ascii="宋体" w:hAnsi="宋体" w:eastAsia="宋体"/>
                <w:color w:val="auto"/>
                <w:spacing w:val="10"/>
                <w:sz w:val="21"/>
                <w:szCs w:val="21"/>
              </w:rPr>
            </w:pPr>
            <w:r>
              <w:rPr>
                <w:rFonts w:ascii="宋体" w:hAnsi="宋体" w:eastAsia="宋体"/>
                <w:color w:val="auto"/>
                <w:spacing w:val="10"/>
                <w:sz w:val="21"/>
                <w:szCs w:val="21"/>
              </w:rPr>
              <w:t>相对密度(空气=1)</w:t>
            </w:r>
          </w:p>
        </w:tc>
        <w:tc>
          <w:tcPr>
            <w:tcW w:w="665" w:type="dxa"/>
            <w:vAlign w:val="center"/>
          </w:tcPr>
          <w:p>
            <w:pPr>
              <w:spacing w:line="360" w:lineRule="auto"/>
              <w:jc w:val="center"/>
              <w:rPr>
                <w:rFonts w:ascii="宋体" w:hAnsi="宋体" w:eastAsia="宋体"/>
                <w:color w:val="auto"/>
                <w:spacing w:val="10"/>
                <w:sz w:val="21"/>
                <w:szCs w:val="21"/>
              </w:rPr>
            </w:pPr>
            <w:r>
              <w:rPr>
                <w:rFonts w:hint="eastAsia" w:ascii="宋体" w:hAnsi="宋体" w:eastAsia="宋体"/>
                <w:color w:val="auto"/>
                <w:spacing w:val="10"/>
                <w:sz w:val="21"/>
                <w:szCs w:val="21"/>
              </w:rPr>
              <w:t>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6" w:hRule="atLeast"/>
          <w:jc w:val="center"/>
        </w:trPr>
        <w:tc>
          <w:tcPr>
            <w:tcW w:w="476" w:type="dxa"/>
            <w:vMerge w:val="continue"/>
            <w:vAlign w:val="center"/>
          </w:tcPr>
          <w:p>
            <w:pPr>
              <w:widowControl/>
              <w:spacing w:line="360" w:lineRule="auto"/>
              <w:rPr>
                <w:rFonts w:ascii="宋体" w:hAnsi="宋体" w:eastAsia="宋体"/>
                <w:color w:val="auto"/>
                <w:spacing w:val="10"/>
                <w:sz w:val="21"/>
                <w:szCs w:val="21"/>
              </w:rPr>
            </w:pPr>
          </w:p>
        </w:tc>
        <w:tc>
          <w:tcPr>
            <w:tcW w:w="1558" w:type="dxa"/>
            <w:vAlign w:val="center"/>
          </w:tcPr>
          <w:p>
            <w:pPr>
              <w:spacing w:line="360" w:lineRule="auto"/>
              <w:jc w:val="center"/>
              <w:rPr>
                <w:rFonts w:ascii="宋体" w:hAnsi="宋体" w:eastAsia="宋体"/>
                <w:color w:val="auto"/>
                <w:spacing w:val="10"/>
                <w:sz w:val="21"/>
                <w:szCs w:val="21"/>
              </w:rPr>
            </w:pPr>
            <w:r>
              <w:rPr>
                <w:rFonts w:ascii="宋体" w:hAnsi="宋体" w:eastAsia="宋体"/>
                <w:color w:val="auto"/>
                <w:spacing w:val="10"/>
                <w:sz w:val="21"/>
                <w:szCs w:val="21"/>
              </w:rPr>
              <w:t>沸点（℃）</w:t>
            </w:r>
          </w:p>
        </w:tc>
        <w:tc>
          <w:tcPr>
            <w:tcW w:w="1202" w:type="dxa"/>
            <w:vAlign w:val="center"/>
          </w:tcPr>
          <w:p>
            <w:pPr>
              <w:spacing w:line="360" w:lineRule="auto"/>
              <w:jc w:val="center"/>
              <w:rPr>
                <w:rFonts w:ascii="宋体" w:hAnsi="宋体" w:eastAsia="宋体"/>
                <w:color w:val="auto"/>
                <w:spacing w:val="10"/>
                <w:sz w:val="21"/>
                <w:szCs w:val="21"/>
              </w:rPr>
            </w:pPr>
            <w:r>
              <w:rPr>
                <w:rFonts w:hint="eastAsia" w:ascii="宋体" w:hAnsi="宋体" w:eastAsia="宋体"/>
                <w:color w:val="auto"/>
                <w:spacing w:val="10"/>
                <w:sz w:val="21"/>
                <w:szCs w:val="21"/>
              </w:rPr>
              <w:t>126.1</w:t>
            </w:r>
          </w:p>
        </w:tc>
        <w:tc>
          <w:tcPr>
            <w:tcW w:w="3118" w:type="dxa"/>
            <w:gridSpan w:val="5"/>
            <w:vAlign w:val="center"/>
          </w:tcPr>
          <w:p>
            <w:pPr>
              <w:spacing w:line="360" w:lineRule="auto"/>
              <w:ind w:left="-40"/>
              <w:jc w:val="center"/>
              <w:rPr>
                <w:rFonts w:ascii="宋体" w:hAnsi="宋体" w:eastAsia="宋体"/>
                <w:color w:val="auto"/>
                <w:spacing w:val="10"/>
                <w:sz w:val="21"/>
                <w:szCs w:val="21"/>
              </w:rPr>
            </w:pPr>
            <w:r>
              <w:rPr>
                <w:rFonts w:ascii="宋体" w:hAnsi="宋体" w:eastAsia="宋体"/>
                <w:color w:val="auto"/>
                <w:spacing w:val="10"/>
                <w:sz w:val="21"/>
                <w:szCs w:val="21"/>
              </w:rPr>
              <w:t>饱和蒸气压（kPa）</w:t>
            </w:r>
          </w:p>
        </w:tc>
        <w:tc>
          <w:tcPr>
            <w:tcW w:w="2825" w:type="dxa"/>
            <w:gridSpan w:val="3"/>
            <w:vAlign w:val="center"/>
          </w:tcPr>
          <w:p>
            <w:pPr>
              <w:spacing w:line="360" w:lineRule="auto"/>
              <w:jc w:val="center"/>
              <w:rPr>
                <w:rFonts w:ascii="宋体" w:hAnsi="宋体" w:eastAsia="宋体"/>
                <w:color w:val="auto"/>
                <w:spacing w:val="10"/>
                <w:sz w:val="21"/>
                <w:szCs w:val="21"/>
              </w:rPr>
            </w:pPr>
            <w:r>
              <w:rPr>
                <w:rFonts w:hint="eastAsia" w:ascii="宋体" w:hAnsi="宋体" w:eastAsia="宋体"/>
                <w:color w:val="auto"/>
                <w:spacing w:val="10"/>
                <w:sz w:val="21"/>
                <w:szCs w:val="21"/>
              </w:rPr>
              <w:t>2.00/25℃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2" w:hRule="atLeast"/>
          <w:jc w:val="center"/>
        </w:trPr>
        <w:tc>
          <w:tcPr>
            <w:tcW w:w="476" w:type="dxa"/>
            <w:vMerge w:val="continue"/>
            <w:vAlign w:val="center"/>
          </w:tcPr>
          <w:p>
            <w:pPr>
              <w:widowControl/>
              <w:spacing w:line="360" w:lineRule="auto"/>
              <w:rPr>
                <w:rFonts w:ascii="宋体" w:hAnsi="宋体" w:eastAsia="宋体"/>
                <w:color w:val="auto"/>
                <w:spacing w:val="10"/>
                <w:sz w:val="21"/>
                <w:szCs w:val="21"/>
              </w:rPr>
            </w:pPr>
          </w:p>
        </w:tc>
        <w:tc>
          <w:tcPr>
            <w:tcW w:w="1558" w:type="dxa"/>
            <w:vAlign w:val="center"/>
          </w:tcPr>
          <w:p>
            <w:pPr>
              <w:spacing w:line="360" w:lineRule="auto"/>
              <w:jc w:val="center"/>
              <w:rPr>
                <w:rFonts w:ascii="宋体" w:hAnsi="宋体" w:eastAsia="宋体"/>
                <w:color w:val="auto"/>
                <w:spacing w:val="10"/>
                <w:sz w:val="21"/>
                <w:szCs w:val="21"/>
              </w:rPr>
            </w:pPr>
            <w:r>
              <w:rPr>
                <w:rFonts w:ascii="宋体" w:hAnsi="宋体" w:eastAsia="宋体"/>
                <w:color w:val="auto"/>
                <w:spacing w:val="10"/>
                <w:sz w:val="21"/>
                <w:szCs w:val="21"/>
              </w:rPr>
              <w:t>溶解性</w:t>
            </w:r>
          </w:p>
        </w:tc>
        <w:tc>
          <w:tcPr>
            <w:tcW w:w="7145" w:type="dxa"/>
            <w:gridSpan w:val="9"/>
            <w:vAlign w:val="center"/>
          </w:tcPr>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微溶于水，溶于醇、醚等多数有机溶剂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2" w:hRule="atLeast"/>
          <w:jc w:val="center"/>
        </w:trPr>
        <w:tc>
          <w:tcPr>
            <w:tcW w:w="476" w:type="dxa"/>
            <w:vMerge w:val="continue"/>
            <w:vAlign w:val="center"/>
          </w:tcPr>
          <w:p>
            <w:pPr>
              <w:widowControl/>
              <w:spacing w:line="360" w:lineRule="auto"/>
              <w:rPr>
                <w:rFonts w:ascii="宋体" w:hAnsi="宋体" w:eastAsia="宋体"/>
                <w:color w:val="auto"/>
                <w:spacing w:val="10"/>
                <w:sz w:val="21"/>
                <w:szCs w:val="21"/>
              </w:rPr>
            </w:pPr>
          </w:p>
        </w:tc>
        <w:tc>
          <w:tcPr>
            <w:tcW w:w="1558" w:type="dxa"/>
            <w:vAlign w:val="center"/>
          </w:tcPr>
          <w:p>
            <w:pPr>
              <w:spacing w:line="360" w:lineRule="auto"/>
              <w:jc w:val="center"/>
              <w:rPr>
                <w:rFonts w:ascii="宋体" w:hAnsi="宋体" w:eastAsia="宋体"/>
                <w:color w:val="auto"/>
                <w:spacing w:val="10"/>
                <w:sz w:val="21"/>
                <w:szCs w:val="21"/>
              </w:rPr>
            </w:pPr>
            <w:r>
              <w:rPr>
                <w:rFonts w:hint="eastAsia" w:ascii="宋体" w:hAnsi="宋体" w:eastAsia="宋体"/>
                <w:color w:val="auto"/>
                <w:spacing w:val="10"/>
                <w:sz w:val="21"/>
                <w:szCs w:val="21"/>
              </w:rPr>
              <w:t>危险性类别</w:t>
            </w:r>
          </w:p>
        </w:tc>
        <w:tc>
          <w:tcPr>
            <w:tcW w:w="7145" w:type="dxa"/>
            <w:gridSpan w:val="9"/>
            <w:vAlign w:val="center"/>
          </w:tcPr>
          <w:p>
            <w:pPr>
              <w:widowControl/>
              <w:spacing w:line="360" w:lineRule="auto"/>
              <w:rPr>
                <w:rFonts w:ascii="宋体" w:hAnsi="宋体" w:eastAsia="宋体" w:cs="宋体"/>
                <w:color w:val="auto"/>
                <w:sz w:val="21"/>
                <w:szCs w:val="21"/>
              </w:rPr>
            </w:pPr>
            <w:r>
              <w:rPr>
                <w:rFonts w:ascii="宋体" w:hAnsi="宋体" w:eastAsia="宋体" w:cs="宋体"/>
                <w:color w:val="auto"/>
                <w:sz w:val="21"/>
                <w:szCs w:val="21"/>
              </w:rPr>
              <w:t>易燃液体,类别3</w:t>
            </w:r>
          </w:p>
          <w:p>
            <w:pPr>
              <w:spacing w:line="360" w:lineRule="auto"/>
              <w:rPr>
                <w:rFonts w:ascii="宋体" w:hAnsi="宋体" w:eastAsia="宋体"/>
                <w:color w:val="auto"/>
                <w:spacing w:val="10"/>
                <w:sz w:val="21"/>
                <w:szCs w:val="21"/>
              </w:rPr>
            </w:pPr>
            <w:r>
              <w:rPr>
                <w:rFonts w:ascii="宋体" w:hAnsi="宋体" w:eastAsia="宋体" w:cs="宋体"/>
                <w:color w:val="auto"/>
                <w:sz w:val="21"/>
                <w:szCs w:val="21"/>
              </w:rPr>
              <w:t>特异性靶器官毒性-一次接触,类别3（麻醉效应）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0" w:hRule="atLeast"/>
          <w:jc w:val="center"/>
        </w:trPr>
        <w:tc>
          <w:tcPr>
            <w:tcW w:w="476" w:type="dxa"/>
            <w:vMerge w:val="restart"/>
            <w:vAlign w:val="center"/>
          </w:tcPr>
          <w:p>
            <w:pPr>
              <w:spacing w:line="360" w:lineRule="auto"/>
              <w:jc w:val="center"/>
              <w:rPr>
                <w:rFonts w:ascii="宋体" w:hAnsi="宋体" w:eastAsia="宋体"/>
                <w:color w:val="auto"/>
                <w:spacing w:val="10"/>
                <w:sz w:val="21"/>
                <w:szCs w:val="21"/>
              </w:rPr>
            </w:pPr>
            <w:r>
              <w:rPr>
                <w:rFonts w:ascii="宋体" w:hAnsi="宋体" w:eastAsia="宋体"/>
                <w:color w:val="auto"/>
                <w:spacing w:val="10"/>
                <w:sz w:val="21"/>
                <w:szCs w:val="21"/>
              </w:rPr>
              <w:t>毒</w:t>
            </w:r>
          </w:p>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性及健康危害</w:t>
            </w:r>
          </w:p>
        </w:tc>
        <w:tc>
          <w:tcPr>
            <w:tcW w:w="1558" w:type="dxa"/>
            <w:vAlign w:val="center"/>
          </w:tcPr>
          <w:p>
            <w:pPr>
              <w:spacing w:line="360" w:lineRule="auto"/>
              <w:jc w:val="center"/>
              <w:rPr>
                <w:rFonts w:ascii="宋体" w:hAnsi="宋体" w:eastAsia="宋体"/>
                <w:color w:val="auto"/>
                <w:spacing w:val="10"/>
                <w:sz w:val="21"/>
                <w:szCs w:val="21"/>
              </w:rPr>
            </w:pPr>
            <w:r>
              <w:rPr>
                <w:rFonts w:ascii="宋体" w:hAnsi="宋体" w:eastAsia="宋体"/>
                <w:color w:val="auto"/>
                <w:spacing w:val="10"/>
                <w:sz w:val="21"/>
                <w:szCs w:val="21"/>
              </w:rPr>
              <w:t>侵入途径</w:t>
            </w:r>
          </w:p>
        </w:tc>
        <w:tc>
          <w:tcPr>
            <w:tcW w:w="7145" w:type="dxa"/>
            <w:gridSpan w:val="9"/>
            <w:vAlign w:val="center"/>
          </w:tcPr>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吸入、食入、经皮吸收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7" w:hRule="atLeast"/>
          <w:jc w:val="center"/>
        </w:trPr>
        <w:tc>
          <w:tcPr>
            <w:tcW w:w="476" w:type="dxa"/>
            <w:vMerge w:val="continue"/>
            <w:vAlign w:val="center"/>
          </w:tcPr>
          <w:p>
            <w:pPr>
              <w:widowControl/>
              <w:spacing w:line="360" w:lineRule="auto"/>
              <w:rPr>
                <w:rFonts w:ascii="宋体" w:hAnsi="宋体" w:eastAsia="宋体"/>
                <w:color w:val="auto"/>
                <w:spacing w:val="10"/>
                <w:sz w:val="21"/>
                <w:szCs w:val="21"/>
              </w:rPr>
            </w:pPr>
          </w:p>
        </w:tc>
        <w:tc>
          <w:tcPr>
            <w:tcW w:w="1558" w:type="dxa"/>
            <w:vAlign w:val="center"/>
          </w:tcPr>
          <w:p>
            <w:pPr>
              <w:spacing w:line="360" w:lineRule="auto"/>
              <w:jc w:val="center"/>
              <w:rPr>
                <w:rFonts w:ascii="宋体" w:hAnsi="宋体" w:eastAsia="宋体"/>
                <w:color w:val="auto"/>
                <w:spacing w:val="10"/>
                <w:sz w:val="21"/>
                <w:szCs w:val="21"/>
              </w:rPr>
            </w:pPr>
            <w:r>
              <w:rPr>
                <w:rFonts w:ascii="宋体" w:hAnsi="宋体" w:eastAsia="宋体"/>
                <w:color w:val="auto"/>
                <w:spacing w:val="10"/>
                <w:sz w:val="21"/>
                <w:szCs w:val="21"/>
              </w:rPr>
              <w:t>毒性</w:t>
            </w:r>
          </w:p>
        </w:tc>
        <w:tc>
          <w:tcPr>
            <w:tcW w:w="7145" w:type="dxa"/>
            <w:gridSpan w:val="9"/>
            <w:vAlign w:val="center"/>
          </w:tcPr>
          <w:p>
            <w:pPr>
              <w:spacing w:line="360" w:lineRule="auto"/>
              <w:rPr>
                <w:rFonts w:ascii="宋体" w:hAnsi="宋体" w:eastAsia="宋体"/>
                <w:color w:val="auto"/>
                <w:sz w:val="21"/>
                <w:szCs w:val="21"/>
              </w:rPr>
            </w:pPr>
            <w:r>
              <w:rPr>
                <w:rFonts w:ascii="宋体" w:hAnsi="宋体" w:eastAsia="宋体"/>
                <w:color w:val="auto"/>
                <w:spacing w:val="10"/>
                <w:sz w:val="21"/>
                <w:szCs w:val="21"/>
              </w:rPr>
              <w:t xml:space="preserve"> LD</w:t>
            </w:r>
            <w:r>
              <w:rPr>
                <w:rFonts w:ascii="宋体" w:hAnsi="宋体" w:eastAsia="宋体"/>
                <w:color w:val="auto"/>
                <w:spacing w:val="10"/>
                <w:sz w:val="21"/>
                <w:szCs w:val="21"/>
                <w:vertAlign w:val="subscript"/>
              </w:rPr>
              <w:t>50</w:t>
            </w:r>
            <w:r>
              <w:rPr>
                <w:rFonts w:ascii="宋体" w:hAnsi="宋体" w:eastAsia="宋体"/>
                <w:color w:val="auto"/>
                <w:spacing w:val="10"/>
                <w:sz w:val="21"/>
                <w:szCs w:val="21"/>
              </w:rPr>
              <w:t>：</w:t>
            </w:r>
            <w:r>
              <w:rPr>
                <w:rFonts w:hint="eastAsia" w:ascii="宋体" w:hAnsi="宋体" w:eastAsia="宋体"/>
                <w:color w:val="auto"/>
                <w:spacing w:val="10"/>
                <w:sz w:val="21"/>
                <w:szCs w:val="21"/>
              </w:rPr>
              <w:t>13100mg/kg（大鼠经口）</w:t>
            </w:r>
          </w:p>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 xml:space="preserve"> LC</w:t>
            </w:r>
            <w:r>
              <w:rPr>
                <w:rFonts w:ascii="宋体" w:hAnsi="宋体" w:eastAsia="宋体"/>
                <w:color w:val="auto"/>
                <w:spacing w:val="10"/>
                <w:sz w:val="21"/>
                <w:szCs w:val="21"/>
                <w:vertAlign w:val="subscript"/>
              </w:rPr>
              <w:t>50</w:t>
            </w:r>
            <w:r>
              <w:rPr>
                <w:rFonts w:ascii="宋体" w:hAnsi="宋体" w:eastAsia="宋体"/>
                <w:color w:val="auto"/>
                <w:spacing w:val="10"/>
                <w:sz w:val="21"/>
                <w:szCs w:val="21"/>
              </w:rPr>
              <w:t>：</w:t>
            </w:r>
            <w:r>
              <w:rPr>
                <w:rFonts w:hint="eastAsia" w:ascii="宋体" w:hAnsi="宋体" w:eastAsia="宋体"/>
                <w:color w:val="auto"/>
                <w:spacing w:val="10"/>
                <w:sz w:val="21"/>
                <w:szCs w:val="21"/>
              </w:rPr>
              <w:t>9480mg/kg（大鼠经口）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9" w:hRule="atLeast"/>
          <w:jc w:val="center"/>
        </w:trPr>
        <w:tc>
          <w:tcPr>
            <w:tcW w:w="476" w:type="dxa"/>
            <w:vMerge w:val="continue"/>
            <w:vAlign w:val="center"/>
          </w:tcPr>
          <w:p>
            <w:pPr>
              <w:widowControl/>
              <w:spacing w:line="360" w:lineRule="auto"/>
              <w:rPr>
                <w:rFonts w:ascii="宋体" w:hAnsi="宋体" w:eastAsia="宋体"/>
                <w:color w:val="auto"/>
                <w:spacing w:val="10"/>
                <w:sz w:val="21"/>
                <w:szCs w:val="21"/>
              </w:rPr>
            </w:pPr>
          </w:p>
        </w:tc>
        <w:tc>
          <w:tcPr>
            <w:tcW w:w="1558" w:type="dxa"/>
            <w:vAlign w:val="center"/>
          </w:tcPr>
          <w:p>
            <w:pPr>
              <w:spacing w:line="360" w:lineRule="auto"/>
              <w:jc w:val="center"/>
              <w:rPr>
                <w:rFonts w:ascii="宋体" w:hAnsi="宋体" w:eastAsia="宋体"/>
                <w:color w:val="auto"/>
                <w:spacing w:val="10"/>
                <w:sz w:val="21"/>
                <w:szCs w:val="21"/>
              </w:rPr>
            </w:pPr>
            <w:r>
              <w:rPr>
                <w:rFonts w:ascii="宋体" w:hAnsi="宋体" w:eastAsia="宋体"/>
                <w:color w:val="auto"/>
                <w:spacing w:val="10"/>
                <w:sz w:val="21"/>
                <w:szCs w:val="21"/>
              </w:rPr>
              <w:t>健康危害</w:t>
            </w:r>
          </w:p>
        </w:tc>
        <w:tc>
          <w:tcPr>
            <w:tcW w:w="7145" w:type="dxa"/>
            <w:gridSpan w:val="9"/>
            <w:vAlign w:val="center"/>
          </w:tcPr>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对眼及上呼吸道均有强烈的刺激作用，有麻醉作用。吸入高浓度本品出现流泪、咽痛、咳嗽、胸闷、气短等，严重者出现心血管和神经系统的症状，可引起结膜炎、角膜炎，角膜上皮有空泡形成。皮肤接触可引起皮肤干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8" w:hRule="atLeast"/>
          <w:jc w:val="center"/>
        </w:trPr>
        <w:tc>
          <w:tcPr>
            <w:tcW w:w="476" w:type="dxa"/>
            <w:vMerge w:val="continue"/>
            <w:vAlign w:val="center"/>
          </w:tcPr>
          <w:p>
            <w:pPr>
              <w:widowControl/>
              <w:spacing w:line="360" w:lineRule="auto"/>
              <w:rPr>
                <w:rFonts w:ascii="宋体" w:hAnsi="宋体" w:eastAsia="宋体"/>
                <w:color w:val="auto"/>
                <w:spacing w:val="10"/>
                <w:sz w:val="21"/>
                <w:szCs w:val="21"/>
              </w:rPr>
            </w:pPr>
          </w:p>
        </w:tc>
        <w:tc>
          <w:tcPr>
            <w:tcW w:w="1558" w:type="dxa"/>
            <w:vAlign w:val="center"/>
          </w:tcPr>
          <w:p>
            <w:pPr>
              <w:spacing w:line="360" w:lineRule="auto"/>
              <w:jc w:val="center"/>
              <w:rPr>
                <w:rFonts w:ascii="宋体" w:hAnsi="宋体" w:eastAsia="宋体"/>
                <w:color w:val="auto"/>
                <w:spacing w:val="10"/>
                <w:sz w:val="21"/>
                <w:szCs w:val="21"/>
              </w:rPr>
            </w:pPr>
            <w:r>
              <w:rPr>
                <w:rFonts w:ascii="宋体" w:hAnsi="宋体" w:eastAsia="宋体"/>
                <w:color w:val="auto"/>
                <w:spacing w:val="10"/>
                <w:sz w:val="21"/>
                <w:szCs w:val="21"/>
              </w:rPr>
              <w:t>急救方法</w:t>
            </w:r>
          </w:p>
        </w:tc>
        <w:tc>
          <w:tcPr>
            <w:tcW w:w="7145" w:type="dxa"/>
            <w:gridSpan w:val="9"/>
            <w:vAlign w:val="center"/>
          </w:tcPr>
          <w:p>
            <w:pPr>
              <w:widowControl/>
              <w:shd w:val="clear" w:color="auto" w:fill="FFFFFF"/>
              <w:spacing w:line="360" w:lineRule="auto"/>
              <w:rPr>
                <w:rFonts w:ascii="宋体" w:hAnsi="宋体" w:eastAsia="宋体" w:cs="Arial"/>
                <w:color w:val="auto"/>
                <w:sz w:val="21"/>
                <w:szCs w:val="21"/>
              </w:rPr>
            </w:pPr>
            <w:r>
              <w:rPr>
                <w:rFonts w:hint="eastAsia" w:ascii="宋体" w:hAnsi="宋体" w:eastAsia="宋体" w:cs="Arial"/>
                <w:color w:val="auto"/>
                <w:sz w:val="21"/>
                <w:szCs w:val="21"/>
              </w:rPr>
              <w:t>皮肤接触：脱去被污染的衣着，用肥皂水和清水彻底冲洗皮肤。</w:t>
            </w:r>
          </w:p>
          <w:p>
            <w:pPr>
              <w:widowControl/>
              <w:shd w:val="clear" w:color="auto" w:fill="FFFFFF"/>
              <w:spacing w:line="360" w:lineRule="auto"/>
              <w:rPr>
                <w:rFonts w:ascii="宋体" w:hAnsi="宋体" w:eastAsia="宋体" w:cs="Arial"/>
                <w:color w:val="auto"/>
                <w:sz w:val="21"/>
                <w:szCs w:val="21"/>
              </w:rPr>
            </w:pPr>
            <w:r>
              <w:rPr>
                <w:rFonts w:hint="eastAsia" w:ascii="宋体" w:hAnsi="宋体" w:eastAsia="宋体" w:cs="Arial"/>
                <w:color w:val="auto"/>
                <w:sz w:val="21"/>
                <w:szCs w:val="21"/>
              </w:rPr>
              <w:t>眼睛接触：立即提起眼睑，用大量流动清水或生理盐水彻底冲洗至少15分钟。就医。</w:t>
            </w:r>
          </w:p>
          <w:p>
            <w:pPr>
              <w:widowControl/>
              <w:shd w:val="clear" w:color="auto" w:fill="FFFFFF"/>
              <w:spacing w:line="360" w:lineRule="auto"/>
              <w:rPr>
                <w:rFonts w:ascii="宋体" w:hAnsi="宋体" w:eastAsia="宋体" w:cs="Arial"/>
                <w:color w:val="auto"/>
                <w:sz w:val="21"/>
                <w:szCs w:val="21"/>
              </w:rPr>
            </w:pPr>
            <w:r>
              <w:rPr>
                <w:rFonts w:hint="eastAsia" w:ascii="宋体" w:hAnsi="宋体" w:eastAsia="宋体" w:cs="Arial"/>
                <w:color w:val="auto"/>
                <w:sz w:val="21"/>
                <w:szCs w:val="21"/>
              </w:rPr>
              <w:t>吸入：迅速脱离现场指控其新鲜处。保持呼吸道通畅。如呼吸困难，给输氧。如呼吸停止，立即进行人工呼吸。就医。</w:t>
            </w:r>
          </w:p>
          <w:p>
            <w:pPr>
              <w:widowControl/>
              <w:shd w:val="clear" w:color="auto" w:fill="FFFFFF"/>
              <w:spacing w:line="360" w:lineRule="auto"/>
              <w:rPr>
                <w:rFonts w:ascii="宋体" w:hAnsi="宋体" w:eastAsia="宋体" w:cs="Arial"/>
                <w:color w:val="auto"/>
                <w:sz w:val="21"/>
                <w:szCs w:val="21"/>
              </w:rPr>
            </w:pPr>
            <w:r>
              <w:rPr>
                <w:rFonts w:hint="eastAsia" w:ascii="宋体" w:hAnsi="宋体" w:eastAsia="宋体" w:cs="Arial"/>
                <w:color w:val="auto"/>
                <w:sz w:val="21"/>
                <w:szCs w:val="21"/>
              </w:rPr>
              <w:t>食入：饮足量温水，催吐，就医。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476" w:type="dxa"/>
            <w:vMerge w:val="restart"/>
            <w:vAlign w:val="center"/>
          </w:tcPr>
          <w:p>
            <w:pPr>
              <w:spacing w:line="360" w:lineRule="auto"/>
              <w:jc w:val="center"/>
              <w:rPr>
                <w:rFonts w:ascii="宋体" w:hAnsi="宋体" w:eastAsia="宋体"/>
                <w:color w:val="auto"/>
                <w:spacing w:val="10"/>
                <w:sz w:val="21"/>
                <w:szCs w:val="21"/>
              </w:rPr>
            </w:pPr>
            <w:r>
              <w:rPr>
                <w:rFonts w:ascii="宋体" w:hAnsi="宋体" w:eastAsia="宋体"/>
                <w:color w:val="auto"/>
                <w:spacing w:val="10"/>
                <w:sz w:val="21"/>
                <w:szCs w:val="21"/>
              </w:rPr>
              <w:t>燃</w:t>
            </w:r>
          </w:p>
          <w:p>
            <w:pPr>
              <w:spacing w:line="360" w:lineRule="auto"/>
              <w:rPr>
                <w:rFonts w:ascii="宋体" w:hAnsi="宋体" w:eastAsia="宋体"/>
                <w:color w:val="auto"/>
                <w:spacing w:val="10"/>
                <w:sz w:val="21"/>
                <w:szCs w:val="21"/>
              </w:rPr>
            </w:pPr>
            <w:r>
              <w:rPr>
                <w:rFonts w:ascii="宋体" w:hAnsi="宋体" w:eastAsia="宋体"/>
                <w:color w:val="auto"/>
                <w:spacing w:val="10"/>
                <w:sz w:val="21"/>
                <w:szCs w:val="21"/>
              </w:rPr>
              <w:t>烧爆炸危险性</w:t>
            </w:r>
          </w:p>
        </w:tc>
        <w:tc>
          <w:tcPr>
            <w:tcW w:w="1558" w:type="dxa"/>
            <w:vAlign w:val="center"/>
          </w:tcPr>
          <w:p>
            <w:pPr>
              <w:spacing w:line="360" w:lineRule="auto"/>
              <w:jc w:val="center"/>
              <w:rPr>
                <w:rFonts w:ascii="宋体" w:hAnsi="宋体" w:eastAsia="宋体"/>
                <w:color w:val="auto"/>
                <w:spacing w:val="10"/>
                <w:sz w:val="21"/>
                <w:szCs w:val="21"/>
              </w:rPr>
            </w:pPr>
            <w:r>
              <w:rPr>
                <w:rFonts w:ascii="宋体" w:hAnsi="宋体" w:eastAsia="宋体"/>
                <w:color w:val="auto"/>
                <w:spacing w:val="10"/>
                <w:sz w:val="21"/>
                <w:szCs w:val="21"/>
              </w:rPr>
              <w:t>燃烧性</w:t>
            </w:r>
          </w:p>
        </w:tc>
        <w:tc>
          <w:tcPr>
            <w:tcW w:w="1800" w:type="dxa"/>
            <w:gridSpan w:val="3"/>
            <w:vAlign w:val="center"/>
          </w:tcPr>
          <w:p>
            <w:pPr>
              <w:spacing w:line="360" w:lineRule="auto"/>
              <w:jc w:val="center"/>
              <w:rPr>
                <w:rFonts w:ascii="宋体" w:hAnsi="宋体" w:eastAsia="宋体"/>
                <w:color w:val="auto"/>
                <w:spacing w:val="10"/>
                <w:sz w:val="21"/>
                <w:szCs w:val="21"/>
              </w:rPr>
            </w:pPr>
            <w:r>
              <w:rPr>
                <w:rFonts w:hint="eastAsia" w:ascii="宋体" w:hAnsi="宋体" w:eastAsia="宋体"/>
                <w:color w:val="auto"/>
                <w:spacing w:val="10"/>
                <w:sz w:val="21"/>
                <w:szCs w:val="21"/>
              </w:rPr>
              <w:t>易燃</w:t>
            </w:r>
          </w:p>
        </w:tc>
        <w:tc>
          <w:tcPr>
            <w:tcW w:w="2520" w:type="dxa"/>
            <w:gridSpan w:val="3"/>
            <w:vAlign w:val="center"/>
          </w:tcPr>
          <w:p>
            <w:pPr>
              <w:spacing w:line="360" w:lineRule="auto"/>
              <w:jc w:val="center"/>
              <w:rPr>
                <w:rFonts w:ascii="宋体" w:hAnsi="宋体" w:eastAsia="宋体"/>
                <w:color w:val="auto"/>
                <w:spacing w:val="10"/>
                <w:sz w:val="21"/>
                <w:szCs w:val="21"/>
              </w:rPr>
            </w:pPr>
            <w:r>
              <w:rPr>
                <w:rFonts w:ascii="宋体" w:hAnsi="宋体" w:eastAsia="宋体"/>
                <w:color w:val="auto"/>
                <w:spacing w:val="10"/>
                <w:sz w:val="21"/>
                <w:szCs w:val="21"/>
              </w:rPr>
              <w:t>燃烧分解物</w:t>
            </w:r>
          </w:p>
        </w:tc>
        <w:tc>
          <w:tcPr>
            <w:tcW w:w="2825" w:type="dxa"/>
            <w:gridSpan w:val="3"/>
            <w:vAlign w:val="center"/>
          </w:tcPr>
          <w:p>
            <w:pPr>
              <w:spacing w:line="360" w:lineRule="auto"/>
              <w:jc w:val="center"/>
              <w:rPr>
                <w:rFonts w:ascii="宋体" w:hAnsi="宋体" w:eastAsia="宋体"/>
                <w:color w:val="auto"/>
                <w:spacing w:val="10"/>
                <w:sz w:val="21"/>
                <w:szCs w:val="21"/>
              </w:rPr>
            </w:pPr>
            <w:r>
              <w:rPr>
                <w:rFonts w:hint="eastAsia" w:ascii="宋体" w:hAnsi="宋体" w:eastAsia="宋体"/>
                <w:color w:val="auto"/>
                <w:spacing w:val="10"/>
                <w:sz w:val="21"/>
                <w:szCs w:val="21"/>
              </w:rPr>
              <w:t>一氧化碳、二氧化碳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9" w:hRule="atLeast"/>
          <w:jc w:val="center"/>
        </w:trPr>
        <w:tc>
          <w:tcPr>
            <w:tcW w:w="476" w:type="dxa"/>
            <w:vMerge w:val="continue"/>
            <w:vAlign w:val="center"/>
          </w:tcPr>
          <w:p>
            <w:pPr>
              <w:widowControl/>
              <w:spacing w:line="360" w:lineRule="auto"/>
              <w:rPr>
                <w:rFonts w:ascii="宋体" w:hAnsi="宋体" w:eastAsia="宋体"/>
                <w:color w:val="auto"/>
                <w:spacing w:val="10"/>
                <w:sz w:val="21"/>
                <w:szCs w:val="21"/>
              </w:rPr>
            </w:pPr>
          </w:p>
        </w:tc>
        <w:tc>
          <w:tcPr>
            <w:tcW w:w="1558" w:type="dxa"/>
            <w:vAlign w:val="center"/>
          </w:tcPr>
          <w:p>
            <w:pPr>
              <w:spacing w:line="360" w:lineRule="auto"/>
              <w:jc w:val="center"/>
              <w:rPr>
                <w:rFonts w:ascii="宋体" w:hAnsi="宋体" w:eastAsia="宋体"/>
                <w:color w:val="auto"/>
                <w:spacing w:val="10"/>
                <w:sz w:val="21"/>
                <w:szCs w:val="21"/>
              </w:rPr>
            </w:pPr>
            <w:r>
              <w:rPr>
                <w:rFonts w:ascii="宋体" w:hAnsi="宋体" w:eastAsia="宋体"/>
                <w:color w:val="auto"/>
                <w:spacing w:val="10"/>
                <w:sz w:val="21"/>
                <w:szCs w:val="21"/>
              </w:rPr>
              <w:t>闪点(℃)</w:t>
            </w:r>
          </w:p>
        </w:tc>
        <w:tc>
          <w:tcPr>
            <w:tcW w:w="1800" w:type="dxa"/>
            <w:gridSpan w:val="3"/>
            <w:vAlign w:val="center"/>
          </w:tcPr>
          <w:p>
            <w:pPr>
              <w:spacing w:line="360" w:lineRule="auto"/>
              <w:jc w:val="center"/>
              <w:rPr>
                <w:rFonts w:ascii="宋体" w:hAnsi="宋体" w:eastAsia="宋体"/>
                <w:color w:val="auto"/>
                <w:spacing w:val="10"/>
                <w:sz w:val="21"/>
                <w:szCs w:val="21"/>
              </w:rPr>
            </w:pPr>
            <w:r>
              <w:rPr>
                <w:rFonts w:hint="eastAsia" w:ascii="宋体" w:hAnsi="宋体" w:eastAsia="宋体"/>
                <w:color w:val="auto"/>
                <w:spacing w:val="10"/>
                <w:sz w:val="21"/>
                <w:szCs w:val="21"/>
              </w:rPr>
              <w:t>22</w:t>
            </w:r>
          </w:p>
        </w:tc>
        <w:tc>
          <w:tcPr>
            <w:tcW w:w="2520" w:type="dxa"/>
            <w:gridSpan w:val="3"/>
            <w:vAlign w:val="center"/>
          </w:tcPr>
          <w:p>
            <w:pPr>
              <w:spacing w:line="360" w:lineRule="auto"/>
              <w:jc w:val="center"/>
              <w:rPr>
                <w:rFonts w:ascii="宋体" w:hAnsi="宋体" w:eastAsia="宋体"/>
                <w:color w:val="auto"/>
                <w:spacing w:val="10"/>
                <w:sz w:val="21"/>
                <w:szCs w:val="21"/>
              </w:rPr>
            </w:pPr>
            <w:r>
              <w:rPr>
                <w:rFonts w:ascii="宋体" w:hAnsi="宋体" w:eastAsia="宋体"/>
                <w:color w:val="auto"/>
                <w:spacing w:val="10"/>
                <w:sz w:val="21"/>
                <w:szCs w:val="21"/>
              </w:rPr>
              <w:t>爆炸上限（v%）</w:t>
            </w:r>
          </w:p>
        </w:tc>
        <w:tc>
          <w:tcPr>
            <w:tcW w:w="2825" w:type="dxa"/>
            <w:gridSpan w:val="3"/>
            <w:vAlign w:val="center"/>
          </w:tcPr>
          <w:p>
            <w:pPr>
              <w:spacing w:line="360" w:lineRule="auto"/>
              <w:jc w:val="center"/>
              <w:rPr>
                <w:rFonts w:ascii="宋体" w:hAnsi="宋体" w:eastAsia="宋体"/>
                <w:color w:val="auto"/>
                <w:spacing w:val="10"/>
                <w:sz w:val="21"/>
                <w:szCs w:val="21"/>
              </w:rPr>
            </w:pPr>
            <w:r>
              <w:rPr>
                <w:rFonts w:hint="eastAsia" w:ascii="宋体" w:hAnsi="宋体" w:eastAsia="宋体"/>
                <w:color w:val="auto"/>
                <w:spacing w:val="10"/>
                <w:sz w:val="21"/>
                <w:szCs w:val="21"/>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6" w:hRule="atLeast"/>
          <w:jc w:val="center"/>
        </w:trPr>
        <w:tc>
          <w:tcPr>
            <w:tcW w:w="476" w:type="dxa"/>
            <w:vMerge w:val="continue"/>
            <w:vAlign w:val="center"/>
          </w:tcPr>
          <w:p>
            <w:pPr>
              <w:widowControl/>
              <w:spacing w:line="360" w:lineRule="auto"/>
              <w:rPr>
                <w:rFonts w:ascii="宋体" w:hAnsi="宋体" w:eastAsia="宋体"/>
                <w:color w:val="auto"/>
                <w:spacing w:val="10"/>
                <w:sz w:val="21"/>
                <w:szCs w:val="21"/>
              </w:rPr>
            </w:pPr>
          </w:p>
        </w:tc>
        <w:tc>
          <w:tcPr>
            <w:tcW w:w="1558" w:type="dxa"/>
            <w:vAlign w:val="center"/>
          </w:tcPr>
          <w:p>
            <w:pPr>
              <w:spacing w:line="360" w:lineRule="auto"/>
              <w:jc w:val="center"/>
              <w:rPr>
                <w:rFonts w:ascii="宋体" w:hAnsi="宋体" w:eastAsia="宋体"/>
                <w:color w:val="auto"/>
                <w:spacing w:val="10"/>
                <w:sz w:val="21"/>
                <w:szCs w:val="21"/>
              </w:rPr>
            </w:pPr>
            <w:r>
              <w:rPr>
                <w:rFonts w:ascii="宋体" w:hAnsi="宋体" w:eastAsia="宋体"/>
                <w:color w:val="auto"/>
                <w:spacing w:val="10"/>
                <w:sz w:val="21"/>
                <w:szCs w:val="21"/>
              </w:rPr>
              <w:t>引燃温度(℃)</w:t>
            </w:r>
          </w:p>
        </w:tc>
        <w:tc>
          <w:tcPr>
            <w:tcW w:w="1800" w:type="dxa"/>
            <w:gridSpan w:val="3"/>
            <w:vAlign w:val="center"/>
          </w:tcPr>
          <w:p>
            <w:pPr>
              <w:spacing w:line="360" w:lineRule="auto"/>
              <w:jc w:val="center"/>
              <w:rPr>
                <w:rFonts w:ascii="宋体" w:hAnsi="宋体" w:eastAsia="宋体"/>
                <w:color w:val="auto"/>
                <w:spacing w:val="10"/>
                <w:sz w:val="21"/>
                <w:szCs w:val="21"/>
              </w:rPr>
            </w:pPr>
            <w:r>
              <w:rPr>
                <w:rFonts w:hint="eastAsia" w:ascii="宋体" w:hAnsi="宋体" w:eastAsia="宋体"/>
                <w:color w:val="auto"/>
                <w:spacing w:val="10"/>
                <w:sz w:val="21"/>
                <w:szCs w:val="21"/>
              </w:rPr>
              <w:t>370</w:t>
            </w:r>
          </w:p>
        </w:tc>
        <w:tc>
          <w:tcPr>
            <w:tcW w:w="2520" w:type="dxa"/>
            <w:gridSpan w:val="3"/>
            <w:vAlign w:val="center"/>
          </w:tcPr>
          <w:p>
            <w:pPr>
              <w:spacing w:line="360" w:lineRule="auto"/>
              <w:jc w:val="center"/>
              <w:rPr>
                <w:rFonts w:ascii="宋体" w:hAnsi="宋体" w:eastAsia="宋体"/>
                <w:color w:val="auto"/>
                <w:spacing w:val="10"/>
                <w:sz w:val="21"/>
                <w:szCs w:val="21"/>
              </w:rPr>
            </w:pPr>
            <w:r>
              <w:rPr>
                <w:rFonts w:ascii="宋体" w:hAnsi="宋体" w:eastAsia="宋体"/>
                <w:color w:val="auto"/>
                <w:spacing w:val="10"/>
                <w:sz w:val="21"/>
                <w:szCs w:val="21"/>
              </w:rPr>
              <w:t>爆炸下限（v%）</w:t>
            </w:r>
          </w:p>
        </w:tc>
        <w:tc>
          <w:tcPr>
            <w:tcW w:w="2825" w:type="dxa"/>
            <w:gridSpan w:val="3"/>
            <w:vAlign w:val="center"/>
          </w:tcPr>
          <w:p>
            <w:pPr>
              <w:spacing w:line="360" w:lineRule="auto"/>
              <w:jc w:val="center"/>
              <w:rPr>
                <w:rFonts w:ascii="宋体" w:hAnsi="宋体" w:eastAsia="宋体"/>
                <w:color w:val="auto"/>
                <w:spacing w:val="10"/>
                <w:sz w:val="21"/>
                <w:szCs w:val="21"/>
              </w:rPr>
            </w:pPr>
            <w:r>
              <w:rPr>
                <w:rFonts w:hint="eastAsia" w:ascii="宋体" w:hAnsi="宋体" w:eastAsia="宋体"/>
                <w:color w:val="auto"/>
                <w:spacing w:val="10"/>
                <w:sz w:val="21"/>
                <w:szCs w:val="21"/>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8" w:hRule="atLeast"/>
          <w:jc w:val="center"/>
        </w:trPr>
        <w:tc>
          <w:tcPr>
            <w:tcW w:w="476" w:type="dxa"/>
            <w:vMerge w:val="continue"/>
            <w:vAlign w:val="center"/>
          </w:tcPr>
          <w:p>
            <w:pPr>
              <w:widowControl/>
              <w:spacing w:line="360" w:lineRule="auto"/>
              <w:rPr>
                <w:rFonts w:ascii="宋体" w:hAnsi="宋体" w:eastAsia="宋体"/>
                <w:color w:val="auto"/>
                <w:spacing w:val="10"/>
                <w:sz w:val="21"/>
                <w:szCs w:val="21"/>
              </w:rPr>
            </w:pPr>
          </w:p>
        </w:tc>
        <w:tc>
          <w:tcPr>
            <w:tcW w:w="1558" w:type="dxa"/>
            <w:vAlign w:val="center"/>
          </w:tcPr>
          <w:p>
            <w:pPr>
              <w:spacing w:line="360" w:lineRule="auto"/>
              <w:jc w:val="center"/>
              <w:rPr>
                <w:rFonts w:ascii="宋体" w:hAnsi="宋体" w:eastAsia="宋体"/>
                <w:color w:val="auto"/>
                <w:spacing w:val="10"/>
                <w:sz w:val="21"/>
                <w:szCs w:val="21"/>
              </w:rPr>
            </w:pPr>
            <w:r>
              <w:rPr>
                <w:rFonts w:ascii="宋体" w:hAnsi="宋体" w:eastAsia="宋体"/>
                <w:color w:val="auto"/>
                <w:spacing w:val="10"/>
                <w:sz w:val="21"/>
                <w:szCs w:val="21"/>
              </w:rPr>
              <w:t>危险特性</w:t>
            </w:r>
          </w:p>
        </w:tc>
        <w:tc>
          <w:tcPr>
            <w:tcW w:w="7145" w:type="dxa"/>
            <w:gridSpan w:val="9"/>
            <w:vAlign w:val="center"/>
          </w:tcPr>
          <w:p>
            <w:pPr>
              <w:spacing w:line="360" w:lineRule="auto"/>
              <w:ind w:hanging="4"/>
              <w:rPr>
                <w:rFonts w:ascii="宋体" w:hAnsi="宋体" w:eastAsia="宋体"/>
                <w:color w:val="auto"/>
                <w:spacing w:val="10"/>
                <w:sz w:val="21"/>
                <w:szCs w:val="21"/>
              </w:rPr>
            </w:pPr>
            <w:r>
              <w:rPr>
                <w:rFonts w:hint="eastAsia" w:ascii="宋体" w:hAnsi="宋体" w:eastAsia="宋体"/>
                <w:color w:val="auto"/>
                <w:spacing w:val="10"/>
                <w:sz w:val="21"/>
                <w:szCs w:val="21"/>
              </w:rPr>
              <w:t>易燃，其蒸气与空气可形成爆照型混合物。遇明火、高热能引起燃烧爆炸。与氧化剂能发生强烈反应。其蒸气比空气重，能在较低处扩散到相当远的地方，遇明火会引着回燃。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0" w:hRule="atLeast"/>
          <w:jc w:val="center"/>
        </w:trPr>
        <w:tc>
          <w:tcPr>
            <w:tcW w:w="476" w:type="dxa"/>
            <w:vMerge w:val="continue"/>
            <w:vAlign w:val="center"/>
          </w:tcPr>
          <w:p>
            <w:pPr>
              <w:widowControl/>
              <w:spacing w:line="360" w:lineRule="auto"/>
              <w:rPr>
                <w:rFonts w:ascii="宋体" w:hAnsi="宋体" w:eastAsia="宋体"/>
                <w:color w:val="auto"/>
                <w:spacing w:val="10"/>
                <w:sz w:val="21"/>
                <w:szCs w:val="21"/>
              </w:rPr>
            </w:pPr>
          </w:p>
        </w:tc>
        <w:tc>
          <w:tcPr>
            <w:tcW w:w="1558" w:type="dxa"/>
            <w:vAlign w:val="center"/>
          </w:tcPr>
          <w:p>
            <w:pPr>
              <w:spacing w:line="360" w:lineRule="auto"/>
              <w:jc w:val="center"/>
              <w:rPr>
                <w:rFonts w:ascii="宋体" w:hAnsi="宋体" w:eastAsia="宋体"/>
                <w:color w:val="auto"/>
                <w:spacing w:val="4"/>
                <w:sz w:val="21"/>
                <w:szCs w:val="21"/>
              </w:rPr>
            </w:pPr>
            <w:r>
              <w:rPr>
                <w:rFonts w:ascii="宋体" w:hAnsi="宋体" w:eastAsia="宋体"/>
                <w:color w:val="auto"/>
                <w:spacing w:val="4"/>
                <w:sz w:val="21"/>
                <w:szCs w:val="21"/>
              </w:rPr>
              <w:t>建规火险分级</w:t>
            </w:r>
          </w:p>
        </w:tc>
        <w:tc>
          <w:tcPr>
            <w:tcW w:w="1800" w:type="dxa"/>
            <w:gridSpan w:val="3"/>
            <w:vAlign w:val="center"/>
          </w:tcPr>
          <w:p>
            <w:pPr>
              <w:spacing w:line="360" w:lineRule="auto"/>
              <w:jc w:val="center"/>
              <w:rPr>
                <w:rFonts w:ascii="宋体" w:hAnsi="宋体" w:eastAsia="宋体"/>
                <w:color w:val="auto"/>
                <w:spacing w:val="10"/>
                <w:sz w:val="21"/>
                <w:szCs w:val="21"/>
              </w:rPr>
            </w:pPr>
            <w:r>
              <w:rPr>
                <w:rFonts w:hint="eastAsia" w:ascii="宋体" w:hAnsi="宋体" w:eastAsia="宋体"/>
                <w:color w:val="auto"/>
                <w:spacing w:val="10"/>
                <w:sz w:val="21"/>
                <w:szCs w:val="21"/>
              </w:rPr>
              <w:t>甲</w:t>
            </w:r>
          </w:p>
        </w:tc>
        <w:tc>
          <w:tcPr>
            <w:tcW w:w="1236" w:type="dxa"/>
            <w:vAlign w:val="center"/>
          </w:tcPr>
          <w:p>
            <w:pPr>
              <w:spacing w:line="360" w:lineRule="auto"/>
              <w:jc w:val="center"/>
              <w:rPr>
                <w:rFonts w:ascii="宋体" w:hAnsi="宋体" w:eastAsia="宋体"/>
                <w:color w:val="auto"/>
                <w:spacing w:val="10"/>
                <w:sz w:val="21"/>
                <w:szCs w:val="21"/>
              </w:rPr>
            </w:pPr>
            <w:r>
              <w:rPr>
                <w:rFonts w:ascii="宋体" w:hAnsi="宋体" w:eastAsia="宋体"/>
                <w:color w:val="auto"/>
                <w:spacing w:val="10"/>
                <w:sz w:val="21"/>
                <w:szCs w:val="21"/>
              </w:rPr>
              <w:t>稳定性</w:t>
            </w:r>
          </w:p>
        </w:tc>
        <w:tc>
          <w:tcPr>
            <w:tcW w:w="1284" w:type="dxa"/>
            <w:gridSpan w:val="2"/>
            <w:vAlign w:val="center"/>
          </w:tcPr>
          <w:p>
            <w:pPr>
              <w:spacing w:line="360" w:lineRule="auto"/>
              <w:jc w:val="center"/>
              <w:rPr>
                <w:rFonts w:ascii="宋体" w:hAnsi="宋体" w:eastAsia="宋体"/>
                <w:color w:val="auto"/>
                <w:spacing w:val="10"/>
                <w:sz w:val="21"/>
                <w:szCs w:val="21"/>
              </w:rPr>
            </w:pPr>
            <w:r>
              <w:rPr>
                <w:rFonts w:hint="eastAsia" w:ascii="宋体" w:hAnsi="宋体" w:eastAsia="宋体"/>
                <w:color w:val="auto"/>
                <w:spacing w:val="10"/>
                <w:sz w:val="21"/>
                <w:szCs w:val="21"/>
              </w:rPr>
              <w:t>稳定</w:t>
            </w:r>
          </w:p>
        </w:tc>
        <w:tc>
          <w:tcPr>
            <w:tcW w:w="1455" w:type="dxa"/>
            <w:vAlign w:val="center"/>
          </w:tcPr>
          <w:p>
            <w:pPr>
              <w:spacing w:line="360" w:lineRule="auto"/>
              <w:jc w:val="center"/>
              <w:rPr>
                <w:rFonts w:ascii="宋体" w:hAnsi="宋体" w:eastAsia="宋体"/>
                <w:color w:val="auto"/>
                <w:spacing w:val="10"/>
                <w:sz w:val="21"/>
                <w:szCs w:val="21"/>
              </w:rPr>
            </w:pPr>
            <w:r>
              <w:rPr>
                <w:rFonts w:ascii="宋体" w:hAnsi="宋体" w:eastAsia="宋体"/>
                <w:color w:val="auto"/>
                <w:spacing w:val="10"/>
                <w:sz w:val="21"/>
                <w:szCs w:val="21"/>
              </w:rPr>
              <w:t>聚合危害</w:t>
            </w:r>
          </w:p>
        </w:tc>
        <w:tc>
          <w:tcPr>
            <w:tcW w:w="1370" w:type="dxa"/>
            <w:gridSpan w:val="2"/>
            <w:vAlign w:val="center"/>
          </w:tcPr>
          <w:p>
            <w:pPr>
              <w:spacing w:line="360" w:lineRule="auto"/>
              <w:jc w:val="center"/>
              <w:rPr>
                <w:rFonts w:ascii="宋体" w:hAnsi="宋体" w:eastAsia="宋体"/>
                <w:color w:val="auto"/>
                <w:spacing w:val="10"/>
                <w:sz w:val="21"/>
                <w:szCs w:val="21"/>
              </w:rPr>
            </w:pPr>
            <w:r>
              <w:rPr>
                <w:rFonts w:hint="eastAsia" w:ascii="宋体" w:hAnsi="宋体" w:eastAsia="宋体"/>
                <w:color w:val="auto"/>
                <w:spacing w:val="10"/>
                <w:sz w:val="21"/>
                <w:szCs w:val="21"/>
              </w:rPr>
              <w:t>不聚合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8" w:hRule="atLeast"/>
          <w:jc w:val="center"/>
        </w:trPr>
        <w:tc>
          <w:tcPr>
            <w:tcW w:w="476" w:type="dxa"/>
            <w:vMerge w:val="continue"/>
            <w:vAlign w:val="center"/>
          </w:tcPr>
          <w:p>
            <w:pPr>
              <w:widowControl/>
              <w:spacing w:line="360" w:lineRule="auto"/>
              <w:rPr>
                <w:rFonts w:ascii="宋体" w:hAnsi="宋体" w:eastAsia="宋体"/>
                <w:color w:val="auto"/>
                <w:spacing w:val="10"/>
                <w:sz w:val="21"/>
                <w:szCs w:val="21"/>
              </w:rPr>
            </w:pPr>
          </w:p>
        </w:tc>
        <w:tc>
          <w:tcPr>
            <w:tcW w:w="1558" w:type="dxa"/>
            <w:vAlign w:val="center"/>
          </w:tcPr>
          <w:p>
            <w:pPr>
              <w:spacing w:line="360" w:lineRule="auto"/>
              <w:jc w:val="center"/>
              <w:rPr>
                <w:rFonts w:ascii="宋体" w:hAnsi="宋体" w:eastAsia="宋体"/>
                <w:color w:val="auto"/>
                <w:spacing w:val="10"/>
                <w:sz w:val="21"/>
                <w:szCs w:val="21"/>
              </w:rPr>
            </w:pPr>
            <w:r>
              <w:rPr>
                <w:rFonts w:ascii="宋体" w:hAnsi="宋体" w:eastAsia="宋体"/>
                <w:color w:val="auto"/>
                <w:spacing w:val="10"/>
                <w:sz w:val="21"/>
                <w:szCs w:val="21"/>
              </w:rPr>
              <w:t>禁忌物</w:t>
            </w:r>
          </w:p>
        </w:tc>
        <w:tc>
          <w:tcPr>
            <w:tcW w:w="7145" w:type="dxa"/>
            <w:gridSpan w:val="9"/>
            <w:vAlign w:val="center"/>
          </w:tcPr>
          <w:p>
            <w:pPr>
              <w:spacing w:line="360" w:lineRule="auto"/>
              <w:rPr>
                <w:rFonts w:ascii="宋体" w:hAnsi="宋体" w:eastAsia="宋体"/>
                <w:b/>
                <w:color w:val="auto"/>
                <w:spacing w:val="10"/>
                <w:sz w:val="21"/>
                <w:szCs w:val="21"/>
              </w:rPr>
            </w:pPr>
            <w:r>
              <w:rPr>
                <w:rFonts w:hint="eastAsia" w:ascii="宋体" w:hAnsi="宋体" w:eastAsia="宋体"/>
                <w:color w:val="auto"/>
                <w:sz w:val="21"/>
                <w:szCs w:val="21"/>
              </w:rPr>
              <w:t>强氧化剂、碱类、酸类。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2" w:hRule="atLeast"/>
          <w:jc w:val="center"/>
        </w:trPr>
        <w:tc>
          <w:tcPr>
            <w:tcW w:w="476" w:type="dxa"/>
            <w:vMerge w:val="continue"/>
            <w:vAlign w:val="center"/>
          </w:tcPr>
          <w:p>
            <w:pPr>
              <w:widowControl/>
              <w:spacing w:line="360" w:lineRule="auto"/>
              <w:rPr>
                <w:rFonts w:ascii="宋体" w:hAnsi="宋体" w:eastAsia="宋体"/>
                <w:color w:val="auto"/>
                <w:spacing w:val="10"/>
                <w:sz w:val="21"/>
                <w:szCs w:val="21"/>
              </w:rPr>
            </w:pPr>
          </w:p>
        </w:tc>
        <w:tc>
          <w:tcPr>
            <w:tcW w:w="1558" w:type="dxa"/>
            <w:vAlign w:val="center"/>
          </w:tcPr>
          <w:p>
            <w:pPr>
              <w:spacing w:line="360" w:lineRule="auto"/>
              <w:jc w:val="center"/>
              <w:rPr>
                <w:rFonts w:ascii="宋体" w:hAnsi="宋体" w:eastAsia="宋体"/>
                <w:color w:val="auto"/>
                <w:spacing w:val="10"/>
                <w:sz w:val="21"/>
                <w:szCs w:val="21"/>
              </w:rPr>
            </w:pPr>
            <w:r>
              <w:rPr>
                <w:rFonts w:ascii="宋体" w:hAnsi="宋体" w:eastAsia="宋体"/>
                <w:color w:val="auto"/>
                <w:spacing w:val="10"/>
                <w:sz w:val="21"/>
                <w:szCs w:val="21"/>
              </w:rPr>
              <w:t>储运条件</w:t>
            </w:r>
          </w:p>
          <w:p>
            <w:pPr>
              <w:spacing w:line="360" w:lineRule="auto"/>
              <w:jc w:val="center"/>
              <w:rPr>
                <w:rFonts w:ascii="宋体" w:hAnsi="宋体" w:eastAsia="宋体"/>
                <w:color w:val="auto"/>
                <w:spacing w:val="10"/>
                <w:sz w:val="21"/>
                <w:szCs w:val="21"/>
              </w:rPr>
            </w:pPr>
            <w:r>
              <w:rPr>
                <w:rFonts w:ascii="宋体" w:hAnsi="宋体" w:eastAsia="宋体"/>
                <w:color w:val="auto"/>
                <w:spacing w:val="10"/>
                <w:sz w:val="21"/>
                <w:szCs w:val="21"/>
              </w:rPr>
              <w:t>与泄漏处理</w:t>
            </w:r>
          </w:p>
        </w:tc>
        <w:tc>
          <w:tcPr>
            <w:tcW w:w="7145" w:type="dxa"/>
            <w:gridSpan w:val="9"/>
            <w:vAlign w:val="center"/>
          </w:tcPr>
          <w:p>
            <w:pPr>
              <w:spacing w:line="360" w:lineRule="auto"/>
              <w:rPr>
                <w:rFonts w:ascii="宋体" w:hAnsi="宋体" w:eastAsia="宋体"/>
                <w:b/>
                <w:color w:val="auto"/>
                <w:spacing w:val="10"/>
                <w:sz w:val="21"/>
                <w:szCs w:val="21"/>
              </w:rPr>
            </w:pPr>
            <w:r>
              <w:rPr>
                <w:rFonts w:hint="eastAsia" w:ascii="宋体" w:hAnsi="宋体" w:eastAsia="宋体"/>
                <w:b/>
                <w:color w:val="auto"/>
                <w:spacing w:val="10"/>
                <w:sz w:val="21"/>
                <w:szCs w:val="21"/>
              </w:rPr>
              <w:t>储运条件：</w:t>
            </w:r>
            <w:r>
              <w:rPr>
                <w:rFonts w:hint="eastAsia" w:ascii="宋体" w:hAnsi="宋体" w:eastAsia="宋体"/>
                <w:color w:val="auto"/>
                <w:spacing w:val="10"/>
                <w:sz w:val="21"/>
                <w:szCs w:val="21"/>
              </w:rPr>
              <w:t>储存于阴凉、通风的仓间内，远离火种、热源。保持容器密封；应与氧化剂、酸类、碱类分开存放，切忌混储。搬运时应轻装轻卸，防止包装和容器损坏。铁路运输时应严格按照铁道部《危险货物运输规则》中的危险货物进行配装。运输时所用的槽（罐）车应有接地链，槽内可设孔隔板以减少震荡产生的静电。严禁与氧化剂、酸类、碱类、食用化学品等混装混运。装运该物品的车辆排气管必须配备阻火装置，禁止使用易产生火花的机械设备和工具装卸。公路运输时要按规定路线行驶，勿在居民区和人口稠密区停留。铁路运输时要禁止溜放。严禁用木船、水泥船散装运输。</w:t>
            </w:r>
          </w:p>
          <w:p>
            <w:pPr>
              <w:spacing w:line="360" w:lineRule="auto"/>
              <w:rPr>
                <w:rFonts w:ascii="宋体" w:hAnsi="宋体" w:eastAsia="宋体"/>
                <w:b/>
                <w:color w:val="auto"/>
                <w:spacing w:val="10"/>
                <w:sz w:val="21"/>
                <w:szCs w:val="21"/>
              </w:rPr>
            </w:pPr>
            <w:r>
              <w:rPr>
                <w:rFonts w:hint="eastAsia" w:ascii="宋体" w:hAnsi="宋体" w:eastAsia="宋体"/>
                <w:b/>
                <w:color w:val="auto"/>
                <w:spacing w:val="10"/>
                <w:sz w:val="21"/>
                <w:szCs w:val="21"/>
              </w:rPr>
              <w:t>泄漏处理：</w:t>
            </w:r>
            <w:r>
              <w:rPr>
                <w:rFonts w:hint="eastAsia" w:ascii="宋体" w:hAnsi="宋体" w:eastAsia="宋体"/>
                <w:color w:val="auto"/>
                <w:spacing w:val="10"/>
                <w:sz w:val="21"/>
                <w:szCs w:val="21"/>
              </w:rPr>
              <w:t>迅速撤离泄漏污染区人员至安全区，并进行隔离，严格限制出入。切断火源。建议应急处理人员戴自给正压式呼吸器，穿消防防护服。尽可能切断泄漏源，防止进入下水道、排洪沟等限制性空间。小量泄漏：用活性炭或其他惰性材料吸收。也可以用大量水冲洗，洗水稀释后放入废水系统。大量泄漏：构筑围堤或挖坑收容；用泡沫覆盖，降低蒸气灾害。用防爆泵转移至槽车或专用收集器内，回收或运至废物处理场所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76" w:type="dxa"/>
            <w:vMerge w:val="continue"/>
            <w:vAlign w:val="center"/>
          </w:tcPr>
          <w:p>
            <w:pPr>
              <w:widowControl/>
              <w:spacing w:line="360" w:lineRule="auto"/>
              <w:rPr>
                <w:rFonts w:ascii="宋体" w:hAnsi="宋体" w:eastAsia="宋体"/>
                <w:color w:val="auto"/>
                <w:spacing w:val="10"/>
                <w:sz w:val="21"/>
                <w:szCs w:val="21"/>
              </w:rPr>
            </w:pPr>
          </w:p>
        </w:tc>
        <w:tc>
          <w:tcPr>
            <w:tcW w:w="1558" w:type="dxa"/>
            <w:vAlign w:val="center"/>
          </w:tcPr>
          <w:p>
            <w:pPr>
              <w:spacing w:line="360" w:lineRule="auto"/>
              <w:jc w:val="center"/>
              <w:rPr>
                <w:rFonts w:ascii="宋体" w:hAnsi="宋体" w:eastAsia="宋体"/>
                <w:color w:val="auto"/>
                <w:spacing w:val="10"/>
                <w:sz w:val="21"/>
                <w:szCs w:val="21"/>
              </w:rPr>
            </w:pPr>
            <w:r>
              <w:rPr>
                <w:rFonts w:ascii="宋体" w:hAnsi="宋体" w:eastAsia="宋体"/>
                <w:color w:val="auto"/>
                <w:spacing w:val="10"/>
                <w:sz w:val="21"/>
                <w:szCs w:val="21"/>
              </w:rPr>
              <w:t>灭火方法</w:t>
            </w:r>
          </w:p>
        </w:tc>
        <w:tc>
          <w:tcPr>
            <w:tcW w:w="7145" w:type="dxa"/>
            <w:gridSpan w:val="9"/>
            <w:vAlign w:val="center"/>
          </w:tcPr>
          <w:p>
            <w:pPr>
              <w:spacing w:line="360" w:lineRule="auto"/>
              <w:ind w:hanging="4"/>
              <w:rPr>
                <w:rFonts w:ascii="宋体" w:hAnsi="宋体" w:eastAsia="宋体"/>
                <w:color w:val="auto"/>
                <w:spacing w:val="10"/>
                <w:sz w:val="21"/>
                <w:szCs w:val="21"/>
              </w:rPr>
            </w:pPr>
            <w:r>
              <w:rPr>
                <w:rFonts w:hint="eastAsia" w:ascii="宋体" w:hAnsi="宋体" w:eastAsia="宋体"/>
                <w:color w:val="auto"/>
                <w:spacing w:val="10"/>
                <w:sz w:val="21"/>
                <w:szCs w:val="21"/>
              </w:rPr>
              <w:t>灭火剂：抗溶性泡沫、二氧化碳、干粉、砂土。用水灭火无效，但可以用水保持火场中容器冷却。</w:t>
            </w:r>
          </w:p>
        </w:tc>
      </w:tr>
    </w:tbl>
    <w:p>
      <w:pPr>
        <w:spacing w:line="560" w:lineRule="exact"/>
        <w:jc w:val="center"/>
        <w:outlineLvl w:val="2"/>
        <w:rPr>
          <w:rFonts w:ascii="宋体" w:hAnsi="宋体" w:eastAsia="宋体" w:cs="Times New Roman"/>
          <w:b/>
          <w:bCs/>
          <w:color w:val="auto"/>
          <w:kern w:val="2"/>
          <w:lang w:val="en-US" w:bidi="ar-SA"/>
        </w:rPr>
      </w:pPr>
      <w:r>
        <w:rPr>
          <w:rFonts w:hint="eastAsia" w:ascii="宋体" w:hAnsi="宋体" w:eastAsia="宋体" w:cs="Times New Roman"/>
          <w:b/>
          <w:bCs/>
          <w:color w:val="auto"/>
          <w:kern w:val="2"/>
          <w:lang w:val="en-US" w:bidi="ar-SA"/>
        </w:rPr>
        <w:t>附表1-10</w:t>
      </w:r>
      <w:r>
        <w:rPr>
          <w:rFonts w:ascii="宋体" w:hAnsi="宋体" w:eastAsia="宋体" w:cs="Times New Roman"/>
          <w:b/>
          <w:bCs/>
          <w:color w:val="auto"/>
          <w:kern w:val="2"/>
          <w:lang w:val="en-US" w:bidi="ar-SA"/>
        </w:rPr>
        <w:t xml:space="preserve"> </w:t>
      </w:r>
      <w:r>
        <w:rPr>
          <w:rFonts w:hint="eastAsia" w:ascii="宋体" w:hAnsi="宋体" w:eastAsia="宋体" w:cs="Times New Roman"/>
          <w:b/>
          <w:bCs/>
          <w:color w:val="auto"/>
          <w:kern w:val="2"/>
          <w:lang w:val="en-US" w:eastAsia="zh-CN" w:bidi="ar-SA"/>
        </w:rPr>
        <w:t>环己酮</w:t>
      </w:r>
      <w:r>
        <w:rPr>
          <w:rFonts w:ascii="宋体" w:hAnsi="宋体" w:eastAsia="宋体" w:cs="Times New Roman"/>
          <w:b/>
          <w:bCs/>
          <w:color w:val="auto"/>
          <w:kern w:val="2"/>
          <w:lang w:val="en-US" w:bidi="ar-SA"/>
        </w:rPr>
        <w:t>的理化特性表</w:t>
      </w:r>
    </w:p>
    <w:tbl>
      <w:tblPr>
        <w:tblStyle w:val="45"/>
        <w:tblW w:w="9639" w:type="dxa"/>
        <w:jc w:val="center"/>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autofit"/>
        <w:tblCellMar>
          <w:top w:w="0" w:type="dxa"/>
          <w:left w:w="108" w:type="dxa"/>
          <w:bottom w:w="0" w:type="dxa"/>
          <w:right w:w="108" w:type="dxa"/>
        </w:tblCellMar>
      </w:tblPr>
      <w:tblGrid>
        <w:gridCol w:w="554"/>
        <w:gridCol w:w="1409"/>
        <w:gridCol w:w="497"/>
        <w:gridCol w:w="575"/>
        <w:gridCol w:w="537"/>
        <w:gridCol w:w="257"/>
        <w:gridCol w:w="1186"/>
        <w:gridCol w:w="21"/>
        <w:gridCol w:w="1010"/>
        <w:gridCol w:w="281"/>
        <w:gridCol w:w="236"/>
        <w:gridCol w:w="350"/>
        <w:gridCol w:w="379"/>
        <w:gridCol w:w="211"/>
        <w:gridCol w:w="635"/>
        <w:gridCol w:w="169"/>
        <w:gridCol w:w="1332"/>
      </w:tblGrid>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140" w:hRule="atLeast"/>
          <w:jc w:val="center"/>
        </w:trPr>
        <w:tc>
          <w:tcPr>
            <w:tcW w:w="554" w:type="dxa"/>
            <w:vMerge w:val="restart"/>
            <w:tcBorders>
              <w:top w:val="single" w:color="auto" w:sz="4" w:space="0"/>
              <w:left w:val="single" w:color="auto" w:sz="6" w:space="0"/>
              <w:bottom w:val="single" w:color="auto" w:sz="6" w:space="0"/>
              <w:right w:val="single" w:color="auto" w:sz="6" w:space="0"/>
            </w:tcBorders>
            <w:shd w:val="clear" w:color="auto" w:fill="auto"/>
            <w:vAlign w:val="center"/>
          </w:tcPr>
          <w:p>
            <w:pPr>
              <w:spacing w:line="360" w:lineRule="auto"/>
              <w:rPr>
                <w:rFonts w:ascii="宋体" w:hAnsi="宋体" w:eastAsia="宋体"/>
                <w:color w:val="auto"/>
                <w:sz w:val="21"/>
                <w:szCs w:val="21"/>
              </w:rPr>
            </w:pPr>
            <w:r>
              <w:rPr>
                <w:rFonts w:hint="eastAsia" w:ascii="宋体" w:hAnsi="宋体" w:eastAsia="宋体"/>
                <w:color w:val="auto"/>
                <w:sz w:val="21"/>
                <w:szCs w:val="21"/>
              </w:rPr>
              <w:t>标</w:t>
            </w:r>
          </w:p>
          <w:p>
            <w:pPr>
              <w:spacing w:line="360" w:lineRule="auto"/>
              <w:rPr>
                <w:rFonts w:ascii="宋体" w:hAnsi="宋体" w:eastAsia="宋体"/>
                <w:color w:val="auto"/>
                <w:sz w:val="21"/>
                <w:szCs w:val="21"/>
              </w:rPr>
            </w:pPr>
            <w:r>
              <w:rPr>
                <w:rFonts w:hint="eastAsia" w:ascii="宋体" w:hAnsi="宋体" w:eastAsia="宋体"/>
                <w:color w:val="auto"/>
                <w:sz w:val="21"/>
                <w:szCs w:val="21"/>
              </w:rPr>
              <w:t>识</w:t>
            </w:r>
          </w:p>
        </w:tc>
        <w:tc>
          <w:tcPr>
            <w:tcW w:w="6359" w:type="dxa"/>
            <w:gridSpan w:val="11"/>
            <w:tcBorders>
              <w:top w:val="single" w:color="auto" w:sz="4" w:space="0"/>
              <w:left w:val="single" w:color="auto" w:sz="6" w:space="0"/>
              <w:bottom w:val="single" w:color="auto" w:sz="6" w:space="0"/>
              <w:right w:val="single" w:color="auto" w:sz="6" w:space="0"/>
            </w:tcBorders>
            <w:shd w:val="clear" w:color="auto" w:fill="auto"/>
            <w:vAlign w:val="center"/>
          </w:tcPr>
          <w:p>
            <w:pPr>
              <w:spacing w:line="360" w:lineRule="auto"/>
              <w:rPr>
                <w:rFonts w:ascii="宋体" w:hAnsi="宋体" w:eastAsia="宋体"/>
                <w:color w:val="auto"/>
                <w:sz w:val="21"/>
                <w:szCs w:val="21"/>
              </w:rPr>
            </w:pPr>
            <w:r>
              <w:rPr>
                <w:rFonts w:hint="eastAsia" w:ascii="宋体" w:hAnsi="宋体" w:eastAsia="宋体"/>
                <w:color w:val="auto"/>
                <w:sz w:val="21"/>
                <w:szCs w:val="21"/>
              </w:rPr>
              <w:t>中文名：环己酮</w:t>
            </w:r>
          </w:p>
        </w:tc>
        <w:tc>
          <w:tcPr>
            <w:tcW w:w="2726" w:type="dxa"/>
            <w:gridSpan w:val="5"/>
            <w:tcBorders>
              <w:top w:val="single" w:color="auto" w:sz="4" w:space="0"/>
              <w:left w:val="single" w:color="auto" w:sz="6" w:space="0"/>
              <w:bottom w:val="single" w:color="auto" w:sz="6" w:space="0"/>
              <w:right w:val="single" w:color="auto" w:sz="6" w:space="0"/>
            </w:tcBorders>
            <w:shd w:val="clear" w:color="auto" w:fill="auto"/>
            <w:vAlign w:val="center"/>
          </w:tcPr>
          <w:p>
            <w:pPr>
              <w:spacing w:line="360" w:lineRule="auto"/>
              <w:rPr>
                <w:rFonts w:ascii="宋体" w:hAnsi="宋体" w:eastAsia="宋体"/>
                <w:color w:val="auto"/>
                <w:sz w:val="21"/>
                <w:szCs w:val="21"/>
              </w:rPr>
            </w:pPr>
            <w:r>
              <w:rPr>
                <w:rFonts w:hint="eastAsia" w:ascii="宋体" w:hAnsi="宋体" w:eastAsia="宋体"/>
                <w:color w:val="auto"/>
                <w:sz w:val="21"/>
                <w:szCs w:val="21"/>
              </w:rPr>
              <w:t>危险化学品序号：952</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67" w:hRule="atLeast"/>
          <w:jc w:val="center"/>
        </w:trPr>
        <w:tc>
          <w:tcPr>
            <w:tcW w:w="554" w:type="dxa"/>
            <w:vMerge w:val="continue"/>
            <w:tcBorders>
              <w:top w:val="single" w:color="auto" w:sz="6" w:space="0"/>
              <w:left w:val="single" w:color="auto" w:sz="6" w:space="0"/>
              <w:bottom w:val="single" w:color="auto" w:sz="6" w:space="0"/>
              <w:right w:val="single" w:color="auto" w:sz="6" w:space="0"/>
            </w:tcBorders>
            <w:shd w:val="clear" w:color="auto" w:fill="auto"/>
            <w:vAlign w:val="center"/>
          </w:tcPr>
          <w:p>
            <w:pPr>
              <w:spacing w:line="360" w:lineRule="auto"/>
              <w:rPr>
                <w:rFonts w:ascii="宋体" w:hAnsi="宋体" w:eastAsia="宋体"/>
                <w:color w:val="auto"/>
                <w:sz w:val="21"/>
                <w:szCs w:val="21"/>
              </w:rPr>
            </w:pPr>
          </w:p>
        </w:tc>
        <w:tc>
          <w:tcPr>
            <w:tcW w:w="6359" w:type="dxa"/>
            <w:gridSpan w:val="11"/>
            <w:tcBorders>
              <w:top w:val="nil"/>
              <w:left w:val="single" w:color="auto" w:sz="6" w:space="0"/>
              <w:right w:val="single" w:color="auto" w:sz="6" w:space="0"/>
            </w:tcBorders>
            <w:shd w:val="clear" w:color="auto" w:fill="auto"/>
            <w:vAlign w:val="center"/>
          </w:tcPr>
          <w:p>
            <w:pPr>
              <w:spacing w:line="360" w:lineRule="auto"/>
              <w:rPr>
                <w:rFonts w:ascii="宋体" w:hAnsi="宋体" w:eastAsia="宋体"/>
                <w:color w:val="auto"/>
                <w:sz w:val="21"/>
                <w:szCs w:val="21"/>
              </w:rPr>
            </w:pPr>
            <w:r>
              <w:rPr>
                <w:rFonts w:hint="eastAsia" w:ascii="宋体" w:hAnsi="宋体" w:eastAsia="宋体"/>
                <w:color w:val="auto"/>
                <w:sz w:val="21"/>
                <w:szCs w:val="21"/>
              </w:rPr>
              <w:t>英文名：Cyclohexanone；Ketohexamethylene</w:t>
            </w:r>
          </w:p>
        </w:tc>
        <w:tc>
          <w:tcPr>
            <w:tcW w:w="2726" w:type="dxa"/>
            <w:gridSpan w:val="5"/>
            <w:tcBorders>
              <w:top w:val="single" w:color="auto" w:sz="6" w:space="0"/>
              <w:left w:val="single" w:color="auto" w:sz="6" w:space="0"/>
              <w:right w:val="single" w:color="auto" w:sz="6" w:space="0"/>
            </w:tcBorders>
            <w:shd w:val="clear" w:color="auto" w:fill="auto"/>
            <w:vAlign w:val="center"/>
          </w:tcPr>
          <w:p>
            <w:pPr>
              <w:widowControl/>
              <w:spacing w:line="360" w:lineRule="auto"/>
              <w:rPr>
                <w:rFonts w:ascii="宋体" w:hAnsi="宋体" w:eastAsia="宋体"/>
                <w:color w:val="auto"/>
                <w:sz w:val="21"/>
                <w:szCs w:val="21"/>
              </w:rPr>
            </w:pPr>
            <w:r>
              <w:rPr>
                <w:rFonts w:hint="eastAsia" w:ascii="宋体" w:hAnsi="宋体" w:eastAsia="宋体"/>
                <w:color w:val="auto"/>
                <w:sz w:val="21"/>
                <w:szCs w:val="21"/>
              </w:rPr>
              <w:t>UN编号：1915</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57" w:hRule="atLeast"/>
          <w:jc w:val="center"/>
        </w:trPr>
        <w:tc>
          <w:tcPr>
            <w:tcW w:w="554" w:type="dxa"/>
            <w:vMerge w:val="continue"/>
            <w:tcBorders>
              <w:top w:val="single" w:color="auto" w:sz="6" w:space="0"/>
              <w:left w:val="single" w:color="auto" w:sz="6" w:space="0"/>
              <w:bottom w:val="single" w:color="auto" w:sz="6" w:space="0"/>
              <w:right w:val="single" w:color="auto" w:sz="6" w:space="0"/>
            </w:tcBorders>
            <w:shd w:val="clear" w:color="auto" w:fill="auto"/>
            <w:vAlign w:val="center"/>
          </w:tcPr>
          <w:p>
            <w:pPr>
              <w:widowControl/>
              <w:spacing w:line="360" w:lineRule="auto"/>
              <w:rPr>
                <w:rFonts w:ascii="宋体" w:hAnsi="宋体" w:eastAsia="宋体"/>
                <w:color w:val="auto"/>
                <w:sz w:val="21"/>
                <w:szCs w:val="21"/>
              </w:rPr>
            </w:pPr>
          </w:p>
        </w:tc>
        <w:tc>
          <w:tcPr>
            <w:tcW w:w="3275" w:type="dxa"/>
            <w:gridSpan w:val="5"/>
            <w:tcBorders>
              <w:top w:val="single" w:color="auto" w:sz="6" w:space="0"/>
              <w:left w:val="single" w:color="auto" w:sz="6" w:space="0"/>
              <w:bottom w:val="single" w:color="auto" w:sz="6" w:space="0"/>
              <w:right w:val="single" w:color="auto" w:sz="6" w:space="0"/>
            </w:tcBorders>
            <w:shd w:val="clear" w:color="auto" w:fill="auto"/>
            <w:vAlign w:val="center"/>
          </w:tcPr>
          <w:p>
            <w:pPr>
              <w:spacing w:line="360" w:lineRule="auto"/>
              <w:ind w:left="840" w:hanging="840" w:hangingChars="400"/>
              <w:rPr>
                <w:rFonts w:ascii="宋体" w:hAnsi="宋体" w:eastAsia="宋体"/>
                <w:color w:val="auto"/>
                <w:sz w:val="21"/>
                <w:szCs w:val="21"/>
              </w:rPr>
            </w:pPr>
            <w:r>
              <w:rPr>
                <w:rFonts w:hint="eastAsia" w:ascii="宋体" w:hAnsi="宋体" w:eastAsia="宋体"/>
                <w:color w:val="auto"/>
                <w:sz w:val="21"/>
                <w:szCs w:val="21"/>
              </w:rPr>
              <w:t>分子式： C</w:t>
            </w:r>
            <w:r>
              <w:rPr>
                <w:rFonts w:hint="eastAsia" w:ascii="宋体" w:hAnsi="宋体" w:eastAsia="宋体"/>
                <w:color w:val="auto"/>
                <w:sz w:val="21"/>
                <w:szCs w:val="21"/>
                <w:vertAlign w:val="subscript"/>
              </w:rPr>
              <w:t>6</w:t>
            </w:r>
            <w:r>
              <w:rPr>
                <w:rFonts w:hint="eastAsia" w:ascii="宋体" w:hAnsi="宋体" w:eastAsia="宋体"/>
                <w:color w:val="auto"/>
                <w:sz w:val="21"/>
                <w:szCs w:val="21"/>
              </w:rPr>
              <w:t>H</w:t>
            </w:r>
            <w:r>
              <w:rPr>
                <w:rFonts w:hint="eastAsia" w:ascii="宋体" w:hAnsi="宋体" w:eastAsia="宋体"/>
                <w:color w:val="auto"/>
                <w:sz w:val="21"/>
                <w:szCs w:val="21"/>
                <w:vertAlign w:val="subscript"/>
              </w:rPr>
              <w:t>10</w:t>
            </w:r>
            <w:r>
              <w:rPr>
                <w:rFonts w:hint="eastAsia" w:ascii="宋体" w:hAnsi="宋体" w:eastAsia="宋体"/>
                <w:color w:val="auto"/>
                <w:sz w:val="21"/>
                <w:szCs w:val="21"/>
              </w:rPr>
              <w:t>O</w:t>
            </w:r>
          </w:p>
        </w:tc>
        <w:tc>
          <w:tcPr>
            <w:tcW w:w="3084" w:type="dxa"/>
            <w:gridSpan w:val="6"/>
            <w:tcBorders>
              <w:top w:val="single" w:color="auto" w:sz="6" w:space="0"/>
              <w:left w:val="single" w:color="auto" w:sz="6" w:space="0"/>
              <w:bottom w:val="single" w:color="auto" w:sz="6" w:space="0"/>
              <w:right w:val="single" w:color="auto" w:sz="6" w:space="0"/>
            </w:tcBorders>
            <w:shd w:val="clear" w:color="auto" w:fill="auto"/>
            <w:vAlign w:val="center"/>
          </w:tcPr>
          <w:p>
            <w:pPr>
              <w:widowControl/>
              <w:spacing w:line="360" w:lineRule="auto"/>
              <w:rPr>
                <w:rFonts w:ascii="宋体" w:hAnsi="宋体" w:eastAsia="宋体"/>
                <w:color w:val="auto"/>
                <w:sz w:val="21"/>
                <w:szCs w:val="21"/>
              </w:rPr>
            </w:pPr>
            <w:r>
              <w:rPr>
                <w:rFonts w:hint="eastAsia" w:ascii="宋体" w:hAnsi="宋体" w:eastAsia="宋体"/>
                <w:color w:val="auto"/>
                <w:sz w:val="21"/>
                <w:szCs w:val="21"/>
              </w:rPr>
              <w:t>分子量：98.14</w:t>
            </w:r>
          </w:p>
        </w:tc>
        <w:tc>
          <w:tcPr>
            <w:tcW w:w="2726" w:type="dxa"/>
            <w:gridSpan w:val="5"/>
            <w:tcBorders>
              <w:top w:val="single" w:color="auto" w:sz="6" w:space="0"/>
              <w:left w:val="single" w:color="auto" w:sz="6" w:space="0"/>
              <w:bottom w:val="single" w:color="auto" w:sz="6" w:space="0"/>
              <w:right w:val="single" w:color="auto" w:sz="6" w:space="0"/>
            </w:tcBorders>
            <w:shd w:val="clear" w:color="auto" w:fill="auto"/>
            <w:vAlign w:val="center"/>
          </w:tcPr>
          <w:p>
            <w:pPr>
              <w:spacing w:line="360" w:lineRule="auto"/>
              <w:rPr>
                <w:rFonts w:ascii="宋体" w:hAnsi="宋体" w:eastAsia="宋体"/>
                <w:color w:val="auto"/>
                <w:sz w:val="21"/>
                <w:szCs w:val="21"/>
              </w:rPr>
            </w:pPr>
            <w:r>
              <w:rPr>
                <w:rFonts w:hint="eastAsia" w:ascii="宋体" w:hAnsi="宋体" w:eastAsia="宋体"/>
                <w:color w:val="auto"/>
                <w:sz w:val="21"/>
                <w:szCs w:val="21"/>
              </w:rPr>
              <w:t>CAS号：108-94-1</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32" w:hRule="atLeast"/>
          <w:jc w:val="center"/>
        </w:trPr>
        <w:tc>
          <w:tcPr>
            <w:tcW w:w="554" w:type="dxa"/>
            <w:vMerge w:val="restart"/>
            <w:tcBorders>
              <w:top w:val="single" w:color="auto" w:sz="6" w:space="0"/>
              <w:left w:val="single" w:color="auto" w:sz="6" w:space="0"/>
              <w:right w:val="single" w:color="auto" w:sz="6" w:space="0"/>
            </w:tcBorders>
            <w:shd w:val="clear" w:color="auto" w:fill="auto"/>
            <w:vAlign w:val="center"/>
          </w:tcPr>
          <w:p>
            <w:pPr>
              <w:spacing w:line="360" w:lineRule="auto"/>
              <w:rPr>
                <w:rFonts w:ascii="宋体" w:hAnsi="宋体" w:eastAsia="宋体"/>
                <w:color w:val="auto"/>
                <w:sz w:val="21"/>
                <w:szCs w:val="21"/>
              </w:rPr>
            </w:pPr>
            <w:r>
              <w:rPr>
                <w:rFonts w:hint="eastAsia" w:ascii="宋体" w:hAnsi="宋体" w:eastAsia="宋体"/>
                <w:color w:val="auto"/>
                <w:sz w:val="21"/>
                <w:szCs w:val="21"/>
              </w:rPr>
              <w:t>理</w:t>
            </w:r>
          </w:p>
          <w:p>
            <w:pPr>
              <w:spacing w:line="360" w:lineRule="auto"/>
              <w:rPr>
                <w:rFonts w:ascii="宋体" w:hAnsi="宋体" w:eastAsia="宋体"/>
                <w:color w:val="auto"/>
                <w:sz w:val="21"/>
                <w:szCs w:val="21"/>
              </w:rPr>
            </w:pPr>
            <w:r>
              <w:rPr>
                <w:rFonts w:hint="eastAsia" w:ascii="宋体" w:hAnsi="宋体" w:eastAsia="宋体"/>
                <w:color w:val="auto"/>
                <w:sz w:val="21"/>
                <w:szCs w:val="21"/>
              </w:rPr>
              <w:t>化</w:t>
            </w:r>
          </w:p>
          <w:p>
            <w:pPr>
              <w:spacing w:line="360" w:lineRule="auto"/>
              <w:rPr>
                <w:rFonts w:ascii="宋体" w:hAnsi="宋体" w:eastAsia="宋体"/>
                <w:color w:val="auto"/>
                <w:sz w:val="21"/>
                <w:szCs w:val="21"/>
              </w:rPr>
            </w:pPr>
            <w:r>
              <w:rPr>
                <w:rFonts w:hint="eastAsia" w:ascii="宋体" w:hAnsi="宋体" w:eastAsia="宋体"/>
                <w:color w:val="auto"/>
                <w:sz w:val="21"/>
                <w:szCs w:val="21"/>
              </w:rPr>
              <w:t>性</w:t>
            </w:r>
          </w:p>
          <w:p>
            <w:pPr>
              <w:spacing w:line="360" w:lineRule="auto"/>
              <w:rPr>
                <w:rFonts w:ascii="宋体" w:hAnsi="宋体" w:eastAsia="宋体"/>
                <w:color w:val="auto"/>
                <w:sz w:val="21"/>
                <w:szCs w:val="21"/>
              </w:rPr>
            </w:pPr>
            <w:r>
              <w:rPr>
                <w:rFonts w:hint="eastAsia" w:ascii="宋体" w:hAnsi="宋体" w:eastAsia="宋体"/>
                <w:color w:val="auto"/>
                <w:sz w:val="21"/>
                <w:szCs w:val="21"/>
              </w:rPr>
              <w:t>质</w:t>
            </w:r>
          </w:p>
        </w:tc>
        <w:tc>
          <w:tcPr>
            <w:tcW w:w="1906" w:type="dxa"/>
            <w:gridSpan w:val="2"/>
            <w:tcBorders>
              <w:top w:val="single" w:color="auto" w:sz="6" w:space="0"/>
              <w:left w:val="single" w:color="auto" w:sz="6" w:space="0"/>
              <w:bottom w:val="single" w:color="auto" w:sz="6" w:space="0"/>
              <w:right w:val="single" w:color="auto" w:sz="4" w:space="0"/>
            </w:tcBorders>
            <w:shd w:val="clear" w:color="auto" w:fill="auto"/>
            <w:vAlign w:val="center"/>
          </w:tcPr>
          <w:p>
            <w:pPr>
              <w:spacing w:line="360" w:lineRule="auto"/>
              <w:rPr>
                <w:rFonts w:ascii="宋体" w:hAnsi="宋体" w:eastAsia="宋体"/>
                <w:color w:val="auto"/>
                <w:sz w:val="21"/>
                <w:szCs w:val="21"/>
              </w:rPr>
            </w:pPr>
            <w:r>
              <w:rPr>
                <w:rFonts w:hint="eastAsia" w:ascii="宋体" w:hAnsi="宋体" w:eastAsia="宋体"/>
                <w:color w:val="auto"/>
                <w:sz w:val="21"/>
                <w:szCs w:val="21"/>
              </w:rPr>
              <w:t>外观与性状</w:t>
            </w:r>
          </w:p>
        </w:tc>
        <w:tc>
          <w:tcPr>
            <w:tcW w:w="7179" w:type="dxa"/>
            <w:gridSpan w:val="14"/>
            <w:tcBorders>
              <w:top w:val="single" w:color="auto" w:sz="6" w:space="0"/>
              <w:left w:val="single" w:color="auto" w:sz="4" w:space="0"/>
              <w:bottom w:val="single" w:color="auto" w:sz="6" w:space="0"/>
              <w:right w:val="single" w:color="auto" w:sz="6" w:space="0"/>
            </w:tcBorders>
            <w:shd w:val="clear" w:color="auto" w:fill="auto"/>
            <w:vAlign w:val="center"/>
          </w:tcPr>
          <w:p>
            <w:pPr>
              <w:spacing w:line="360" w:lineRule="auto"/>
              <w:ind w:left="285"/>
              <w:rPr>
                <w:rFonts w:ascii="宋体" w:hAnsi="宋体" w:eastAsia="宋体"/>
                <w:color w:val="auto"/>
                <w:sz w:val="21"/>
                <w:szCs w:val="21"/>
              </w:rPr>
            </w:pPr>
            <w:r>
              <w:rPr>
                <w:rFonts w:hint="eastAsia" w:ascii="宋体" w:hAnsi="宋体" w:eastAsia="宋体"/>
                <w:color w:val="auto"/>
                <w:sz w:val="21"/>
                <w:szCs w:val="21"/>
              </w:rPr>
              <w:t>无色或浅黄色透明液体，有强烈的刺激性臭味。</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194" w:hRule="atLeast"/>
          <w:jc w:val="center"/>
        </w:trPr>
        <w:tc>
          <w:tcPr>
            <w:tcW w:w="554" w:type="dxa"/>
            <w:vMerge w:val="continue"/>
            <w:tcBorders>
              <w:left w:val="single" w:color="auto" w:sz="6" w:space="0"/>
              <w:right w:val="single" w:color="auto" w:sz="6" w:space="0"/>
            </w:tcBorders>
            <w:shd w:val="clear" w:color="auto" w:fill="auto"/>
            <w:vAlign w:val="center"/>
          </w:tcPr>
          <w:p>
            <w:pPr>
              <w:widowControl/>
              <w:spacing w:line="360" w:lineRule="auto"/>
              <w:rPr>
                <w:rFonts w:ascii="宋体" w:hAnsi="宋体" w:eastAsia="宋体"/>
                <w:color w:val="auto"/>
                <w:sz w:val="21"/>
                <w:szCs w:val="21"/>
              </w:rPr>
            </w:pPr>
          </w:p>
        </w:tc>
        <w:tc>
          <w:tcPr>
            <w:tcW w:w="1906" w:type="dxa"/>
            <w:gridSpan w:val="2"/>
            <w:tcBorders>
              <w:top w:val="single" w:color="auto" w:sz="6" w:space="0"/>
              <w:left w:val="single" w:color="auto" w:sz="6" w:space="0"/>
              <w:bottom w:val="single" w:color="auto" w:sz="6" w:space="0"/>
              <w:right w:val="single" w:color="auto" w:sz="4" w:space="0"/>
            </w:tcBorders>
            <w:shd w:val="clear" w:color="auto" w:fill="auto"/>
            <w:vAlign w:val="center"/>
          </w:tcPr>
          <w:p>
            <w:pPr>
              <w:spacing w:line="360" w:lineRule="auto"/>
              <w:rPr>
                <w:rFonts w:ascii="宋体" w:hAnsi="宋体" w:eastAsia="宋体"/>
                <w:color w:val="auto"/>
                <w:sz w:val="21"/>
                <w:szCs w:val="21"/>
              </w:rPr>
            </w:pPr>
            <w:r>
              <w:rPr>
                <w:rFonts w:hint="eastAsia" w:ascii="宋体" w:hAnsi="宋体" w:eastAsia="宋体"/>
                <w:color w:val="auto"/>
                <w:sz w:val="21"/>
                <w:szCs w:val="21"/>
              </w:rPr>
              <w:t>主要用途</w:t>
            </w:r>
          </w:p>
        </w:tc>
        <w:tc>
          <w:tcPr>
            <w:tcW w:w="7179" w:type="dxa"/>
            <w:gridSpan w:val="14"/>
            <w:tcBorders>
              <w:top w:val="single" w:color="auto" w:sz="6" w:space="0"/>
              <w:left w:val="single" w:color="auto" w:sz="4" w:space="0"/>
              <w:bottom w:val="single" w:color="auto" w:sz="6" w:space="0"/>
              <w:right w:val="single" w:color="auto" w:sz="6" w:space="0"/>
            </w:tcBorders>
            <w:shd w:val="clear" w:color="auto" w:fill="auto"/>
            <w:vAlign w:val="center"/>
          </w:tcPr>
          <w:p>
            <w:pPr>
              <w:widowControl/>
              <w:adjustRightInd w:val="0"/>
              <w:snapToGrid w:val="0"/>
              <w:spacing w:line="360" w:lineRule="auto"/>
              <w:rPr>
                <w:rFonts w:ascii="宋体" w:hAnsi="宋体" w:eastAsia="宋体"/>
                <w:color w:val="auto"/>
                <w:sz w:val="21"/>
                <w:szCs w:val="21"/>
              </w:rPr>
            </w:pPr>
            <w:r>
              <w:rPr>
                <w:rFonts w:hint="eastAsia" w:ascii="宋体" w:hAnsi="宋体" w:eastAsia="宋体"/>
                <w:color w:val="auto"/>
                <w:sz w:val="21"/>
                <w:szCs w:val="21"/>
              </w:rPr>
              <w:t>主要用于制造己内酰胺和己二酸，也是优良的溶剂。</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PrEx>
        <w:trPr>
          <w:cantSplit/>
          <w:trHeight w:val="204" w:hRule="atLeast"/>
          <w:jc w:val="center"/>
        </w:trPr>
        <w:tc>
          <w:tcPr>
            <w:tcW w:w="554" w:type="dxa"/>
            <w:vMerge w:val="continue"/>
            <w:tcBorders>
              <w:left w:val="single" w:color="auto" w:sz="6" w:space="0"/>
              <w:right w:val="single" w:color="auto" w:sz="6" w:space="0"/>
            </w:tcBorders>
            <w:shd w:val="clear" w:color="auto" w:fill="auto"/>
            <w:vAlign w:val="center"/>
          </w:tcPr>
          <w:p>
            <w:pPr>
              <w:widowControl/>
              <w:spacing w:line="360" w:lineRule="auto"/>
              <w:rPr>
                <w:rFonts w:ascii="宋体" w:hAnsi="宋体" w:eastAsia="宋体"/>
                <w:color w:val="auto"/>
                <w:sz w:val="21"/>
                <w:szCs w:val="21"/>
              </w:rPr>
            </w:pPr>
          </w:p>
        </w:tc>
        <w:tc>
          <w:tcPr>
            <w:tcW w:w="1409" w:type="dxa"/>
            <w:tcBorders>
              <w:top w:val="single" w:color="auto" w:sz="6" w:space="0"/>
              <w:left w:val="single" w:color="auto" w:sz="6" w:space="0"/>
              <w:bottom w:val="single" w:color="auto" w:sz="6" w:space="0"/>
              <w:right w:val="single" w:color="auto" w:sz="4" w:space="0"/>
            </w:tcBorders>
            <w:shd w:val="clear" w:color="auto" w:fill="auto"/>
            <w:vAlign w:val="center"/>
          </w:tcPr>
          <w:p>
            <w:pPr>
              <w:spacing w:line="360" w:lineRule="auto"/>
              <w:rPr>
                <w:rFonts w:ascii="宋体" w:hAnsi="宋体" w:eastAsia="宋体"/>
                <w:color w:val="auto"/>
                <w:sz w:val="21"/>
                <w:szCs w:val="21"/>
              </w:rPr>
            </w:pPr>
            <w:r>
              <w:rPr>
                <w:rFonts w:hint="eastAsia" w:ascii="宋体" w:hAnsi="宋体" w:eastAsia="宋体"/>
                <w:color w:val="auto"/>
                <w:sz w:val="21"/>
                <w:szCs w:val="21"/>
              </w:rPr>
              <w:t>熔点（</w:t>
            </w:r>
            <w:r>
              <w:rPr>
                <w:rFonts w:hint="eastAsia" w:ascii="宋体" w:hAnsi="宋体" w:eastAsia="宋体" w:cs="宋体"/>
                <w:color w:val="auto"/>
                <w:sz w:val="21"/>
                <w:szCs w:val="21"/>
              </w:rPr>
              <w:t>℃</w:t>
            </w:r>
            <w:r>
              <w:rPr>
                <w:rFonts w:hint="eastAsia" w:ascii="宋体" w:hAnsi="宋体" w:eastAsia="宋体"/>
                <w:color w:val="auto"/>
                <w:sz w:val="21"/>
                <w:szCs w:val="21"/>
              </w:rPr>
              <w:t>）</w:t>
            </w:r>
          </w:p>
        </w:tc>
        <w:tc>
          <w:tcPr>
            <w:tcW w:w="1072" w:type="dxa"/>
            <w:gridSpan w:val="2"/>
            <w:tcBorders>
              <w:top w:val="single" w:color="auto" w:sz="6" w:space="0"/>
              <w:left w:val="single" w:color="auto" w:sz="4" w:space="0"/>
              <w:bottom w:val="single" w:color="auto" w:sz="6" w:space="0"/>
              <w:right w:val="single" w:color="auto" w:sz="6" w:space="0"/>
            </w:tcBorders>
            <w:shd w:val="clear" w:color="auto" w:fill="auto"/>
            <w:vAlign w:val="center"/>
          </w:tcPr>
          <w:p>
            <w:pPr>
              <w:spacing w:line="360" w:lineRule="auto"/>
              <w:ind w:left="357" w:hanging="357" w:hangingChars="170"/>
              <w:rPr>
                <w:rFonts w:ascii="宋体" w:hAnsi="宋体" w:eastAsia="宋体"/>
                <w:color w:val="auto"/>
                <w:sz w:val="21"/>
                <w:szCs w:val="21"/>
              </w:rPr>
            </w:pPr>
            <w:r>
              <w:rPr>
                <w:rFonts w:hint="eastAsia" w:ascii="宋体" w:hAnsi="宋体" w:eastAsia="宋体"/>
                <w:color w:val="auto"/>
                <w:sz w:val="21"/>
                <w:szCs w:val="21"/>
              </w:rPr>
              <w:t>-45</w:t>
            </w:r>
          </w:p>
        </w:tc>
        <w:tc>
          <w:tcPr>
            <w:tcW w:w="2001" w:type="dxa"/>
            <w:gridSpan w:val="4"/>
            <w:tcBorders>
              <w:top w:val="single" w:color="auto" w:sz="6" w:space="0"/>
              <w:left w:val="single" w:color="auto" w:sz="6" w:space="0"/>
              <w:bottom w:val="single" w:color="auto" w:sz="4" w:space="0"/>
              <w:right w:val="single" w:color="auto" w:sz="4" w:space="0"/>
            </w:tcBorders>
            <w:shd w:val="clear" w:color="auto" w:fill="auto"/>
            <w:vAlign w:val="center"/>
          </w:tcPr>
          <w:p>
            <w:pPr>
              <w:spacing w:line="360" w:lineRule="auto"/>
              <w:rPr>
                <w:rFonts w:ascii="宋体" w:hAnsi="宋体" w:eastAsia="宋体"/>
                <w:color w:val="auto"/>
                <w:sz w:val="21"/>
                <w:szCs w:val="21"/>
              </w:rPr>
            </w:pPr>
            <w:r>
              <w:rPr>
                <w:rFonts w:hint="eastAsia" w:ascii="宋体" w:hAnsi="宋体" w:eastAsia="宋体"/>
                <w:color w:val="auto"/>
                <w:sz w:val="21"/>
                <w:szCs w:val="21"/>
              </w:rPr>
              <w:t>相对密度(水=1)</w:t>
            </w:r>
          </w:p>
        </w:tc>
        <w:tc>
          <w:tcPr>
            <w:tcW w:w="1291" w:type="dxa"/>
            <w:gridSpan w:val="2"/>
            <w:tcBorders>
              <w:top w:val="single" w:color="auto" w:sz="6" w:space="0"/>
              <w:left w:val="single" w:color="auto" w:sz="4" w:space="0"/>
              <w:bottom w:val="single" w:color="auto" w:sz="6" w:space="0"/>
              <w:right w:val="single" w:color="auto" w:sz="6" w:space="0"/>
            </w:tcBorders>
            <w:shd w:val="clear" w:color="auto" w:fill="auto"/>
            <w:vAlign w:val="center"/>
          </w:tcPr>
          <w:p>
            <w:pPr>
              <w:widowControl/>
              <w:spacing w:line="360" w:lineRule="auto"/>
              <w:ind w:left="357" w:hanging="357" w:hangingChars="170"/>
              <w:rPr>
                <w:rFonts w:ascii="宋体" w:hAnsi="宋体" w:eastAsia="宋体"/>
                <w:color w:val="auto"/>
                <w:sz w:val="21"/>
                <w:szCs w:val="21"/>
              </w:rPr>
            </w:pPr>
            <w:r>
              <w:rPr>
                <w:rFonts w:hint="eastAsia" w:ascii="宋体" w:hAnsi="宋体" w:eastAsia="宋体"/>
                <w:color w:val="auto"/>
                <w:sz w:val="21"/>
                <w:szCs w:val="21"/>
              </w:rPr>
              <w:t>0.95</w:t>
            </w:r>
          </w:p>
        </w:tc>
        <w:tc>
          <w:tcPr>
            <w:tcW w:w="1980" w:type="dxa"/>
            <w:gridSpan w:val="6"/>
            <w:tcBorders>
              <w:top w:val="single" w:color="auto" w:sz="6" w:space="0"/>
              <w:left w:val="single" w:color="auto" w:sz="6" w:space="0"/>
              <w:bottom w:val="single" w:color="auto" w:sz="6" w:space="0"/>
              <w:right w:val="single" w:color="auto" w:sz="6" w:space="0"/>
            </w:tcBorders>
            <w:shd w:val="clear" w:color="auto" w:fill="auto"/>
            <w:vAlign w:val="center"/>
          </w:tcPr>
          <w:p>
            <w:pPr>
              <w:spacing w:line="360" w:lineRule="auto"/>
              <w:rPr>
                <w:rFonts w:ascii="宋体" w:hAnsi="宋体" w:eastAsia="宋体"/>
                <w:color w:val="auto"/>
                <w:sz w:val="21"/>
                <w:szCs w:val="21"/>
              </w:rPr>
            </w:pPr>
            <w:r>
              <w:rPr>
                <w:rFonts w:hint="eastAsia" w:ascii="宋体" w:hAnsi="宋体" w:eastAsia="宋体"/>
                <w:color w:val="auto"/>
                <w:sz w:val="21"/>
                <w:szCs w:val="21"/>
              </w:rPr>
              <w:t>相对密度(空气=1)</w:t>
            </w:r>
          </w:p>
        </w:tc>
        <w:tc>
          <w:tcPr>
            <w:tcW w:w="1332" w:type="dxa"/>
            <w:tcBorders>
              <w:top w:val="single" w:color="auto" w:sz="6" w:space="0"/>
              <w:left w:val="single" w:color="auto" w:sz="6" w:space="0"/>
              <w:bottom w:val="single" w:color="auto" w:sz="6" w:space="0"/>
              <w:right w:val="single" w:color="auto" w:sz="6" w:space="0"/>
            </w:tcBorders>
            <w:shd w:val="clear" w:color="auto" w:fill="auto"/>
            <w:vAlign w:val="center"/>
          </w:tcPr>
          <w:p>
            <w:pPr>
              <w:spacing w:line="360" w:lineRule="auto"/>
              <w:rPr>
                <w:rFonts w:ascii="宋体" w:hAnsi="宋体" w:eastAsia="宋体"/>
                <w:color w:val="auto"/>
                <w:sz w:val="21"/>
                <w:szCs w:val="21"/>
              </w:rPr>
            </w:pPr>
            <w:r>
              <w:rPr>
                <w:rFonts w:hint="eastAsia" w:ascii="宋体" w:hAnsi="宋体" w:eastAsia="宋体"/>
                <w:color w:val="auto"/>
                <w:sz w:val="21"/>
                <w:szCs w:val="21"/>
              </w:rPr>
              <w:t>3.38</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161" w:hRule="atLeast"/>
          <w:jc w:val="center"/>
        </w:trPr>
        <w:tc>
          <w:tcPr>
            <w:tcW w:w="554" w:type="dxa"/>
            <w:vMerge w:val="continue"/>
            <w:tcBorders>
              <w:left w:val="single" w:color="auto" w:sz="6" w:space="0"/>
              <w:right w:val="single" w:color="auto" w:sz="6" w:space="0"/>
            </w:tcBorders>
            <w:shd w:val="clear" w:color="auto" w:fill="auto"/>
            <w:vAlign w:val="center"/>
          </w:tcPr>
          <w:p>
            <w:pPr>
              <w:widowControl/>
              <w:spacing w:line="360" w:lineRule="auto"/>
              <w:rPr>
                <w:rFonts w:ascii="宋体" w:hAnsi="宋体" w:eastAsia="宋体"/>
                <w:color w:val="auto"/>
                <w:sz w:val="21"/>
                <w:szCs w:val="21"/>
              </w:rPr>
            </w:pPr>
          </w:p>
        </w:tc>
        <w:tc>
          <w:tcPr>
            <w:tcW w:w="1409" w:type="dxa"/>
            <w:tcBorders>
              <w:top w:val="single" w:color="auto" w:sz="6" w:space="0"/>
              <w:left w:val="single" w:color="auto" w:sz="6" w:space="0"/>
              <w:bottom w:val="single" w:color="auto" w:sz="6" w:space="0"/>
              <w:right w:val="single" w:color="auto" w:sz="4" w:space="0"/>
            </w:tcBorders>
            <w:shd w:val="clear" w:color="auto" w:fill="auto"/>
            <w:vAlign w:val="center"/>
          </w:tcPr>
          <w:p>
            <w:pPr>
              <w:spacing w:line="360" w:lineRule="auto"/>
              <w:rPr>
                <w:rFonts w:ascii="宋体" w:hAnsi="宋体" w:eastAsia="宋体"/>
                <w:color w:val="auto"/>
                <w:sz w:val="21"/>
                <w:szCs w:val="21"/>
              </w:rPr>
            </w:pPr>
            <w:r>
              <w:rPr>
                <w:rFonts w:hint="eastAsia" w:ascii="宋体" w:hAnsi="宋体" w:eastAsia="宋体"/>
                <w:color w:val="auto"/>
                <w:sz w:val="21"/>
                <w:szCs w:val="21"/>
              </w:rPr>
              <w:t>沸点（</w:t>
            </w:r>
            <w:r>
              <w:rPr>
                <w:rFonts w:hint="eastAsia" w:ascii="宋体" w:hAnsi="宋体" w:eastAsia="宋体" w:cs="宋体"/>
                <w:color w:val="auto"/>
                <w:sz w:val="21"/>
                <w:szCs w:val="21"/>
              </w:rPr>
              <w:t>℃</w:t>
            </w:r>
            <w:r>
              <w:rPr>
                <w:rFonts w:hint="eastAsia" w:ascii="宋体" w:hAnsi="宋体" w:eastAsia="宋体"/>
                <w:color w:val="auto"/>
                <w:sz w:val="21"/>
                <w:szCs w:val="21"/>
              </w:rPr>
              <w:t>）</w:t>
            </w:r>
          </w:p>
        </w:tc>
        <w:tc>
          <w:tcPr>
            <w:tcW w:w="3073" w:type="dxa"/>
            <w:gridSpan w:val="6"/>
            <w:tcBorders>
              <w:top w:val="single" w:color="auto" w:sz="6" w:space="0"/>
              <w:left w:val="single" w:color="auto" w:sz="4" w:space="0"/>
              <w:bottom w:val="single" w:color="auto" w:sz="6" w:space="0"/>
              <w:right w:val="single" w:color="auto" w:sz="4" w:space="0"/>
            </w:tcBorders>
            <w:shd w:val="clear" w:color="auto" w:fill="auto"/>
            <w:vAlign w:val="center"/>
          </w:tcPr>
          <w:p>
            <w:pPr>
              <w:widowControl/>
              <w:adjustRightInd w:val="0"/>
              <w:snapToGrid w:val="0"/>
              <w:spacing w:line="360" w:lineRule="auto"/>
              <w:ind w:firstLine="735" w:firstLineChars="350"/>
              <w:rPr>
                <w:rFonts w:ascii="宋体" w:hAnsi="宋体" w:eastAsia="宋体"/>
                <w:color w:val="auto"/>
                <w:sz w:val="21"/>
                <w:szCs w:val="21"/>
              </w:rPr>
            </w:pPr>
            <w:r>
              <w:rPr>
                <w:rFonts w:hint="eastAsia" w:ascii="宋体" w:hAnsi="宋体" w:eastAsia="宋体"/>
                <w:color w:val="auto"/>
                <w:sz w:val="21"/>
                <w:szCs w:val="21"/>
              </w:rPr>
              <w:t>115.6</w:t>
            </w:r>
          </w:p>
        </w:tc>
        <w:tc>
          <w:tcPr>
            <w:tcW w:w="2467" w:type="dxa"/>
            <w:gridSpan w:val="6"/>
            <w:tcBorders>
              <w:top w:val="single" w:color="auto" w:sz="6" w:space="0"/>
              <w:left w:val="single" w:color="auto" w:sz="4" w:space="0"/>
              <w:bottom w:val="single" w:color="auto" w:sz="6" w:space="0"/>
              <w:right w:val="single" w:color="auto" w:sz="4" w:space="0"/>
            </w:tcBorders>
            <w:shd w:val="clear" w:color="auto" w:fill="auto"/>
            <w:vAlign w:val="center"/>
          </w:tcPr>
          <w:p>
            <w:pPr>
              <w:spacing w:line="360" w:lineRule="auto"/>
              <w:ind w:left="17" w:leftChars="7"/>
              <w:rPr>
                <w:rFonts w:ascii="宋体" w:hAnsi="宋体" w:eastAsia="宋体"/>
                <w:color w:val="auto"/>
                <w:sz w:val="21"/>
                <w:szCs w:val="21"/>
              </w:rPr>
            </w:pPr>
            <w:r>
              <w:rPr>
                <w:rFonts w:hint="eastAsia" w:ascii="宋体" w:hAnsi="宋体" w:eastAsia="宋体"/>
                <w:color w:val="auto"/>
                <w:sz w:val="21"/>
                <w:szCs w:val="21"/>
              </w:rPr>
              <w:t>饱和蒸气压（kPa）</w:t>
            </w:r>
          </w:p>
        </w:tc>
        <w:tc>
          <w:tcPr>
            <w:tcW w:w="2136" w:type="dxa"/>
            <w:gridSpan w:val="3"/>
            <w:tcBorders>
              <w:top w:val="single" w:color="auto" w:sz="6" w:space="0"/>
              <w:left w:val="single" w:color="auto" w:sz="4" w:space="0"/>
              <w:bottom w:val="single" w:color="auto" w:sz="6" w:space="0"/>
              <w:right w:val="single" w:color="auto" w:sz="6" w:space="0"/>
            </w:tcBorders>
            <w:shd w:val="clear" w:color="auto" w:fill="auto"/>
            <w:vAlign w:val="center"/>
          </w:tcPr>
          <w:p>
            <w:pPr>
              <w:spacing w:line="360" w:lineRule="auto"/>
              <w:ind w:left="17" w:leftChars="7" w:firstLine="210" w:firstLineChars="100"/>
              <w:rPr>
                <w:rFonts w:ascii="宋体" w:hAnsi="宋体" w:eastAsia="宋体"/>
                <w:color w:val="auto"/>
                <w:sz w:val="21"/>
                <w:szCs w:val="21"/>
              </w:rPr>
            </w:pPr>
            <w:r>
              <w:rPr>
                <w:rFonts w:hint="eastAsia" w:ascii="宋体" w:hAnsi="宋体" w:eastAsia="宋体"/>
                <w:color w:val="auto"/>
                <w:sz w:val="21"/>
                <w:szCs w:val="21"/>
              </w:rPr>
              <w:t>1.33／38.7℃</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190" w:hRule="atLeast"/>
          <w:jc w:val="center"/>
        </w:trPr>
        <w:tc>
          <w:tcPr>
            <w:tcW w:w="554" w:type="dxa"/>
            <w:vMerge w:val="continue"/>
            <w:tcBorders>
              <w:left w:val="single" w:color="auto" w:sz="6" w:space="0"/>
              <w:right w:val="single" w:color="auto" w:sz="6" w:space="0"/>
            </w:tcBorders>
            <w:shd w:val="clear" w:color="auto" w:fill="auto"/>
            <w:vAlign w:val="center"/>
          </w:tcPr>
          <w:p>
            <w:pPr>
              <w:widowControl/>
              <w:spacing w:line="360" w:lineRule="auto"/>
              <w:rPr>
                <w:rFonts w:ascii="宋体" w:hAnsi="宋体" w:eastAsia="宋体"/>
                <w:color w:val="auto"/>
                <w:sz w:val="21"/>
                <w:szCs w:val="21"/>
              </w:rPr>
            </w:pPr>
          </w:p>
        </w:tc>
        <w:tc>
          <w:tcPr>
            <w:tcW w:w="1409" w:type="dxa"/>
            <w:tcBorders>
              <w:top w:val="single" w:color="auto" w:sz="6" w:space="0"/>
              <w:left w:val="single" w:color="auto" w:sz="6" w:space="0"/>
              <w:bottom w:val="single" w:color="auto" w:sz="6" w:space="0"/>
              <w:right w:val="single" w:color="auto" w:sz="4" w:space="0"/>
            </w:tcBorders>
            <w:shd w:val="clear" w:color="auto" w:fill="auto"/>
            <w:vAlign w:val="center"/>
          </w:tcPr>
          <w:p>
            <w:pPr>
              <w:spacing w:line="360" w:lineRule="auto"/>
              <w:rPr>
                <w:rFonts w:ascii="宋体" w:hAnsi="宋体" w:eastAsia="宋体"/>
                <w:color w:val="auto"/>
                <w:sz w:val="21"/>
                <w:szCs w:val="21"/>
              </w:rPr>
            </w:pPr>
            <w:r>
              <w:rPr>
                <w:rFonts w:hint="eastAsia" w:ascii="宋体" w:hAnsi="宋体" w:eastAsia="宋体"/>
                <w:color w:val="auto"/>
                <w:sz w:val="21"/>
                <w:szCs w:val="21"/>
              </w:rPr>
              <w:t>温度、压力</w:t>
            </w:r>
          </w:p>
        </w:tc>
        <w:tc>
          <w:tcPr>
            <w:tcW w:w="1609" w:type="dxa"/>
            <w:gridSpan w:val="3"/>
            <w:tcBorders>
              <w:top w:val="single" w:color="auto" w:sz="6" w:space="0"/>
              <w:left w:val="single" w:color="auto" w:sz="4" w:space="0"/>
              <w:bottom w:val="single" w:color="auto" w:sz="6" w:space="0"/>
              <w:right w:val="single" w:color="auto" w:sz="4" w:space="0"/>
            </w:tcBorders>
            <w:shd w:val="clear" w:color="auto" w:fill="auto"/>
            <w:vAlign w:val="center"/>
          </w:tcPr>
          <w:p>
            <w:pPr>
              <w:spacing w:line="360" w:lineRule="auto"/>
              <w:ind w:left="-40"/>
              <w:jc w:val="right"/>
              <w:rPr>
                <w:rFonts w:ascii="宋体" w:hAnsi="宋体" w:eastAsia="宋体"/>
                <w:color w:val="auto"/>
                <w:sz w:val="21"/>
                <w:szCs w:val="21"/>
              </w:rPr>
            </w:pPr>
            <w:r>
              <w:rPr>
                <w:rFonts w:hint="eastAsia" w:ascii="宋体" w:hAnsi="宋体" w:eastAsia="宋体"/>
                <w:color w:val="auto"/>
                <w:sz w:val="21"/>
                <w:szCs w:val="21"/>
              </w:rPr>
              <w:t>临界温度(</w:t>
            </w:r>
            <w:r>
              <w:rPr>
                <w:rFonts w:hint="eastAsia" w:ascii="宋体" w:hAnsi="宋体" w:eastAsia="宋体" w:cs="宋体"/>
                <w:color w:val="auto"/>
                <w:sz w:val="21"/>
                <w:szCs w:val="21"/>
              </w:rPr>
              <w:t>℃</w:t>
            </w:r>
            <w:r>
              <w:rPr>
                <w:rFonts w:hint="eastAsia" w:ascii="宋体" w:hAnsi="宋体" w:eastAsia="宋体"/>
                <w:color w:val="auto"/>
                <w:sz w:val="21"/>
                <w:szCs w:val="21"/>
              </w:rPr>
              <w:t>)</w:t>
            </w:r>
          </w:p>
        </w:tc>
        <w:tc>
          <w:tcPr>
            <w:tcW w:w="1464" w:type="dxa"/>
            <w:gridSpan w:val="3"/>
            <w:tcBorders>
              <w:top w:val="single" w:color="auto" w:sz="6" w:space="0"/>
              <w:left w:val="single" w:color="auto" w:sz="4" w:space="0"/>
              <w:bottom w:val="single" w:color="auto" w:sz="6" w:space="0"/>
              <w:right w:val="single" w:color="auto" w:sz="4" w:space="0"/>
            </w:tcBorders>
            <w:shd w:val="clear" w:color="auto" w:fill="auto"/>
            <w:vAlign w:val="center"/>
          </w:tcPr>
          <w:p>
            <w:pPr>
              <w:spacing w:line="360" w:lineRule="auto"/>
              <w:ind w:left="-46" w:leftChars="-19" w:firstLine="315" w:firstLineChars="150"/>
              <w:rPr>
                <w:rFonts w:ascii="宋体" w:hAnsi="宋体" w:eastAsia="宋体"/>
                <w:color w:val="auto"/>
                <w:sz w:val="21"/>
                <w:szCs w:val="21"/>
              </w:rPr>
            </w:pPr>
            <w:r>
              <w:rPr>
                <w:rFonts w:hint="eastAsia" w:ascii="宋体" w:hAnsi="宋体" w:eastAsia="宋体"/>
                <w:color w:val="auto"/>
                <w:sz w:val="21"/>
                <w:szCs w:val="21"/>
              </w:rPr>
              <w:t>385.9</w:t>
            </w:r>
          </w:p>
        </w:tc>
        <w:tc>
          <w:tcPr>
            <w:tcW w:w="3271" w:type="dxa"/>
            <w:gridSpan w:val="8"/>
            <w:tcBorders>
              <w:top w:val="single" w:color="auto" w:sz="6" w:space="0"/>
              <w:left w:val="single" w:color="auto" w:sz="4" w:space="0"/>
              <w:bottom w:val="single" w:color="auto" w:sz="6" w:space="0"/>
              <w:right w:val="single" w:color="auto" w:sz="4" w:space="0"/>
            </w:tcBorders>
            <w:shd w:val="clear" w:color="auto" w:fill="auto"/>
            <w:vAlign w:val="center"/>
          </w:tcPr>
          <w:p>
            <w:pPr>
              <w:spacing w:line="360" w:lineRule="auto"/>
              <w:rPr>
                <w:rFonts w:ascii="宋体" w:hAnsi="宋体" w:eastAsia="宋体"/>
                <w:color w:val="auto"/>
                <w:sz w:val="21"/>
                <w:szCs w:val="21"/>
              </w:rPr>
            </w:pPr>
            <w:r>
              <w:rPr>
                <w:rFonts w:hint="eastAsia" w:ascii="宋体" w:hAnsi="宋体" w:eastAsia="宋体"/>
                <w:color w:val="auto"/>
                <w:sz w:val="21"/>
                <w:szCs w:val="21"/>
              </w:rPr>
              <w:t>临界压力(MPa)：</w:t>
            </w:r>
          </w:p>
        </w:tc>
        <w:tc>
          <w:tcPr>
            <w:tcW w:w="1332" w:type="dxa"/>
            <w:tcBorders>
              <w:top w:val="single" w:color="auto" w:sz="6" w:space="0"/>
              <w:left w:val="single" w:color="auto" w:sz="4" w:space="0"/>
              <w:bottom w:val="single" w:color="auto" w:sz="6" w:space="0"/>
              <w:right w:val="single" w:color="auto" w:sz="6" w:space="0"/>
            </w:tcBorders>
            <w:shd w:val="clear" w:color="auto" w:fill="auto"/>
            <w:vAlign w:val="center"/>
          </w:tcPr>
          <w:p>
            <w:pPr>
              <w:spacing w:line="360" w:lineRule="auto"/>
              <w:rPr>
                <w:rFonts w:ascii="宋体" w:hAnsi="宋体" w:eastAsia="宋体"/>
                <w:color w:val="auto"/>
                <w:sz w:val="21"/>
                <w:szCs w:val="21"/>
              </w:rPr>
            </w:pPr>
            <w:r>
              <w:rPr>
                <w:rFonts w:hint="eastAsia" w:ascii="宋体" w:hAnsi="宋体" w:eastAsia="宋体"/>
                <w:color w:val="auto"/>
                <w:sz w:val="21"/>
                <w:szCs w:val="21"/>
              </w:rPr>
              <w:t>4.06</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87" w:hRule="atLeast"/>
          <w:jc w:val="center"/>
        </w:trPr>
        <w:tc>
          <w:tcPr>
            <w:tcW w:w="554" w:type="dxa"/>
            <w:vMerge w:val="continue"/>
            <w:tcBorders>
              <w:left w:val="single" w:color="auto" w:sz="6" w:space="0"/>
              <w:right w:val="single" w:color="auto" w:sz="6" w:space="0"/>
            </w:tcBorders>
            <w:shd w:val="clear" w:color="auto" w:fill="auto"/>
            <w:vAlign w:val="center"/>
          </w:tcPr>
          <w:p>
            <w:pPr>
              <w:widowControl/>
              <w:spacing w:line="360" w:lineRule="auto"/>
              <w:rPr>
                <w:rFonts w:ascii="宋体" w:hAnsi="宋体" w:eastAsia="宋体"/>
                <w:color w:val="auto"/>
                <w:sz w:val="21"/>
                <w:szCs w:val="21"/>
              </w:rPr>
            </w:pPr>
          </w:p>
        </w:tc>
        <w:tc>
          <w:tcPr>
            <w:tcW w:w="1409" w:type="dxa"/>
            <w:tcBorders>
              <w:top w:val="single" w:color="auto" w:sz="6" w:space="0"/>
              <w:left w:val="single" w:color="auto" w:sz="6" w:space="0"/>
              <w:bottom w:val="single" w:color="auto" w:sz="4" w:space="0"/>
              <w:right w:val="single" w:color="auto" w:sz="6" w:space="0"/>
            </w:tcBorders>
            <w:shd w:val="clear" w:color="auto" w:fill="auto"/>
            <w:vAlign w:val="center"/>
          </w:tcPr>
          <w:p>
            <w:pPr>
              <w:spacing w:line="360" w:lineRule="auto"/>
              <w:rPr>
                <w:rFonts w:ascii="宋体" w:hAnsi="宋体" w:eastAsia="宋体"/>
                <w:color w:val="auto"/>
                <w:sz w:val="21"/>
                <w:szCs w:val="21"/>
              </w:rPr>
            </w:pPr>
            <w:r>
              <w:rPr>
                <w:rFonts w:hint="eastAsia" w:ascii="宋体" w:hAnsi="宋体" w:eastAsia="宋体"/>
                <w:color w:val="auto"/>
                <w:sz w:val="21"/>
                <w:szCs w:val="21"/>
              </w:rPr>
              <w:t>溶 解 性</w:t>
            </w:r>
          </w:p>
        </w:tc>
        <w:tc>
          <w:tcPr>
            <w:tcW w:w="7676" w:type="dxa"/>
            <w:gridSpan w:val="15"/>
            <w:tcBorders>
              <w:top w:val="single" w:color="auto" w:sz="6" w:space="0"/>
              <w:left w:val="single" w:color="auto" w:sz="6" w:space="0"/>
              <w:bottom w:val="single" w:color="auto" w:sz="4" w:space="0"/>
              <w:right w:val="single" w:color="auto" w:sz="6" w:space="0"/>
            </w:tcBorders>
            <w:shd w:val="clear" w:color="auto" w:fill="auto"/>
            <w:vAlign w:val="center"/>
          </w:tcPr>
          <w:p>
            <w:pPr>
              <w:spacing w:line="360" w:lineRule="auto"/>
              <w:rPr>
                <w:rFonts w:ascii="宋体" w:hAnsi="宋体" w:eastAsia="宋体"/>
                <w:color w:val="auto"/>
                <w:sz w:val="21"/>
                <w:szCs w:val="21"/>
              </w:rPr>
            </w:pPr>
            <w:r>
              <w:rPr>
                <w:rFonts w:hint="eastAsia" w:ascii="宋体" w:hAnsi="宋体" w:eastAsia="宋体"/>
                <w:color w:val="auto"/>
                <w:sz w:val="21"/>
                <w:szCs w:val="21"/>
              </w:rPr>
              <w:t>微溶于水，可混溶于醇、醚、苯、丙酮等多数有机溶剂。</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187" w:hRule="atLeast"/>
          <w:jc w:val="center"/>
        </w:trPr>
        <w:tc>
          <w:tcPr>
            <w:tcW w:w="554" w:type="dxa"/>
            <w:vMerge w:val="continue"/>
            <w:tcBorders>
              <w:left w:val="single" w:color="auto" w:sz="6" w:space="0"/>
              <w:bottom w:val="single" w:color="auto" w:sz="6" w:space="0"/>
              <w:right w:val="single" w:color="auto" w:sz="6" w:space="0"/>
            </w:tcBorders>
            <w:shd w:val="clear" w:color="auto" w:fill="auto"/>
            <w:vAlign w:val="center"/>
          </w:tcPr>
          <w:p>
            <w:pPr>
              <w:widowControl/>
              <w:spacing w:line="360" w:lineRule="auto"/>
              <w:rPr>
                <w:rFonts w:ascii="宋体" w:hAnsi="宋体" w:eastAsia="宋体"/>
                <w:color w:val="auto"/>
                <w:sz w:val="21"/>
                <w:szCs w:val="21"/>
              </w:rPr>
            </w:pPr>
          </w:p>
        </w:tc>
        <w:tc>
          <w:tcPr>
            <w:tcW w:w="1409" w:type="dxa"/>
            <w:tcBorders>
              <w:top w:val="single" w:color="auto" w:sz="4" w:space="0"/>
              <w:left w:val="single" w:color="auto" w:sz="6" w:space="0"/>
              <w:bottom w:val="single" w:color="auto" w:sz="4" w:space="0"/>
              <w:right w:val="single" w:color="auto" w:sz="6" w:space="0"/>
            </w:tcBorders>
            <w:shd w:val="clear" w:color="auto" w:fill="auto"/>
            <w:vAlign w:val="center"/>
          </w:tcPr>
          <w:p>
            <w:pPr>
              <w:spacing w:line="360" w:lineRule="auto"/>
              <w:rPr>
                <w:rFonts w:ascii="宋体" w:hAnsi="宋体" w:eastAsia="宋体"/>
                <w:color w:val="auto"/>
                <w:sz w:val="21"/>
                <w:szCs w:val="21"/>
              </w:rPr>
            </w:pPr>
            <w:r>
              <w:rPr>
                <w:rFonts w:hint="eastAsia" w:ascii="宋体" w:hAnsi="宋体" w:eastAsia="宋体"/>
                <w:color w:val="auto"/>
                <w:spacing w:val="10"/>
                <w:sz w:val="21"/>
                <w:szCs w:val="21"/>
              </w:rPr>
              <w:t>危险性类别</w:t>
            </w:r>
          </w:p>
        </w:tc>
        <w:tc>
          <w:tcPr>
            <w:tcW w:w="7676" w:type="dxa"/>
            <w:gridSpan w:val="15"/>
            <w:tcBorders>
              <w:top w:val="single" w:color="auto" w:sz="4" w:space="0"/>
              <w:left w:val="single" w:color="auto" w:sz="6" w:space="0"/>
              <w:bottom w:val="single" w:color="auto" w:sz="4" w:space="0"/>
              <w:right w:val="single" w:color="auto" w:sz="6" w:space="0"/>
            </w:tcBorders>
            <w:shd w:val="clear" w:color="auto" w:fill="auto"/>
            <w:vAlign w:val="center"/>
          </w:tcPr>
          <w:p>
            <w:pPr>
              <w:spacing w:line="360" w:lineRule="auto"/>
              <w:rPr>
                <w:rFonts w:ascii="宋体" w:hAnsi="宋体" w:eastAsia="宋体"/>
                <w:color w:val="auto"/>
                <w:sz w:val="21"/>
                <w:szCs w:val="21"/>
              </w:rPr>
            </w:pPr>
            <w:r>
              <w:rPr>
                <w:rFonts w:ascii="宋体" w:hAnsi="宋体" w:eastAsia="宋体" w:cs="宋体"/>
                <w:color w:val="auto"/>
                <w:sz w:val="21"/>
                <w:szCs w:val="21"/>
              </w:rPr>
              <w:t>易燃液体,类别3</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555" w:hRule="atLeast"/>
          <w:jc w:val="center"/>
        </w:trPr>
        <w:tc>
          <w:tcPr>
            <w:tcW w:w="554" w:type="dxa"/>
            <w:vMerge w:val="restart"/>
            <w:tcBorders>
              <w:top w:val="single" w:color="auto" w:sz="6" w:space="0"/>
              <w:left w:val="single" w:color="auto" w:sz="6" w:space="0"/>
              <w:bottom w:val="single" w:color="auto" w:sz="6" w:space="0"/>
              <w:right w:val="single" w:color="auto" w:sz="6" w:space="0"/>
            </w:tcBorders>
            <w:shd w:val="clear" w:color="auto" w:fill="auto"/>
            <w:vAlign w:val="center"/>
          </w:tcPr>
          <w:p>
            <w:pPr>
              <w:spacing w:line="360" w:lineRule="auto"/>
              <w:rPr>
                <w:rFonts w:ascii="宋体" w:hAnsi="宋体" w:eastAsia="宋体"/>
                <w:color w:val="auto"/>
                <w:sz w:val="21"/>
                <w:szCs w:val="21"/>
              </w:rPr>
            </w:pPr>
            <w:r>
              <w:rPr>
                <w:rFonts w:hint="eastAsia" w:ascii="宋体" w:hAnsi="宋体" w:eastAsia="宋体"/>
                <w:color w:val="auto"/>
                <w:sz w:val="21"/>
                <w:szCs w:val="21"/>
              </w:rPr>
              <w:t>毒</w:t>
            </w:r>
          </w:p>
          <w:p>
            <w:pPr>
              <w:spacing w:line="360" w:lineRule="auto"/>
              <w:rPr>
                <w:rFonts w:ascii="宋体" w:hAnsi="宋体" w:eastAsia="宋体"/>
                <w:color w:val="auto"/>
                <w:sz w:val="21"/>
                <w:szCs w:val="21"/>
              </w:rPr>
            </w:pPr>
            <w:r>
              <w:rPr>
                <w:rFonts w:hint="eastAsia" w:ascii="宋体" w:hAnsi="宋体" w:eastAsia="宋体"/>
                <w:color w:val="auto"/>
                <w:sz w:val="21"/>
                <w:szCs w:val="21"/>
              </w:rPr>
              <w:t>性</w:t>
            </w:r>
          </w:p>
          <w:p>
            <w:pPr>
              <w:spacing w:line="360" w:lineRule="auto"/>
              <w:rPr>
                <w:rFonts w:ascii="宋体" w:hAnsi="宋体" w:eastAsia="宋体"/>
                <w:color w:val="auto"/>
                <w:sz w:val="21"/>
                <w:szCs w:val="21"/>
              </w:rPr>
            </w:pPr>
            <w:r>
              <w:rPr>
                <w:rFonts w:hint="eastAsia" w:ascii="宋体" w:hAnsi="宋体" w:eastAsia="宋体"/>
                <w:color w:val="auto"/>
                <w:sz w:val="21"/>
                <w:szCs w:val="21"/>
              </w:rPr>
              <w:t>及</w:t>
            </w:r>
          </w:p>
          <w:p>
            <w:pPr>
              <w:spacing w:line="360" w:lineRule="auto"/>
              <w:rPr>
                <w:rFonts w:ascii="宋体" w:hAnsi="宋体" w:eastAsia="宋体"/>
                <w:color w:val="auto"/>
                <w:sz w:val="21"/>
                <w:szCs w:val="21"/>
              </w:rPr>
            </w:pPr>
            <w:r>
              <w:rPr>
                <w:rFonts w:hint="eastAsia" w:ascii="宋体" w:hAnsi="宋体" w:eastAsia="宋体"/>
                <w:color w:val="auto"/>
                <w:sz w:val="21"/>
                <w:szCs w:val="21"/>
              </w:rPr>
              <w:t>健</w:t>
            </w:r>
          </w:p>
          <w:p>
            <w:pPr>
              <w:spacing w:line="360" w:lineRule="auto"/>
              <w:rPr>
                <w:rFonts w:ascii="宋体" w:hAnsi="宋体" w:eastAsia="宋体"/>
                <w:color w:val="auto"/>
                <w:sz w:val="21"/>
                <w:szCs w:val="21"/>
              </w:rPr>
            </w:pPr>
            <w:r>
              <w:rPr>
                <w:rFonts w:hint="eastAsia" w:ascii="宋体" w:hAnsi="宋体" w:eastAsia="宋体"/>
                <w:color w:val="auto"/>
                <w:sz w:val="21"/>
                <w:szCs w:val="21"/>
              </w:rPr>
              <w:t>康</w:t>
            </w:r>
          </w:p>
          <w:p>
            <w:pPr>
              <w:spacing w:line="360" w:lineRule="auto"/>
              <w:rPr>
                <w:rFonts w:ascii="宋体" w:hAnsi="宋体" w:eastAsia="宋体"/>
                <w:color w:val="auto"/>
                <w:sz w:val="21"/>
                <w:szCs w:val="21"/>
              </w:rPr>
            </w:pPr>
            <w:r>
              <w:rPr>
                <w:rFonts w:hint="eastAsia" w:ascii="宋体" w:hAnsi="宋体" w:eastAsia="宋体"/>
                <w:color w:val="auto"/>
                <w:sz w:val="21"/>
                <w:szCs w:val="21"/>
              </w:rPr>
              <w:t>危</w:t>
            </w:r>
          </w:p>
          <w:p>
            <w:pPr>
              <w:spacing w:line="360" w:lineRule="auto"/>
              <w:rPr>
                <w:rFonts w:ascii="宋体" w:hAnsi="宋体" w:eastAsia="宋体"/>
                <w:color w:val="auto"/>
                <w:sz w:val="21"/>
                <w:szCs w:val="21"/>
              </w:rPr>
            </w:pPr>
            <w:r>
              <w:rPr>
                <w:rFonts w:hint="eastAsia" w:ascii="宋体" w:hAnsi="宋体" w:eastAsia="宋体"/>
                <w:color w:val="auto"/>
                <w:sz w:val="21"/>
                <w:szCs w:val="21"/>
              </w:rPr>
              <w:t>害</w:t>
            </w:r>
          </w:p>
        </w:tc>
        <w:tc>
          <w:tcPr>
            <w:tcW w:w="1409" w:type="dxa"/>
            <w:tcBorders>
              <w:top w:val="single" w:color="auto" w:sz="4" w:space="0"/>
              <w:left w:val="single" w:color="auto" w:sz="6" w:space="0"/>
              <w:right w:val="single" w:color="auto" w:sz="6" w:space="0"/>
            </w:tcBorders>
            <w:shd w:val="clear" w:color="auto" w:fill="auto"/>
            <w:vAlign w:val="center"/>
          </w:tcPr>
          <w:p>
            <w:pPr>
              <w:spacing w:line="360" w:lineRule="auto"/>
              <w:rPr>
                <w:rFonts w:ascii="宋体" w:hAnsi="宋体" w:eastAsia="宋体"/>
                <w:color w:val="auto"/>
                <w:sz w:val="21"/>
                <w:szCs w:val="21"/>
              </w:rPr>
            </w:pPr>
            <w:r>
              <w:rPr>
                <w:rFonts w:hint="eastAsia" w:ascii="宋体" w:hAnsi="宋体" w:eastAsia="宋体"/>
                <w:color w:val="auto"/>
                <w:sz w:val="21"/>
                <w:szCs w:val="21"/>
              </w:rPr>
              <w:t>毒    性</w:t>
            </w:r>
          </w:p>
        </w:tc>
        <w:tc>
          <w:tcPr>
            <w:tcW w:w="7676" w:type="dxa"/>
            <w:gridSpan w:val="15"/>
            <w:tcBorders>
              <w:top w:val="single" w:color="auto" w:sz="4" w:space="0"/>
              <w:left w:val="single" w:color="auto" w:sz="6" w:space="0"/>
              <w:right w:val="single" w:color="auto" w:sz="6" w:space="0"/>
            </w:tcBorders>
            <w:shd w:val="clear" w:color="auto" w:fill="auto"/>
            <w:vAlign w:val="center"/>
          </w:tcPr>
          <w:p>
            <w:pPr>
              <w:widowControl/>
              <w:adjustRightInd w:val="0"/>
              <w:snapToGrid w:val="0"/>
              <w:spacing w:line="360" w:lineRule="auto"/>
              <w:rPr>
                <w:rFonts w:ascii="宋体" w:hAnsi="宋体" w:eastAsia="宋体"/>
                <w:color w:val="auto"/>
                <w:sz w:val="21"/>
                <w:szCs w:val="21"/>
              </w:rPr>
            </w:pPr>
            <w:r>
              <w:rPr>
                <w:rFonts w:hint="eastAsia" w:ascii="宋体" w:hAnsi="宋体" w:eastAsia="宋体"/>
                <w:color w:val="auto"/>
                <w:sz w:val="21"/>
                <w:szCs w:val="21"/>
              </w:rPr>
              <w:t>属低毒类</w:t>
            </w:r>
          </w:p>
          <w:p>
            <w:pPr>
              <w:widowControl/>
              <w:adjustRightInd w:val="0"/>
              <w:snapToGrid w:val="0"/>
              <w:spacing w:line="360" w:lineRule="auto"/>
              <w:rPr>
                <w:rFonts w:ascii="宋体" w:hAnsi="宋体" w:eastAsia="宋体"/>
                <w:color w:val="auto"/>
                <w:sz w:val="21"/>
                <w:szCs w:val="21"/>
              </w:rPr>
            </w:pPr>
            <w:r>
              <w:rPr>
                <w:rFonts w:hint="eastAsia" w:ascii="宋体" w:hAnsi="宋体" w:eastAsia="宋体"/>
                <w:color w:val="auto"/>
                <w:sz w:val="21"/>
                <w:szCs w:val="21"/>
              </w:rPr>
              <w:t>LD</w:t>
            </w:r>
            <w:r>
              <w:rPr>
                <w:rFonts w:hint="eastAsia" w:ascii="宋体" w:hAnsi="宋体" w:eastAsia="宋体"/>
                <w:color w:val="auto"/>
                <w:sz w:val="21"/>
                <w:szCs w:val="21"/>
                <w:vertAlign w:val="subscript"/>
              </w:rPr>
              <w:t>50</w:t>
            </w:r>
            <w:r>
              <w:rPr>
                <w:rFonts w:hint="eastAsia" w:ascii="宋体" w:hAnsi="宋体" w:eastAsia="宋体"/>
                <w:color w:val="auto"/>
                <w:sz w:val="21"/>
                <w:szCs w:val="21"/>
              </w:rPr>
              <w:t>：1535mg／kg(大鼠经口)；948mg／kg(兔经皮)</w:t>
            </w:r>
          </w:p>
          <w:p>
            <w:pPr>
              <w:widowControl/>
              <w:adjustRightInd w:val="0"/>
              <w:snapToGrid w:val="0"/>
              <w:spacing w:line="360" w:lineRule="auto"/>
              <w:rPr>
                <w:rFonts w:ascii="宋体" w:hAnsi="宋体" w:eastAsia="宋体"/>
                <w:color w:val="auto"/>
                <w:sz w:val="21"/>
                <w:szCs w:val="21"/>
              </w:rPr>
            </w:pPr>
            <w:r>
              <w:rPr>
                <w:rFonts w:hint="eastAsia" w:ascii="宋体" w:hAnsi="宋体" w:eastAsia="宋体"/>
                <w:color w:val="auto"/>
                <w:sz w:val="21"/>
                <w:szCs w:val="21"/>
              </w:rPr>
              <w:t>LC</w:t>
            </w:r>
            <w:r>
              <w:rPr>
                <w:rFonts w:hint="eastAsia" w:ascii="宋体" w:hAnsi="宋体" w:eastAsia="宋体"/>
                <w:color w:val="auto"/>
                <w:sz w:val="21"/>
                <w:szCs w:val="21"/>
                <w:vertAlign w:val="subscript"/>
              </w:rPr>
              <w:t>50</w:t>
            </w:r>
            <w:r>
              <w:rPr>
                <w:rFonts w:hint="eastAsia" w:ascii="宋体" w:hAnsi="宋体" w:eastAsia="宋体"/>
                <w:color w:val="auto"/>
                <w:sz w:val="21"/>
                <w:szCs w:val="21"/>
              </w:rPr>
              <w:t>：8000ppm 4小时(大鼠吸入)</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603" w:hRule="atLeast"/>
          <w:jc w:val="center"/>
        </w:trPr>
        <w:tc>
          <w:tcPr>
            <w:tcW w:w="554" w:type="dxa"/>
            <w:vMerge w:val="continue"/>
            <w:tcBorders>
              <w:top w:val="single" w:color="auto" w:sz="6" w:space="0"/>
              <w:left w:val="single" w:color="auto" w:sz="6" w:space="0"/>
              <w:bottom w:val="single" w:color="auto" w:sz="6" w:space="0"/>
              <w:right w:val="single" w:color="auto" w:sz="6" w:space="0"/>
            </w:tcBorders>
            <w:shd w:val="clear" w:color="auto" w:fill="auto"/>
            <w:vAlign w:val="center"/>
          </w:tcPr>
          <w:p>
            <w:pPr>
              <w:widowControl/>
              <w:spacing w:line="360" w:lineRule="auto"/>
              <w:rPr>
                <w:rFonts w:ascii="宋体" w:hAnsi="宋体" w:eastAsia="宋体"/>
                <w:color w:val="auto"/>
                <w:sz w:val="21"/>
                <w:szCs w:val="21"/>
              </w:rPr>
            </w:pPr>
          </w:p>
        </w:tc>
        <w:tc>
          <w:tcPr>
            <w:tcW w:w="1409" w:type="dxa"/>
            <w:tcBorders>
              <w:top w:val="single" w:color="auto" w:sz="6" w:space="0"/>
              <w:left w:val="single" w:color="auto" w:sz="6" w:space="0"/>
              <w:bottom w:val="single" w:color="auto" w:sz="4" w:space="0"/>
              <w:right w:val="single" w:color="auto" w:sz="6" w:space="0"/>
            </w:tcBorders>
            <w:shd w:val="clear" w:color="auto" w:fill="auto"/>
            <w:vAlign w:val="center"/>
          </w:tcPr>
          <w:p>
            <w:pPr>
              <w:spacing w:line="360" w:lineRule="auto"/>
              <w:rPr>
                <w:rFonts w:ascii="宋体" w:hAnsi="宋体" w:eastAsia="宋体"/>
                <w:color w:val="auto"/>
                <w:sz w:val="21"/>
                <w:szCs w:val="21"/>
              </w:rPr>
            </w:pPr>
            <w:r>
              <w:rPr>
                <w:rFonts w:hint="eastAsia" w:ascii="宋体" w:hAnsi="宋体" w:eastAsia="宋体"/>
                <w:color w:val="auto"/>
                <w:sz w:val="21"/>
                <w:szCs w:val="21"/>
              </w:rPr>
              <w:t>健康危害</w:t>
            </w:r>
          </w:p>
        </w:tc>
        <w:tc>
          <w:tcPr>
            <w:tcW w:w="7676" w:type="dxa"/>
            <w:gridSpan w:val="15"/>
            <w:tcBorders>
              <w:top w:val="single" w:color="auto" w:sz="6" w:space="0"/>
              <w:left w:val="single" w:color="auto" w:sz="6" w:space="0"/>
              <w:bottom w:val="single" w:color="auto" w:sz="4" w:space="0"/>
              <w:right w:val="single" w:color="auto" w:sz="6" w:space="0"/>
            </w:tcBorders>
            <w:shd w:val="clear" w:color="auto" w:fill="auto"/>
            <w:vAlign w:val="center"/>
          </w:tcPr>
          <w:p>
            <w:pPr>
              <w:spacing w:line="360" w:lineRule="auto"/>
              <w:rPr>
                <w:rFonts w:ascii="宋体" w:hAnsi="宋体" w:eastAsia="宋体"/>
                <w:color w:val="auto"/>
                <w:sz w:val="21"/>
                <w:szCs w:val="21"/>
              </w:rPr>
            </w:pPr>
            <w:r>
              <w:rPr>
                <w:rFonts w:hint="eastAsia" w:ascii="宋体" w:hAnsi="宋体" w:eastAsia="宋体"/>
                <w:color w:val="auto"/>
                <w:sz w:val="21"/>
                <w:szCs w:val="21"/>
              </w:rPr>
              <w:t>气味强烈，对眼睛、皮肤、粘膜和上呼吸道有明显的刺激作用。本品进入身体后的</w:t>
            </w:r>
          </w:p>
          <w:p>
            <w:pPr>
              <w:spacing w:line="360" w:lineRule="auto"/>
              <w:rPr>
                <w:rFonts w:ascii="宋体" w:hAnsi="宋体" w:eastAsia="宋体"/>
                <w:color w:val="auto"/>
                <w:sz w:val="21"/>
                <w:szCs w:val="21"/>
              </w:rPr>
            </w:pPr>
            <w:r>
              <w:rPr>
                <w:rFonts w:hint="eastAsia" w:ascii="宋体" w:hAnsi="宋体" w:eastAsia="宋体"/>
                <w:color w:val="auto"/>
                <w:sz w:val="21"/>
                <w:szCs w:val="21"/>
              </w:rPr>
              <w:t>主要作用是刺激和麻醉作用，可引起呼吸衰竭。因气味强烈，引人注意。尚无急、</w:t>
            </w:r>
          </w:p>
          <w:p>
            <w:pPr>
              <w:spacing w:line="360" w:lineRule="auto"/>
              <w:rPr>
                <w:rFonts w:ascii="宋体" w:hAnsi="宋体" w:eastAsia="宋体"/>
                <w:color w:val="auto"/>
                <w:sz w:val="21"/>
                <w:szCs w:val="21"/>
              </w:rPr>
            </w:pPr>
            <w:r>
              <w:rPr>
                <w:rFonts w:hint="eastAsia" w:ascii="宋体" w:hAnsi="宋体" w:eastAsia="宋体"/>
                <w:color w:val="auto"/>
                <w:sz w:val="21"/>
                <w:szCs w:val="21"/>
              </w:rPr>
              <w:t>慢性中毒的报告。</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1075" w:hRule="atLeast"/>
          <w:jc w:val="center"/>
        </w:trPr>
        <w:tc>
          <w:tcPr>
            <w:tcW w:w="554" w:type="dxa"/>
            <w:vMerge w:val="continue"/>
            <w:tcBorders>
              <w:top w:val="single" w:color="auto" w:sz="6" w:space="0"/>
              <w:left w:val="single" w:color="auto" w:sz="6" w:space="0"/>
              <w:bottom w:val="single" w:color="auto" w:sz="6" w:space="0"/>
              <w:right w:val="single" w:color="auto" w:sz="6" w:space="0"/>
            </w:tcBorders>
            <w:shd w:val="clear" w:color="auto" w:fill="auto"/>
            <w:vAlign w:val="center"/>
          </w:tcPr>
          <w:p>
            <w:pPr>
              <w:widowControl/>
              <w:spacing w:line="360" w:lineRule="auto"/>
              <w:rPr>
                <w:rFonts w:ascii="宋体" w:hAnsi="宋体" w:eastAsia="宋体"/>
                <w:color w:val="auto"/>
                <w:sz w:val="21"/>
                <w:szCs w:val="21"/>
              </w:rPr>
            </w:pPr>
          </w:p>
        </w:tc>
        <w:tc>
          <w:tcPr>
            <w:tcW w:w="1409" w:type="dxa"/>
            <w:tcBorders>
              <w:top w:val="single" w:color="auto" w:sz="4" w:space="0"/>
              <w:left w:val="single" w:color="auto" w:sz="6" w:space="0"/>
              <w:bottom w:val="single" w:color="auto" w:sz="6" w:space="0"/>
              <w:right w:val="single" w:color="auto" w:sz="6" w:space="0"/>
            </w:tcBorders>
            <w:shd w:val="clear" w:color="auto" w:fill="auto"/>
            <w:vAlign w:val="center"/>
          </w:tcPr>
          <w:p>
            <w:pPr>
              <w:spacing w:line="360" w:lineRule="auto"/>
              <w:rPr>
                <w:rFonts w:ascii="宋体" w:hAnsi="宋体" w:eastAsia="宋体"/>
                <w:color w:val="auto"/>
                <w:sz w:val="21"/>
                <w:szCs w:val="21"/>
              </w:rPr>
            </w:pPr>
            <w:r>
              <w:rPr>
                <w:rFonts w:hint="eastAsia" w:ascii="宋体" w:hAnsi="宋体" w:eastAsia="宋体"/>
                <w:color w:val="auto"/>
                <w:sz w:val="21"/>
                <w:szCs w:val="21"/>
              </w:rPr>
              <w:t>急救方法</w:t>
            </w:r>
          </w:p>
        </w:tc>
        <w:tc>
          <w:tcPr>
            <w:tcW w:w="7676" w:type="dxa"/>
            <w:gridSpan w:val="15"/>
            <w:tcBorders>
              <w:top w:val="single" w:color="auto" w:sz="4" w:space="0"/>
              <w:left w:val="single" w:color="auto" w:sz="6" w:space="0"/>
              <w:bottom w:val="single" w:color="auto" w:sz="6" w:space="0"/>
              <w:right w:val="single" w:color="auto" w:sz="6" w:space="0"/>
            </w:tcBorders>
            <w:shd w:val="clear" w:color="auto" w:fill="auto"/>
            <w:vAlign w:val="center"/>
          </w:tcPr>
          <w:p>
            <w:pPr>
              <w:widowControl/>
              <w:adjustRightInd w:val="0"/>
              <w:snapToGrid w:val="0"/>
              <w:spacing w:line="360" w:lineRule="auto"/>
              <w:rPr>
                <w:rFonts w:ascii="宋体" w:hAnsi="宋体" w:eastAsia="宋体"/>
                <w:color w:val="auto"/>
                <w:sz w:val="21"/>
                <w:szCs w:val="21"/>
              </w:rPr>
            </w:pPr>
            <w:r>
              <w:rPr>
                <w:rFonts w:hint="eastAsia" w:ascii="宋体" w:hAnsi="宋体" w:eastAsia="宋体"/>
                <w:color w:val="auto"/>
                <w:sz w:val="21"/>
                <w:szCs w:val="21"/>
              </w:rPr>
              <w:t>皮肤接触：脱去污染的衣着，用流动清水冲洗。注意患者保暖并且保持安静。确保</w:t>
            </w:r>
          </w:p>
          <w:p>
            <w:pPr>
              <w:widowControl/>
              <w:adjustRightInd w:val="0"/>
              <w:snapToGrid w:val="0"/>
              <w:spacing w:line="360" w:lineRule="auto"/>
              <w:rPr>
                <w:rFonts w:ascii="宋体" w:hAnsi="宋体" w:eastAsia="宋体"/>
                <w:color w:val="auto"/>
                <w:sz w:val="21"/>
                <w:szCs w:val="21"/>
              </w:rPr>
            </w:pPr>
            <w:r>
              <w:rPr>
                <w:rFonts w:hint="eastAsia" w:ascii="宋体" w:hAnsi="宋体" w:eastAsia="宋体"/>
                <w:color w:val="auto"/>
                <w:sz w:val="21"/>
                <w:szCs w:val="21"/>
              </w:rPr>
              <w:t>医务人员了解该物质相关的个体防护知识，注意自身防护。眼睛接触：立即提起眼</w:t>
            </w:r>
          </w:p>
          <w:p>
            <w:pPr>
              <w:widowControl/>
              <w:adjustRightInd w:val="0"/>
              <w:snapToGrid w:val="0"/>
              <w:spacing w:line="360" w:lineRule="auto"/>
              <w:rPr>
                <w:rFonts w:ascii="宋体" w:hAnsi="宋体" w:eastAsia="宋体"/>
                <w:color w:val="auto"/>
                <w:sz w:val="21"/>
                <w:szCs w:val="21"/>
              </w:rPr>
            </w:pPr>
            <w:r>
              <w:rPr>
                <w:rFonts w:hint="eastAsia" w:ascii="宋体" w:hAnsi="宋体" w:eastAsia="宋体"/>
                <w:color w:val="auto"/>
                <w:sz w:val="21"/>
                <w:szCs w:val="21"/>
              </w:rPr>
              <w:t>睑，用流动清水冲洗。吸入：迅速脱离现场至空气新鲜处。保持呼吸道通畅。呼吸</w:t>
            </w:r>
          </w:p>
          <w:p>
            <w:pPr>
              <w:widowControl/>
              <w:adjustRightInd w:val="0"/>
              <w:snapToGrid w:val="0"/>
              <w:spacing w:line="360" w:lineRule="auto"/>
              <w:rPr>
                <w:rFonts w:ascii="宋体" w:hAnsi="宋体" w:eastAsia="宋体"/>
                <w:color w:val="auto"/>
                <w:sz w:val="21"/>
                <w:szCs w:val="21"/>
              </w:rPr>
            </w:pPr>
            <w:r>
              <w:rPr>
                <w:rFonts w:hint="eastAsia" w:ascii="宋体" w:hAnsi="宋体" w:eastAsia="宋体"/>
                <w:color w:val="auto"/>
                <w:sz w:val="21"/>
                <w:szCs w:val="21"/>
              </w:rPr>
              <w:t>困难时给输氧。呼吸停止时，立即进行人工呼吸。就医。   食入：误服者给饮大</w:t>
            </w:r>
          </w:p>
          <w:p>
            <w:pPr>
              <w:widowControl/>
              <w:adjustRightInd w:val="0"/>
              <w:snapToGrid w:val="0"/>
              <w:spacing w:line="360" w:lineRule="auto"/>
              <w:rPr>
                <w:rFonts w:ascii="宋体" w:hAnsi="宋体" w:eastAsia="宋体"/>
                <w:color w:val="auto"/>
                <w:sz w:val="21"/>
                <w:szCs w:val="21"/>
              </w:rPr>
            </w:pPr>
            <w:r>
              <w:rPr>
                <w:rFonts w:hint="eastAsia" w:ascii="宋体" w:hAnsi="宋体" w:eastAsia="宋体"/>
                <w:color w:val="auto"/>
                <w:sz w:val="21"/>
                <w:szCs w:val="21"/>
              </w:rPr>
              <w:t>量温水，催吐；就医。</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1231" w:hRule="atLeast"/>
          <w:jc w:val="center"/>
        </w:trPr>
        <w:tc>
          <w:tcPr>
            <w:tcW w:w="554" w:type="dxa"/>
            <w:vMerge w:val="continue"/>
            <w:tcBorders>
              <w:top w:val="single" w:color="auto" w:sz="6" w:space="0"/>
              <w:left w:val="single" w:color="auto" w:sz="6" w:space="0"/>
              <w:bottom w:val="single" w:color="auto" w:sz="6" w:space="0"/>
              <w:right w:val="single" w:color="auto" w:sz="6" w:space="0"/>
            </w:tcBorders>
            <w:shd w:val="clear" w:color="auto" w:fill="auto"/>
            <w:vAlign w:val="center"/>
          </w:tcPr>
          <w:p>
            <w:pPr>
              <w:widowControl/>
              <w:spacing w:line="360" w:lineRule="auto"/>
              <w:rPr>
                <w:rFonts w:ascii="宋体" w:hAnsi="宋体" w:eastAsia="宋体"/>
                <w:color w:val="auto"/>
                <w:sz w:val="21"/>
                <w:szCs w:val="21"/>
              </w:rPr>
            </w:pPr>
          </w:p>
        </w:tc>
        <w:tc>
          <w:tcPr>
            <w:tcW w:w="1409" w:type="dxa"/>
            <w:tcBorders>
              <w:top w:val="single" w:color="auto" w:sz="4" w:space="0"/>
              <w:left w:val="single" w:color="auto" w:sz="6" w:space="0"/>
              <w:bottom w:val="single" w:color="auto" w:sz="6" w:space="0"/>
              <w:right w:val="single" w:color="auto" w:sz="6" w:space="0"/>
            </w:tcBorders>
            <w:shd w:val="clear" w:color="auto" w:fill="auto"/>
            <w:vAlign w:val="center"/>
          </w:tcPr>
          <w:p>
            <w:pPr>
              <w:widowControl/>
              <w:adjustRightInd w:val="0"/>
              <w:spacing w:line="360" w:lineRule="auto"/>
              <w:rPr>
                <w:rFonts w:ascii="宋体" w:hAnsi="宋体" w:eastAsia="宋体"/>
                <w:color w:val="auto"/>
                <w:sz w:val="21"/>
                <w:szCs w:val="21"/>
              </w:rPr>
            </w:pPr>
            <w:r>
              <w:rPr>
                <w:rFonts w:hint="eastAsia" w:ascii="宋体" w:hAnsi="宋体" w:eastAsia="宋体"/>
                <w:bCs/>
                <w:color w:val="auto"/>
                <w:sz w:val="21"/>
                <w:szCs w:val="21"/>
              </w:rPr>
              <w:t>防护措施</w:t>
            </w:r>
          </w:p>
        </w:tc>
        <w:tc>
          <w:tcPr>
            <w:tcW w:w="7676" w:type="dxa"/>
            <w:gridSpan w:val="15"/>
            <w:tcBorders>
              <w:top w:val="single" w:color="auto" w:sz="4" w:space="0"/>
              <w:left w:val="single" w:color="auto" w:sz="6" w:space="0"/>
              <w:bottom w:val="single" w:color="auto" w:sz="6" w:space="0"/>
              <w:right w:val="single" w:color="auto" w:sz="6" w:space="0"/>
            </w:tcBorders>
            <w:shd w:val="clear" w:color="auto" w:fill="auto"/>
            <w:vAlign w:val="center"/>
          </w:tcPr>
          <w:p>
            <w:pPr>
              <w:widowControl/>
              <w:adjustRightInd w:val="0"/>
              <w:snapToGrid w:val="0"/>
              <w:spacing w:line="360" w:lineRule="auto"/>
              <w:rPr>
                <w:rFonts w:ascii="宋体" w:hAnsi="宋体" w:eastAsia="宋体"/>
                <w:color w:val="auto"/>
                <w:sz w:val="21"/>
                <w:szCs w:val="21"/>
              </w:rPr>
            </w:pPr>
            <w:r>
              <w:rPr>
                <w:rFonts w:hint="eastAsia" w:ascii="宋体" w:hAnsi="宋体" w:eastAsia="宋体"/>
                <w:color w:val="auto"/>
                <w:sz w:val="21"/>
                <w:szCs w:val="21"/>
              </w:rPr>
              <w:t>工程控制：密闭操作，注意通风。呼吸系统防护：空气中浓度超标时，佩带防毒口</w:t>
            </w:r>
          </w:p>
          <w:p>
            <w:pPr>
              <w:widowControl/>
              <w:adjustRightInd w:val="0"/>
              <w:snapToGrid w:val="0"/>
              <w:spacing w:line="360" w:lineRule="auto"/>
              <w:rPr>
                <w:rFonts w:ascii="宋体" w:hAnsi="宋体" w:eastAsia="宋体"/>
                <w:color w:val="auto"/>
                <w:sz w:val="21"/>
                <w:szCs w:val="21"/>
              </w:rPr>
            </w:pPr>
            <w:r>
              <w:rPr>
                <w:rFonts w:hint="eastAsia" w:ascii="宋体" w:hAnsi="宋体" w:eastAsia="宋体"/>
                <w:color w:val="auto"/>
                <w:sz w:val="21"/>
                <w:szCs w:val="21"/>
              </w:rPr>
              <w:t>罩。连续供气式呼吸器、动力驱动装有机蒸气滤毒盒的空气净化呼吸器。700ppm：</w:t>
            </w:r>
          </w:p>
          <w:p>
            <w:pPr>
              <w:widowControl/>
              <w:adjustRightInd w:val="0"/>
              <w:snapToGrid w:val="0"/>
              <w:spacing w:line="360" w:lineRule="auto"/>
              <w:rPr>
                <w:rFonts w:ascii="宋体" w:hAnsi="宋体" w:eastAsia="宋体"/>
                <w:color w:val="auto"/>
                <w:sz w:val="21"/>
                <w:szCs w:val="21"/>
              </w:rPr>
            </w:pPr>
            <w:r>
              <w:rPr>
                <w:rFonts w:hint="eastAsia" w:ascii="宋体" w:hAnsi="宋体" w:eastAsia="宋体"/>
                <w:color w:val="auto"/>
                <w:sz w:val="21"/>
                <w:szCs w:val="21"/>
              </w:rPr>
              <w:t>装药剂盒防有机蒸气的全面罩呼吸器、动力驱动装有机蒸气滤毒盒面罩紧贴面部的</w:t>
            </w:r>
          </w:p>
          <w:p>
            <w:pPr>
              <w:widowControl/>
              <w:adjustRightInd w:val="0"/>
              <w:snapToGrid w:val="0"/>
              <w:spacing w:line="360" w:lineRule="auto"/>
              <w:rPr>
                <w:rFonts w:ascii="宋体" w:hAnsi="宋体" w:eastAsia="宋体"/>
                <w:color w:val="auto"/>
                <w:sz w:val="21"/>
                <w:szCs w:val="21"/>
              </w:rPr>
            </w:pPr>
            <w:r>
              <w:rPr>
                <w:rFonts w:hint="eastAsia" w:ascii="宋体" w:hAnsi="宋体" w:eastAsia="宋体"/>
                <w:color w:val="auto"/>
                <w:sz w:val="21"/>
                <w:szCs w:val="21"/>
              </w:rPr>
              <w:t>空气净化呼吸器、自携式呼吸器、全面罩呼吸器。，或处于立即危及生命或健康的</w:t>
            </w:r>
          </w:p>
          <w:p>
            <w:pPr>
              <w:widowControl/>
              <w:adjustRightInd w:val="0"/>
              <w:snapToGrid w:val="0"/>
              <w:spacing w:line="360" w:lineRule="auto"/>
              <w:rPr>
                <w:rFonts w:ascii="宋体" w:hAnsi="宋体" w:eastAsia="宋体"/>
                <w:color w:val="auto"/>
                <w:sz w:val="21"/>
                <w:szCs w:val="21"/>
              </w:rPr>
            </w:pPr>
            <w:r>
              <w:rPr>
                <w:rFonts w:hint="eastAsia" w:ascii="宋体" w:hAnsi="宋体" w:eastAsia="宋体"/>
                <w:color w:val="auto"/>
                <w:sz w:val="21"/>
                <w:szCs w:val="21"/>
              </w:rPr>
              <w:t>状况：逃生：装有机蒸气滤毒盒的空气净化式全面罩呼吸器(防毒面具)、自携式逃</w:t>
            </w:r>
          </w:p>
          <w:p>
            <w:pPr>
              <w:widowControl/>
              <w:adjustRightInd w:val="0"/>
              <w:snapToGrid w:val="0"/>
              <w:spacing w:line="360" w:lineRule="auto"/>
              <w:rPr>
                <w:rFonts w:ascii="宋体" w:hAnsi="宋体" w:eastAsia="宋体"/>
                <w:color w:val="auto"/>
                <w:sz w:val="21"/>
                <w:szCs w:val="21"/>
              </w:rPr>
            </w:pPr>
            <w:r>
              <w:rPr>
                <w:rFonts w:hint="eastAsia" w:ascii="宋体" w:hAnsi="宋体" w:eastAsia="宋体"/>
                <w:color w:val="auto"/>
                <w:sz w:val="21"/>
                <w:szCs w:val="21"/>
              </w:rPr>
              <w:t>生呼吸器。眼睛防护：一般不需特殊防护，高浓度接触时可戴化学安全防护眼镜。</w:t>
            </w:r>
          </w:p>
          <w:p>
            <w:pPr>
              <w:widowControl/>
              <w:adjustRightInd w:val="0"/>
              <w:snapToGrid w:val="0"/>
              <w:spacing w:line="360" w:lineRule="auto"/>
              <w:rPr>
                <w:rFonts w:ascii="宋体" w:hAnsi="宋体" w:eastAsia="宋体"/>
                <w:color w:val="auto"/>
                <w:sz w:val="21"/>
                <w:szCs w:val="21"/>
              </w:rPr>
            </w:pPr>
            <w:r>
              <w:rPr>
                <w:rFonts w:hint="eastAsia" w:ascii="宋体" w:hAnsi="宋体" w:eastAsia="宋体"/>
                <w:color w:val="auto"/>
                <w:sz w:val="21"/>
                <w:szCs w:val="21"/>
              </w:rPr>
              <w:t>防护服：穿相应的防护服。手防护：高浓度接触时，戴防护手套。其他：工作现场</w:t>
            </w:r>
          </w:p>
          <w:p>
            <w:pPr>
              <w:widowControl/>
              <w:adjustRightInd w:val="0"/>
              <w:snapToGrid w:val="0"/>
              <w:spacing w:line="360" w:lineRule="auto"/>
              <w:rPr>
                <w:rFonts w:ascii="宋体" w:hAnsi="宋体" w:eastAsia="宋体"/>
                <w:color w:val="auto"/>
                <w:sz w:val="21"/>
                <w:szCs w:val="21"/>
              </w:rPr>
            </w:pPr>
            <w:r>
              <w:rPr>
                <w:rFonts w:hint="eastAsia" w:ascii="宋体" w:hAnsi="宋体" w:eastAsia="宋体"/>
                <w:color w:val="auto"/>
                <w:sz w:val="21"/>
                <w:szCs w:val="21"/>
              </w:rPr>
              <w:t>严禁吸烟。注意个人清洁卫生。避免长期反复接触。</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194" w:hRule="atLeast"/>
          <w:jc w:val="center"/>
        </w:trPr>
        <w:tc>
          <w:tcPr>
            <w:tcW w:w="554" w:type="dxa"/>
            <w:vMerge w:val="restart"/>
            <w:tcBorders>
              <w:top w:val="single" w:color="auto" w:sz="6" w:space="0"/>
              <w:left w:val="single" w:color="auto" w:sz="6" w:space="0"/>
              <w:bottom w:val="single" w:color="auto" w:sz="6" w:space="0"/>
              <w:right w:val="single" w:color="auto" w:sz="6" w:space="0"/>
            </w:tcBorders>
            <w:shd w:val="clear" w:color="auto" w:fill="auto"/>
            <w:vAlign w:val="center"/>
          </w:tcPr>
          <w:p>
            <w:pPr>
              <w:spacing w:line="360" w:lineRule="auto"/>
              <w:rPr>
                <w:rFonts w:ascii="宋体" w:hAnsi="宋体" w:eastAsia="宋体"/>
                <w:color w:val="auto"/>
                <w:sz w:val="21"/>
                <w:szCs w:val="21"/>
              </w:rPr>
            </w:pPr>
            <w:r>
              <w:rPr>
                <w:rFonts w:hint="eastAsia" w:ascii="宋体" w:hAnsi="宋体" w:eastAsia="宋体"/>
                <w:color w:val="auto"/>
                <w:sz w:val="21"/>
                <w:szCs w:val="21"/>
              </w:rPr>
              <w:t>烧</w:t>
            </w:r>
          </w:p>
          <w:p>
            <w:pPr>
              <w:spacing w:line="360" w:lineRule="auto"/>
              <w:rPr>
                <w:rFonts w:ascii="宋体" w:hAnsi="宋体" w:eastAsia="宋体"/>
                <w:color w:val="auto"/>
                <w:sz w:val="21"/>
                <w:szCs w:val="21"/>
              </w:rPr>
            </w:pPr>
            <w:r>
              <w:rPr>
                <w:rFonts w:hint="eastAsia" w:ascii="宋体" w:hAnsi="宋体" w:eastAsia="宋体"/>
                <w:color w:val="auto"/>
                <w:sz w:val="21"/>
                <w:szCs w:val="21"/>
              </w:rPr>
              <w:t>爆</w:t>
            </w:r>
          </w:p>
          <w:p>
            <w:pPr>
              <w:spacing w:line="360" w:lineRule="auto"/>
              <w:rPr>
                <w:rFonts w:ascii="宋体" w:hAnsi="宋体" w:eastAsia="宋体"/>
                <w:color w:val="auto"/>
                <w:sz w:val="21"/>
                <w:szCs w:val="21"/>
              </w:rPr>
            </w:pPr>
            <w:r>
              <w:rPr>
                <w:rFonts w:hint="eastAsia" w:ascii="宋体" w:hAnsi="宋体" w:eastAsia="宋体"/>
                <w:color w:val="auto"/>
                <w:sz w:val="21"/>
                <w:szCs w:val="21"/>
              </w:rPr>
              <w:t>炸</w:t>
            </w:r>
          </w:p>
          <w:p>
            <w:pPr>
              <w:spacing w:line="360" w:lineRule="auto"/>
              <w:rPr>
                <w:rFonts w:ascii="宋体" w:hAnsi="宋体" w:eastAsia="宋体"/>
                <w:color w:val="auto"/>
                <w:sz w:val="21"/>
                <w:szCs w:val="21"/>
              </w:rPr>
            </w:pPr>
            <w:r>
              <w:rPr>
                <w:rFonts w:hint="eastAsia" w:ascii="宋体" w:hAnsi="宋体" w:eastAsia="宋体"/>
                <w:color w:val="auto"/>
                <w:sz w:val="21"/>
                <w:szCs w:val="21"/>
              </w:rPr>
              <w:t>危</w:t>
            </w:r>
          </w:p>
          <w:p>
            <w:pPr>
              <w:spacing w:line="360" w:lineRule="auto"/>
              <w:rPr>
                <w:rFonts w:ascii="宋体" w:hAnsi="宋体" w:eastAsia="宋体"/>
                <w:color w:val="auto"/>
                <w:sz w:val="21"/>
                <w:szCs w:val="21"/>
              </w:rPr>
            </w:pPr>
            <w:r>
              <w:rPr>
                <w:rFonts w:hint="eastAsia" w:ascii="宋体" w:hAnsi="宋体" w:eastAsia="宋体"/>
                <w:color w:val="auto"/>
                <w:sz w:val="21"/>
                <w:szCs w:val="21"/>
              </w:rPr>
              <w:t>险</w:t>
            </w:r>
          </w:p>
          <w:p>
            <w:pPr>
              <w:spacing w:line="360" w:lineRule="auto"/>
              <w:rPr>
                <w:rFonts w:ascii="宋体" w:hAnsi="宋体" w:eastAsia="宋体"/>
                <w:color w:val="auto"/>
                <w:sz w:val="21"/>
                <w:szCs w:val="21"/>
              </w:rPr>
            </w:pPr>
            <w:r>
              <w:rPr>
                <w:rFonts w:hint="eastAsia" w:ascii="宋体" w:hAnsi="宋体" w:eastAsia="宋体"/>
                <w:color w:val="auto"/>
                <w:sz w:val="21"/>
                <w:szCs w:val="21"/>
              </w:rPr>
              <w:t>性</w:t>
            </w:r>
          </w:p>
        </w:tc>
        <w:tc>
          <w:tcPr>
            <w:tcW w:w="1409" w:type="dxa"/>
            <w:tcBorders>
              <w:top w:val="single" w:color="auto" w:sz="6" w:space="0"/>
              <w:left w:val="single" w:color="auto" w:sz="6" w:space="0"/>
              <w:bottom w:val="single" w:color="auto" w:sz="6" w:space="0"/>
              <w:right w:val="single" w:color="auto" w:sz="6" w:space="0"/>
            </w:tcBorders>
            <w:shd w:val="clear" w:color="auto" w:fill="auto"/>
            <w:vAlign w:val="center"/>
          </w:tcPr>
          <w:p>
            <w:pPr>
              <w:spacing w:line="360" w:lineRule="auto"/>
              <w:rPr>
                <w:rFonts w:ascii="宋体" w:hAnsi="宋体" w:eastAsia="宋体"/>
                <w:color w:val="auto"/>
                <w:sz w:val="21"/>
                <w:szCs w:val="21"/>
              </w:rPr>
            </w:pPr>
            <w:r>
              <w:rPr>
                <w:rFonts w:hint="eastAsia" w:ascii="宋体" w:hAnsi="宋体" w:eastAsia="宋体"/>
                <w:color w:val="auto"/>
                <w:sz w:val="21"/>
                <w:szCs w:val="21"/>
              </w:rPr>
              <w:t>燃烧性</w:t>
            </w:r>
          </w:p>
        </w:tc>
        <w:tc>
          <w:tcPr>
            <w:tcW w:w="1866" w:type="dxa"/>
            <w:gridSpan w:val="4"/>
            <w:tcBorders>
              <w:top w:val="single" w:color="auto" w:sz="6" w:space="0"/>
              <w:left w:val="single" w:color="auto" w:sz="6" w:space="0"/>
              <w:bottom w:val="single" w:color="auto" w:sz="6" w:space="0"/>
              <w:right w:val="single" w:color="auto" w:sz="6" w:space="0"/>
            </w:tcBorders>
            <w:shd w:val="clear" w:color="auto" w:fill="auto"/>
            <w:vAlign w:val="center"/>
          </w:tcPr>
          <w:p>
            <w:pPr>
              <w:spacing w:line="360" w:lineRule="auto"/>
              <w:rPr>
                <w:rFonts w:ascii="宋体" w:hAnsi="宋体" w:eastAsia="宋体"/>
                <w:color w:val="auto"/>
                <w:sz w:val="21"/>
                <w:szCs w:val="21"/>
              </w:rPr>
            </w:pPr>
            <w:r>
              <w:rPr>
                <w:rFonts w:hint="eastAsia" w:ascii="宋体" w:hAnsi="宋体" w:eastAsia="宋体"/>
                <w:color w:val="auto"/>
                <w:sz w:val="21"/>
                <w:szCs w:val="21"/>
              </w:rPr>
              <w:t>易燃</w:t>
            </w:r>
          </w:p>
        </w:tc>
        <w:tc>
          <w:tcPr>
            <w:tcW w:w="2217" w:type="dxa"/>
            <w:gridSpan w:val="3"/>
            <w:tcBorders>
              <w:top w:val="single" w:color="auto" w:sz="6" w:space="0"/>
              <w:left w:val="single" w:color="auto" w:sz="6" w:space="0"/>
              <w:bottom w:val="single" w:color="auto" w:sz="6" w:space="0"/>
              <w:right w:val="single" w:color="auto" w:sz="6" w:space="0"/>
            </w:tcBorders>
            <w:shd w:val="clear" w:color="auto" w:fill="auto"/>
            <w:vAlign w:val="center"/>
          </w:tcPr>
          <w:p>
            <w:pPr>
              <w:spacing w:line="360" w:lineRule="auto"/>
              <w:rPr>
                <w:rFonts w:ascii="宋体" w:hAnsi="宋体" w:eastAsia="宋体"/>
                <w:color w:val="auto"/>
                <w:sz w:val="21"/>
                <w:szCs w:val="21"/>
              </w:rPr>
            </w:pPr>
            <w:r>
              <w:rPr>
                <w:rFonts w:hint="eastAsia" w:ascii="宋体" w:hAnsi="宋体" w:eastAsia="宋体"/>
                <w:color w:val="auto"/>
                <w:sz w:val="21"/>
                <w:szCs w:val="21"/>
              </w:rPr>
              <w:t>燃烧分解物</w:t>
            </w:r>
          </w:p>
        </w:tc>
        <w:tc>
          <w:tcPr>
            <w:tcW w:w="3593" w:type="dxa"/>
            <w:gridSpan w:val="8"/>
            <w:tcBorders>
              <w:top w:val="single" w:color="auto" w:sz="6" w:space="0"/>
              <w:left w:val="single" w:color="auto" w:sz="6" w:space="0"/>
              <w:bottom w:val="single" w:color="auto" w:sz="6" w:space="0"/>
              <w:right w:val="single" w:color="auto" w:sz="6" w:space="0"/>
            </w:tcBorders>
            <w:shd w:val="clear" w:color="auto" w:fill="auto"/>
            <w:vAlign w:val="center"/>
          </w:tcPr>
          <w:p>
            <w:pPr>
              <w:spacing w:line="360" w:lineRule="auto"/>
              <w:rPr>
                <w:rFonts w:ascii="宋体" w:hAnsi="宋体" w:eastAsia="宋体"/>
                <w:color w:val="auto"/>
                <w:sz w:val="21"/>
                <w:szCs w:val="21"/>
              </w:rPr>
            </w:pPr>
            <w:r>
              <w:rPr>
                <w:rFonts w:hint="eastAsia" w:ascii="宋体" w:hAnsi="宋体" w:eastAsia="宋体"/>
                <w:color w:val="auto"/>
                <w:sz w:val="21"/>
                <w:szCs w:val="21"/>
              </w:rPr>
              <w:t>一氧化碳、二氧化碳</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171" w:hRule="atLeast"/>
          <w:jc w:val="center"/>
        </w:trPr>
        <w:tc>
          <w:tcPr>
            <w:tcW w:w="554" w:type="dxa"/>
            <w:vMerge w:val="continue"/>
            <w:tcBorders>
              <w:top w:val="single" w:color="auto" w:sz="6" w:space="0"/>
              <w:left w:val="single" w:color="auto" w:sz="6" w:space="0"/>
              <w:bottom w:val="single" w:color="auto" w:sz="6" w:space="0"/>
              <w:right w:val="single" w:color="auto" w:sz="6" w:space="0"/>
            </w:tcBorders>
            <w:shd w:val="clear" w:color="auto" w:fill="auto"/>
            <w:vAlign w:val="center"/>
          </w:tcPr>
          <w:p>
            <w:pPr>
              <w:widowControl/>
              <w:spacing w:line="360" w:lineRule="auto"/>
              <w:rPr>
                <w:rFonts w:ascii="宋体" w:hAnsi="宋体" w:eastAsia="宋体"/>
                <w:color w:val="auto"/>
                <w:sz w:val="21"/>
                <w:szCs w:val="21"/>
              </w:rPr>
            </w:pPr>
          </w:p>
        </w:tc>
        <w:tc>
          <w:tcPr>
            <w:tcW w:w="1409" w:type="dxa"/>
            <w:tcBorders>
              <w:top w:val="single" w:color="auto" w:sz="6" w:space="0"/>
              <w:left w:val="single" w:color="auto" w:sz="6" w:space="0"/>
              <w:bottom w:val="single" w:color="auto" w:sz="6" w:space="0"/>
              <w:right w:val="single" w:color="auto" w:sz="6" w:space="0"/>
            </w:tcBorders>
            <w:shd w:val="clear" w:color="auto" w:fill="auto"/>
            <w:vAlign w:val="center"/>
          </w:tcPr>
          <w:p>
            <w:pPr>
              <w:spacing w:line="360" w:lineRule="auto"/>
              <w:rPr>
                <w:rFonts w:ascii="宋体" w:hAnsi="宋体" w:eastAsia="宋体"/>
                <w:color w:val="auto"/>
                <w:sz w:val="21"/>
                <w:szCs w:val="21"/>
              </w:rPr>
            </w:pPr>
            <w:r>
              <w:rPr>
                <w:rFonts w:hint="eastAsia" w:ascii="宋体" w:hAnsi="宋体" w:eastAsia="宋体"/>
                <w:color w:val="auto"/>
                <w:sz w:val="21"/>
                <w:szCs w:val="21"/>
              </w:rPr>
              <w:t>闪点(</w:t>
            </w:r>
            <w:r>
              <w:rPr>
                <w:rFonts w:hint="eastAsia" w:ascii="宋体" w:hAnsi="宋体" w:eastAsia="宋体" w:cs="宋体"/>
                <w:color w:val="auto"/>
                <w:sz w:val="21"/>
                <w:szCs w:val="21"/>
              </w:rPr>
              <w:t>℃</w:t>
            </w:r>
            <w:r>
              <w:rPr>
                <w:rFonts w:hint="eastAsia" w:ascii="宋体" w:hAnsi="宋体" w:eastAsia="宋体"/>
                <w:color w:val="auto"/>
                <w:sz w:val="21"/>
                <w:szCs w:val="21"/>
              </w:rPr>
              <w:t>)</w:t>
            </w:r>
          </w:p>
        </w:tc>
        <w:tc>
          <w:tcPr>
            <w:tcW w:w="1866" w:type="dxa"/>
            <w:gridSpan w:val="4"/>
            <w:tcBorders>
              <w:top w:val="single" w:color="auto" w:sz="6" w:space="0"/>
              <w:left w:val="single" w:color="auto" w:sz="6" w:space="0"/>
              <w:bottom w:val="single" w:color="auto" w:sz="6" w:space="0"/>
              <w:right w:val="single" w:color="auto" w:sz="6" w:space="0"/>
            </w:tcBorders>
            <w:shd w:val="clear" w:color="auto" w:fill="auto"/>
            <w:vAlign w:val="center"/>
          </w:tcPr>
          <w:p>
            <w:pPr>
              <w:widowControl/>
              <w:spacing w:line="360" w:lineRule="auto"/>
              <w:ind w:left="357" w:hanging="357" w:hangingChars="170"/>
              <w:rPr>
                <w:rFonts w:ascii="宋体" w:hAnsi="宋体" w:eastAsia="宋体"/>
                <w:color w:val="auto"/>
                <w:sz w:val="21"/>
                <w:szCs w:val="21"/>
              </w:rPr>
            </w:pPr>
            <w:r>
              <w:rPr>
                <w:rFonts w:hint="eastAsia" w:ascii="宋体" w:hAnsi="宋体" w:eastAsia="宋体"/>
                <w:color w:val="auto"/>
                <w:sz w:val="21"/>
                <w:szCs w:val="21"/>
              </w:rPr>
              <w:t>43</w:t>
            </w:r>
          </w:p>
        </w:tc>
        <w:tc>
          <w:tcPr>
            <w:tcW w:w="3463" w:type="dxa"/>
            <w:gridSpan w:val="7"/>
            <w:tcBorders>
              <w:top w:val="single" w:color="auto" w:sz="6" w:space="0"/>
              <w:left w:val="single" w:color="auto" w:sz="6" w:space="0"/>
              <w:bottom w:val="single" w:color="auto" w:sz="6" w:space="0"/>
              <w:right w:val="single" w:color="auto" w:sz="6" w:space="0"/>
            </w:tcBorders>
            <w:shd w:val="clear" w:color="auto" w:fill="auto"/>
            <w:vAlign w:val="center"/>
          </w:tcPr>
          <w:p>
            <w:pPr>
              <w:spacing w:line="360" w:lineRule="auto"/>
              <w:rPr>
                <w:rFonts w:ascii="宋体" w:hAnsi="宋体" w:eastAsia="宋体"/>
                <w:color w:val="auto"/>
                <w:sz w:val="21"/>
                <w:szCs w:val="21"/>
              </w:rPr>
            </w:pPr>
            <w:r>
              <w:rPr>
                <w:rFonts w:hint="eastAsia" w:ascii="宋体" w:hAnsi="宋体" w:eastAsia="宋体"/>
                <w:color w:val="auto"/>
                <w:sz w:val="21"/>
                <w:szCs w:val="21"/>
              </w:rPr>
              <w:t>爆炸上限%（v%）：</w:t>
            </w:r>
          </w:p>
        </w:tc>
        <w:tc>
          <w:tcPr>
            <w:tcW w:w="2347" w:type="dxa"/>
            <w:gridSpan w:val="4"/>
            <w:tcBorders>
              <w:top w:val="single" w:color="auto" w:sz="6" w:space="0"/>
              <w:left w:val="single" w:color="auto" w:sz="6" w:space="0"/>
              <w:bottom w:val="single" w:color="auto" w:sz="6" w:space="0"/>
              <w:right w:val="single" w:color="auto" w:sz="6" w:space="0"/>
            </w:tcBorders>
            <w:shd w:val="clear" w:color="auto" w:fill="auto"/>
            <w:vAlign w:val="center"/>
          </w:tcPr>
          <w:p>
            <w:pPr>
              <w:spacing w:line="360" w:lineRule="auto"/>
              <w:rPr>
                <w:rFonts w:ascii="宋体" w:hAnsi="宋体" w:eastAsia="宋体"/>
                <w:color w:val="auto"/>
                <w:sz w:val="21"/>
                <w:szCs w:val="21"/>
              </w:rPr>
            </w:pPr>
            <w:r>
              <w:rPr>
                <w:rFonts w:hint="eastAsia" w:ascii="宋体" w:hAnsi="宋体" w:eastAsia="宋体"/>
                <w:color w:val="auto"/>
                <w:sz w:val="21"/>
                <w:szCs w:val="21"/>
              </w:rPr>
              <w:t>9.4</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144" w:hRule="atLeast"/>
          <w:jc w:val="center"/>
        </w:trPr>
        <w:tc>
          <w:tcPr>
            <w:tcW w:w="554" w:type="dxa"/>
            <w:vMerge w:val="continue"/>
            <w:tcBorders>
              <w:top w:val="single" w:color="auto" w:sz="6" w:space="0"/>
              <w:left w:val="single" w:color="auto" w:sz="6" w:space="0"/>
              <w:bottom w:val="single" w:color="auto" w:sz="6" w:space="0"/>
              <w:right w:val="single" w:color="auto" w:sz="6" w:space="0"/>
            </w:tcBorders>
            <w:shd w:val="clear" w:color="auto" w:fill="auto"/>
            <w:vAlign w:val="center"/>
          </w:tcPr>
          <w:p>
            <w:pPr>
              <w:widowControl/>
              <w:spacing w:line="360" w:lineRule="auto"/>
              <w:rPr>
                <w:rFonts w:ascii="宋体" w:hAnsi="宋体" w:eastAsia="宋体"/>
                <w:color w:val="auto"/>
                <w:sz w:val="21"/>
                <w:szCs w:val="21"/>
              </w:rPr>
            </w:pPr>
          </w:p>
        </w:tc>
        <w:tc>
          <w:tcPr>
            <w:tcW w:w="1906" w:type="dxa"/>
            <w:gridSpan w:val="2"/>
            <w:tcBorders>
              <w:top w:val="single" w:color="auto" w:sz="6" w:space="0"/>
              <w:left w:val="single" w:color="auto" w:sz="6" w:space="0"/>
              <w:bottom w:val="single" w:color="auto" w:sz="4" w:space="0"/>
              <w:right w:val="single" w:color="auto" w:sz="4" w:space="0"/>
            </w:tcBorders>
            <w:shd w:val="clear" w:color="auto" w:fill="auto"/>
            <w:vAlign w:val="center"/>
          </w:tcPr>
          <w:p>
            <w:pPr>
              <w:spacing w:line="360" w:lineRule="auto"/>
              <w:rPr>
                <w:rFonts w:ascii="宋体" w:hAnsi="宋体" w:eastAsia="宋体"/>
                <w:color w:val="auto"/>
                <w:sz w:val="21"/>
                <w:szCs w:val="21"/>
              </w:rPr>
            </w:pPr>
            <w:r>
              <w:rPr>
                <w:rFonts w:hint="eastAsia" w:ascii="宋体" w:hAnsi="宋体" w:eastAsia="宋体"/>
                <w:color w:val="auto"/>
                <w:sz w:val="21"/>
                <w:szCs w:val="21"/>
              </w:rPr>
              <w:t>自燃温度(</w:t>
            </w:r>
            <w:r>
              <w:rPr>
                <w:rFonts w:hint="eastAsia" w:ascii="宋体" w:hAnsi="宋体" w:eastAsia="宋体" w:cs="宋体"/>
                <w:color w:val="auto"/>
                <w:sz w:val="21"/>
                <w:szCs w:val="21"/>
              </w:rPr>
              <w:t>℃</w:t>
            </w:r>
            <w:r>
              <w:rPr>
                <w:rFonts w:hint="eastAsia" w:ascii="宋体" w:hAnsi="宋体" w:eastAsia="宋体"/>
                <w:color w:val="auto"/>
                <w:sz w:val="21"/>
                <w:szCs w:val="21"/>
              </w:rPr>
              <w:t>)</w:t>
            </w:r>
          </w:p>
        </w:tc>
        <w:tc>
          <w:tcPr>
            <w:tcW w:w="1369" w:type="dxa"/>
            <w:gridSpan w:val="3"/>
            <w:tcBorders>
              <w:top w:val="single" w:color="auto" w:sz="6" w:space="0"/>
              <w:left w:val="single" w:color="auto" w:sz="4" w:space="0"/>
              <w:bottom w:val="single" w:color="auto" w:sz="4" w:space="0"/>
              <w:right w:val="single" w:color="auto" w:sz="6" w:space="0"/>
            </w:tcBorders>
            <w:shd w:val="clear" w:color="auto" w:fill="auto"/>
            <w:vAlign w:val="center"/>
          </w:tcPr>
          <w:p>
            <w:pPr>
              <w:spacing w:line="360" w:lineRule="auto"/>
              <w:rPr>
                <w:rFonts w:ascii="宋体" w:hAnsi="宋体" w:eastAsia="宋体"/>
                <w:color w:val="auto"/>
                <w:sz w:val="21"/>
                <w:szCs w:val="21"/>
              </w:rPr>
            </w:pPr>
            <w:r>
              <w:rPr>
                <w:rFonts w:hint="eastAsia" w:ascii="宋体" w:hAnsi="宋体" w:eastAsia="宋体"/>
                <w:color w:val="auto"/>
                <w:sz w:val="21"/>
                <w:szCs w:val="21"/>
              </w:rPr>
              <w:t>420</w:t>
            </w:r>
          </w:p>
        </w:tc>
        <w:tc>
          <w:tcPr>
            <w:tcW w:w="3463" w:type="dxa"/>
            <w:gridSpan w:val="7"/>
            <w:tcBorders>
              <w:top w:val="single" w:color="auto" w:sz="6" w:space="0"/>
              <w:left w:val="single" w:color="auto" w:sz="6" w:space="0"/>
              <w:bottom w:val="single" w:color="auto" w:sz="4" w:space="0"/>
              <w:right w:val="single" w:color="auto" w:sz="4" w:space="0"/>
            </w:tcBorders>
            <w:shd w:val="clear" w:color="auto" w:fill="auto"/>
            <w:vAlign w:val="center"/>
          </w:tcPr>
          <w:p>
            <w:pPr>
              <w:spacing w:line="360" w:lineRule="auto"/>
              <w:rPr>
                <w:rFonts w:ascii="宋体" w:hAnsi="宋体" w:eastAsia="宋体"/>
                <w:color w:val="auto"/>
                <w:sz w:val="21"/>
                <w:szCs w:val="21"/>
              </w:rPr>
            </w:pPr>
            <w:r>
              <w:rPr>
                <w:rFonts w:hint="eastAsia" w:ascii="宋体" w:hAnsi="宋体" w:eastAsia="宋体"/>
                <w:color w:val="auto"/>
                <w:sz w:val="21"/>
                <w:szCs w:val="21"/>
              </w:rPr>
              <w:t>爆炸下限%（v%）：</w:t>
            </w:r>
          </w:p>
        </w:tc>
        <w:tc>
          <w:tcPr>
            <w:tcW w:w="2347" w:type="dxa"/>
            <w:gridSpan w:val="4"/>
            <w:tcBorders>
              <w:top w:val="single" w:color="auto" w:sz="6" w:space="0"/>
              <w:left w:val="single" w:color="auto" w:sz="4" w:space="0"/>
              <w:bottom w:val="single" w:color="auto" w:sz="4" w:space="0"/>
              <w:right w:val="single" w:color="auto" w:sz="6" w:space="0"/>
            </w:tcBorders>
            <w:shd w:val="clear" w:color="auto" w:fill="auto"/>
            <w:vAlign w:val="center"/>
          </w:tcPr>
          <w:p>
            <w:pPr>
              <w:spacing w:line="360" w:lineRule="auto"/>
              <w:rPr>
                <w:rFonts w:ascii="宋体" w:hAnsi="宋体" w:eastAsia="宋体"/>
                <w:color w:val="auto"/>
                <w:sz w:val="21"/>
                <w:szCs w:val="21"/>
              </w:rPr>
            </w:pPr>
            <w:r>
              <w:rPr>
                <w:rFonts w:hint="eastAsia" w:ascii="宋体" w:hAnsi="宋体" w:eastAsia="宋体"/>
                <w:color w:val="auto"/>
                <w:sz w:val="21"/>
                <w:szCs w:val="21"/>
              </w:rPr>
              <w:t>1.1</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102" w:hRule="atLeast"/>
          <w:jc w:val="center"/>
        </w:trPr>
        <w:tc>
          <w:tcPr>
            <w:tcW w:w="554" w:type="dxa"/>
            <w:vMerge w:val="continue"/>
            <w:tcBorders>
              <w:top w:val="single" w:color="auto" w:sz="6" w:space="0"/>
              <w:left w:val="single" w:color="auto" w:sz="6" w:space="0"/>
              <w:bottom w:val="single" w:color="auto" w:sz="6" w:space="0"/>
              <w:right w:val="single" w:color="auto" w:sz="6" w:space="0"/>
            </w:tcBorders>
            <w:shd w:val="clear" w:color="auto" w:fill="auto"/>
            <w:vAlign w:val="center"/>
          </w:tcPr>
          <w:p>
            <w:pPr>
              <w:widowControl/>
              <w:spacing w:line="360" w:lineRule="auto"/>
              <w:rPr>
                <w:rFonts w:ascii="宋体" w:hAnsi="宋体" w:eastAsia="宋体"/>
                <w:color w:val="auto"/>
                <w:sz w:val="21"/>
                <w:szCs w:val="21"/>
              </w:rPr>
            </w:pPr>
          </w:p>
        </w:tc>
        <w:tc>
          <w:tcPr>
            <w:tcW w:w="1906" w:type="dxa"/>
            <w:gridSpan w:val="2"/>
            <w:tcBorders>
              <w:top w:val="single" w:color="auto" w:sz="4" w:space="0"/>
              <w:left w:val="single" w:color="auto" w:sz="6" w:space="0"/>
              <w:bottom w:val="single" w:color="auto" w:sz="6" w:space="0"/>
              <w:right w:val="single" w:color="auto" w:sz="4" w:space="0"/>
            </w:tcBorders>
            <w:shd w:val="clear" w:color="auto" w:fill="auto"/>
            <w:vAlign w:val="center"/>
          </w:tcPr>
          <w:p>
            <w:pPr>
              <w:spacing w:line="360" w:lineRule="auto"/>
              <w:rPr>
                <w:rFonts w:ascii="宋体" w:hAnsi="宋体" w:eastAsia="宋体"/>
                <w:color w:val="auto"/>
                <w:sz w:val="21"/>
                <w:szCs w:val="21"/>
              </w:rPr>
            </w:pPr>
            <w:r>
              <w:rPr>
                <w:rFonts w:hint="eastAsia" w:ascii="宋体" w:hAnsi="宋体" w:eastAsia="宋体"/>
                <w:color w:val="auto"/>
                <w:sz w:val="21"/>
                <w:szCs w:val="21"/>
              </w:rPr>
              <w:t>建规火险分级</w:t>
            </w:r>
          </w:p>
        </w:tc>
        <w:tc>
          <w:tcPr>
            <w:tcW w:w="1369" w:type="dxa"/>
            <w:gridSpan w:val="3"/>
            <w:tcBorders>
              <w:top w:val="single" w:color="auto" w:sz="4" w:space="0"/>
              <w:left w:val="single" w:color="auto" w:sz="4" w:space="0"/>
              <w:bottom w:val="single" w:color="auto" w:sz="6" w:space="0"/>
              <w:right w:val="single" w:color="auto" w:sz="6" w:space="0"/>
            </w:tcBorders>
            <w:shd w:val="clear" w:color="auto" w:fill="auto"/>
            <w:vAlign w:val="center"/>
          </w:tcPr>
          <w:p>
            <w:pPr>
              <w:spacing w:line="360" w:lineRule="auto"/>
              <w:rPr>
                <w:rFonts w:ascii="宋体" w:hAnsi="宋体" w:eastAsia="宋体"/>
                <w:color w:val="auto"/>
                <w:sz w:val="21"/>
                <w:szCs w:val="21"/>
              </w:rPr>
            </w:pPr>
            <w:r>
              <w:rPr>
                <w:rFonts w:hint="eastAsia" w:ascii="宋体" w:hAnsi="宋体" w:eastAsia="宋体"/>
                <w:color w:val="auto"/>
                <w:sz w:val="21"/>
                <w:szCs w:val="21"/>
              </w:rPr>
              <w:t>乙</w:t>
            </w:r>
          </w:p>
        </w:tc>
        <w:tc>
          <w:tcPr>
            <w:tcW w:w="1186" w:type="dxa"/>
            <w:tcBorders>
              <w:top w:val="single" w:color="auto" w:sz="4" w:space="0"/>
              <w:left w:val="single" w:color="auto" w:sz="6" w:space="0"/>
              <w:bottom w:val="single" w:color="auto" w:sz="6" w:space="0"/>
              <w:right w:val="single" w:color="auto" w:sz="6" w:space="0"/>
            </w:tcBorders>
            <w:shd w:val="clear" w:color="auto" w:fill="auto"/>
            <w:vAlign w:val="center"/>
          </w:tcPr>
          <w:p>
            <w:pPr>
              <w:spacing w:line="360" w:lineRule="auto"/>
              <w:rPr>
                <w:rFonts w:ascii="宋体" w:hAnsi="宋体" w:eastAsia="宋体"/>
                <w:color w:val="auto"/>
                <w:sz w:val="21"/>
                <w:szCs w:val="21"/>
              </w:rPr>
            </w:pPr>
            <w:r>
              <w:rPr>
                <w:rFonts w:hint="eastAsia" w:ascii="宋体" w:hAnsi="宋体" w:eastAsia="宋体"/>
                <w:color w:val="auto"/>
                <w:sz w:val="21"/>
                <w:szCs w:val="21"/>
              </w:rPr>
              <w:t>稳定性</w:t>
            </w:r>
          </w:p>
        </w:tc>
        <w:tc>
          <w:tcPr>
            <w:tcW w:w="1548" w:type="dxa"/>
            <w:gridSpan w:val="4"/>
            <w:tcBorders>
              <w:top w:val="single" w:color="auto" w:sz="4" w:space="0"/>
              <w:left w:val="single" w:color="auto" w:sz="6" w:space="0"/>
              <w:bottom w:val="single" w:color="auto" w:sz="6" w:space="0"/>
              <w:right w:val="single" w:color="auto" w:sz="4" w:space="0"/>
            </w:tcBorders>
            <w:shd w:val="clear" w:color="auto" w:fill="auto"/>
            <w:vAlign w:val="center"/>
          </w:tcPr>
          <w:p>
            <w:pPr>
              <w:spacing w:line="360" w:lineRule="auto"/>
              <w:rPr>
                <w:rFonts w:ascii="宋体" w:hAnsi="宋体" w:eastAsia="宋体"/>
                <w:color w:val="auto"/>
                <w:sz w:val="21"/>
                <w:szCs w:val="21"/>
              </w:rPr>
            </w:pPr>
            <w:r>
              <w:rPr>
                <w:rFonts w:hint="eastAsia" w:ascii="宋体" w:hAnsi="宋体" w:eastAsia="宋体"/>
                <w:color w:val="auto"/>
                <w:sz w:val="21"/>
                <w:szCs w:val="21"/>
              </w:rPr>
              <w:t>稳定</w:t>
            </w:r>
          </w:p>
        </w:tc>
        <w:tc>
          <w:tcPr>
            <w:tcW w:w="1575" w:type="dxa"/>
            <w:gridSpan w:val="4"/>
            <w:tcBorders>
              <w:top w:val="single" w:color="auto" w:sz="4" w:space="0"/>
              <w:left w:val="single" w:color="auto" w:sz="4" w:space="0"/>
              <w:bottom w:val="single" w:color="auto" w:sz="6" w:space="0"/>
              <w:right w:val="single" w:color="auto" w:sz="4" w:space="0"/>
            </w:tcBorders>
            <w:shd w:val="clear" w:color="auto" w:fill="auto"/>
            <w:vAlign w:val="center"/>
          </w:tcPr>
          <w:p>
            <w:pPr>
              <w:spacing w:line="360" w:lineRule="auto"/>
              <w:rPr>
                <w:rFonts w:ascii="宋体" w:hAnsi="宋体" w:eastAsia="宋体"/>
                <w:color w:val="auto"/>
                <w:sz w:val="21"/>
                <w:szCs w:val="21"/>
              </w:rPr>
            </w:pPr>
            <w:r>
              <w:rPr>
                <w:rFonts w:hint="eastAsia" w:ascii="宋体" w:hAnsi="宋体" w:eastAsia="宋体"/>
                <w:color w:val="auto"/>
                <w:sz w:val="21"/>
                <w:szCs w:val="21"/>
              </w:rPr>
              <w:t>聚合危害</w:t>
            </w:r>
          </w:p>
        </w:tc>
        <w:tc>
          <w:tcPr>
            <w:tcW w:w="1501" w:type="dxa"/>
            <w:gridSpan w:val="2"/>
            <w:tcBorders>
              <w:top w:val="single" w:color="auto" w:sz="4" w:space="0"/>
              <w:left w:val="single" w:color="auto" w:sz="4" w:space="0"/>
              <w:bottom w:val="single" w:color="auto" w:sz="6" w:space="0"/>
              <w:right w:val="single" w:color="auto" w:sz="6" w:space="0"/>
            </w:tcBorders>
            <w:shd w:val="clear" w:color="auto" w:fill="auto"/>
            <w:vAlign w:val="center"/>
          </w:tcPr>
          <w:p>
            <w:pPr>
              <w:spacing w:line="360" w:lineRule="auto"/>
              <w:rPr>
                <w:rFonts w:ascii="宋体" w:hAnsi="宋体" w:eastAsia="宋体"/>
                <w:color w:val="auto"/>
                <w:sz w:val="21"/>
                <w:szCs w:val="21"/>
              </w:rPr>
            </w:pPr>
            <w:r>
              <w:rPr>
                <w:rFonts w:hint="eastAsia" w:ascii="宋体" w:hAnsi="宋体" w:eastAsia="宋体"/>
                <w:color w:val="auto"/>
                <w:sz w:val="21"/>
                <w:szCs w:val="21"/>
              </w:rPr>
              <w:t>不聚合</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634" w:hRule="atLeast"/>
          <w:jc w:val="center"/>
        </w:trPr>
        <w:tc>
          <w:tcPr>
            <w:tcW w:w="554" w:type="dxa"/>
            <w:vMerge w:val="continue"/>
            <w:tcBorders>
              <w:top w:val="single" w:color="auto" w:sz="6" w:space="0"/>
              <w:left w:val="single" w:color="auto" w:sz="6" w:space="0"/>
              <w:bottom w:val="single" w:color="auto" w:sz="6" w:space="0"/>
              <w:right w:val="single" w:color="auto" w:sz="6" w:space="0"/>
            </w:tcBorders>
            <w:shd w:val="clear" w:color="auto" w:fill="auto"/>
            <w:vAlign w:val="center"/>
          </w:tcPr>
          <w:p>
            <w:pPr>
              <w:widowControl/>
              <w:spacing w:line="360" w:lineRule="auto"/>
              <w:rPr>
                <w:rFonts w:ascii="宋体" w:hAnsi="宋体" w:eastAsia="宋体"/>
                <w:color w:val="auto"/>
                <w:sz w:val="21"/>
                <w:szCs w:val="21"/>
              </w:rPr>
            </w:pPr>
          </w:p>
        </w:tc>
        <w:tc>
          <w:tcPr>
            <w:tcW w:w="1409" w:type="dxa"/>
            <w:tcBorders>
              <w:top w:val="single" w:color="auto" w:sz="6" w:space="0"/>
              <w:left w:val="single" w:color="auto" w:sz="6" w:space="0"/>
              <w:bottom w:val="single" w:color="auto" w:sz="6" w:space="0"/>
              <w:right w:val="single" w:color="auto" w:sz="6" w:space="0"/>
            </w:tcBorders>
            <w:shd w:val="clear" w:color="auto" w:fill="auto"/>
            <w:vAlign w:val="center"/>
          </w:tcPr>
          <w:p>
            <w:pPr>
              <w:spacing w:line="360" w:lineRule="auto"/>
              <w:rPr>
                <w:rFonts w:ascii="宋体" w:hAnsi="宋体" w:eastAsia="宋体"/>
                <w:color w:val="auto"/>
                <w:sz w:val="21"/>
                <w:szCs w:val="21"/>
              </w:rPr>
            </w:pPr>
            <w:r>
              <w:rPr>
                <w:rFonts w:hint="eastAsia" w:ascii="宋体" w:hAnsi="宋体" w:eastAsia="宋体"/>
                <w:color w:val="auto"/>
                <w:sz w:val="21"/>
                <w:szCs w:val="21"/>
              </w:rPr>
              <w:t>危险特性</w:t>
            </w:r>
          </w:p>
        </w:tc>
        <w:tc>
          <w:tcPr>
            <w:tcW w:w="7676" w:type="dxa"/>
            <w:gridSpan w:val="15"/>
            <w:tcBorders>
              <w:top w:val="single" w:color="auto" w:sz="6" w:space="0"/>
              <w:left w:val="single" w:color="auto" w:sz="6" w:space="0"/>
              <w:bottom w:val="single" w:color="auto" w:sz="6" w:space="0"/>
              <w:right w:val="single" w:color="auto" w:sz="6" w:space="0"/>
            </w:tcBorders>
            <w:shd w:val="clear" w:color="auto" w:fill="auto"/>
            <w:vAlign w:val="center"/>
          </w:tcPr>
          <w:p>
            <w:pPr>
              <w:widowControl/>
              <w:adjustRightInd w:val="0"/>
              <w:snapToGrid w:val="0"/>
              <w:spacing w:line="360" w:lineRule="auto"/>
              <w:rPr>
                <w:rFonts w:ascii="宋体" w:hAnsi="宋体" w:eastAsia="宋体"/>
                <w:color w:val="auto"/>
                <w:sz w:val="21"/>
                <w:szCs w:val="21"/>
              </w:rPr>
            </w:pPr>
            <w:r>
              <w:rPr>
                <w:rFonts w:hint="eastAsia" w:ascii="宋体" w:hAnsi="宋体" w:eastAsia="宋体"/>
                <w:color w:val="auto"/>
                <w:sz w:val="21"/>
                <w:szCs w:val="21"/>
              </w:rPr>
              <w:t>遇明火、高热或与氧化剂接触，有引起燃烧爆炸的危险。若遇高热，容器内压增大，</w:t>
            </w:r>
          </w:p>
          <w:p>
            <w:pPr>
              <w:widowControl/>
              <w:adjustRightInd w:val="0"/>
              <w:snapToGrid w:val="0"/>
              <w:spacing w:line="360" w:lineRule="auto"/>
              <w:rPr>
                <w:rFonts w:ascii="宋体" w:hAnsi="宋体" w:eastAsia="宋体"/>
                <w:color w:val="auto"/>
                <w:sz w:val="21"/>
                <w:szCs w:val="21"/>
              </w:rPr>
            </w:pPr>
            <w:r>
              <w:rPr>
                <w:rFonts w:hint="eastAsia" w:ascii="宋体" w:hAnsi="宋体" w:eastAsia="宋体"/>
                <w:color w:val="auto"/>
                <w:sz w:val="21"/>
                <w:szCs w:val="21"/>
              </w:rPr>
              <w:t>有开裂和爆炸的危险。溶解塑料、树酯和橡胶。</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422" w:hRule="atLeast"/>
          <w:jc w:val="center"/>
        </w:trPr>
        <w:tc>
          <w:tcPr>
            <w:tcW w:w="554" w:type="dxa"/>
            <w:vMerge w:val="continue"/>
            <w:tcBorders>
              <w:top w:val="single" w:color="auto" w:sz="6" w:space="0"/>
              <w:left w:val="single" w:color="auto" w:sz="6" w:space="0"/>
              <w:bottom w:val="single" w:color="auto" w:sz="6" w:space="0"/>
              <w:right w:val="single" w:color="auto" w:sz="6" w:space="0"/>
            </w:tcBorders>
            <w:shd w:val="clear" w:color="auto" w:fill="auto"/>
            <w:vAlign w:val="center"/>
          </w:tcPr>
          <w:p>
            <w:pPr>
              <w:widowControl/>
              <w:spacing w:line="360" w:lineRule="auto"/>
              <w:rPr>
                <w:rFonts w:ascii="宋体" w:hAnsi="宋体" w:eastAsia="宋体"/>
                <w:color w:val="auto"/>
                <w:sz w:val="21"/>
                <w:szCs w:val="21"/>
              </w:rPr>
            </w:pPr>
          </w:p>
        </w:tc>
        <w:tc>
          <w:tcPr>
            <w:tcW w:w="1409" w:type="dxa"/>
            <w:tcBorders>
              <w:top w:val="single" w:color="auto" w:sz="6" w:space="0"/>
              <w:left w:val="single" w:color="auto" w:sz="6" w:space="0"/>
              <w:bottom w:val="single" w:color="auto" w:sz="6" w:space="0"/>
              <w:right w:val="single" w:color="auto" w:sz="6" w:space="0"/>
            </w:tcBorders>
            <w:shd w:val="clear" w:color="auto" w:fill="auto"/>
            <w:vAlign w:val="center"/>
          </w:tcPr>
          <w:p>
            <w:pPr>
              <w:spacing w:line="360" w:lineRule="auto"/>
              <w:rPr>
                <w:rFonts w:ascii="宋体" w:hAnsi="宋体" w:eastAsia="宋体"/>
                <w:color w:val="auto"/>
                <w:sz w:val="21"/>
                <w:szCs w:val="21"/>
              </w:rPr>
            </w:pPr>
            <w:r>
              <w:rPr>
                <w:rFonts w:hint="eastAsia" w:ascii="宋体" w:hAnsi="宋体" w:eastAsia="宋体"/>
                <w:color w:val="auto"/>
                <w:sz w:val="21"/>
                <w:szCs w:val="21"/>
              </w:rPr>
              <w:t>包装与储运</w:t>
            </w:r>
          </w:p>
        </w:tc>
        <w:tc>
          <w:tcPr>
            <w:tcW w:w="7676" w:type="dxa"/>
            <w:gridSpan w:val="15"/>
            <w:tcBorders>
              <w:top w:val="single" w:color="auto" w:sz="6" w:space="0"/>
              <w:left w:val="single" w:color="auto" w:sz="6" w:space="0"/>
              <w:bottom w:val="single" w:color="auto" w:sz="6" w:space="0"/>
              <w:right w:val="single" w:color="auto" w:sz="6" w:space="0"/>
            </w:tcBorders>
            <w:shd w:val="clear" w:color="auto" w:fill="auto"/>
            <w:vAlign w:val="center"/>
          </w:tcPr>
          <w:p>
            <w:pPr>
              <w:widowControl/>
              <w:adjustRightInd w:val="0"/>
              <w:snapToGrid w:val="0"/>
              <w:spacing w:line="360" w:lineRule="auto"/>
              <w:rPr>
                <w:rFonts w:ascii="宋体" w:hAnsi="宋体" w:eastAsia="宋体"/>
                <w:color w:val="auto"/>
                <w:sz w:val="21"/>
                <w:szCs w:val="21"/>
              </w:rPr>
            </w:pPr>
            <w:r>
              <w:rPr>
                <w:rFonts w:hint="eastAsia" w:ascii="宋体" w:hAnsi="宋体" w:eastAsia="宋体"/>
                <w:color w:val="auto"/>
                <w:sz w:val="21"/>
                <w:szCs w:val="21"/>
              </w:rPr>
              <w:t>危险性类别：第3.3类  高闪点易燃液体   ；危险货物包装标志：7   ；包</w:t>
            </w:r>
          </w:p>
          <w:p>
            <w:pPr>
              <w:widowControl/>
              <w:adjustRightInd w:val="0"/>
              <w:snapToGrid w:val="0"/>
              <w:spacing w:line="360" w:lineRule="auto"/>
              <w:rPr>
                <w:rFonts w:ascii="宋体" w:hAnsi="宋体" w:eastAsia="宋体"/>
                <w:color w:val="auto"/>
                <w:sz w:val="21"/>
                <w:szCs w:val="21"/>
              </w:rPr>
            </w:pPr>
            <w:r>
              <w:rPr>
                <w:rFonts w:hint="eastAsia" w:ascii="宋体" w:hAnsi="宋体" w:eastAsia="宋体"/>
                <w:color w:val="auto"/>
                <w:sz w:val="21"/>
                <w:szCs w:val="21"/>
              </w:rPr>
              <w:t>装类别：Ⅲ ；储存于阴凉、通风仓间内。远离火种、热源。仓温不宜超过30℃。</w:t>
            </w:r>
          </w:p>
          <w:p>
            <w:pPr>
              <w:widowControl/>
              <w:adjustRightInd w:val="0"/>
              <w:snapToGrid w:val="0"/>
              <w:spacing w:line="360" w:lineRule="auto"/>
              <w:rPr>
                <w:rFonts w:ascii="宋体" w:hAnsi="宋体" w:eastAsia="宋体"/>
                <w:color w:val="auto"/>
                <w:sz w:val="21"/>
                <w:szCs w:val="21"/>
              </w:rPr>
            </w:pPr>
            <w:r>
              <w:rPr>
                <w:rFonts w:hint="eastAsia" w:ascii="宋体" w:hAnsi="宋体" w:eastAsia="宋体"/>
                <w:color w:val="auto"/>
                <w:sz w:val="21"/>
                <w:szCs w:val="21"/>
              </w:rPr>
              <w:t>防止阳光直射。包装要求密封，不可与空气接触。应与氧化剂分开存放。储存间内</w:t>
            </w:r>
          </w:p>
          <w:p>
            <w:pPr>
              <w:widowControl/>
              <w:adjustRightInd w:val="0"/>
              <w:snapToGrid w:val="0"/>
              <w:spacing w:line="360" w:lineRule="auto"/>
              <w:rPr>
                <w:rFonts w:ascii="宋体" w:hAnsi="宋体" w:eastAsia="宋体"/>
                <w:color w:val="auto"/>
                <w:sz w:val="21"/>
                <w:szCs w:val="21"/>
              </w:rPr>
            </w:pPr>
            <w:r>
              <w:rPr>
                <w:rFonts w:hint="eastAsia" w:ascii="宋体" w:hAnsi="宋体" w:eastAsia="宋体"/>
                <w:color w:val="auto"/>
                <w:sz w:val="21"/>
                <w:szCs w:val="21"/>
              </w:rPr>
              <w:t>的照明、通风等设施应采用防爆型，开关设在仓外。配备相应品种和数量的消防器</w:t>
            </w:r>
          </w:p>
          <w:p>
            <w:pPr>
              <w:widowControl/>
              <w:adjustRightInd w:val="0"/>
              <w:snapToGrid w:val="0"/>
              <w:spacing w:line="360" w:lineRule="auto"/>
              <w:rPr>
                <w:rFonts w:ascii="宋体" w:hAnsi="宋体" w:eastAsia="宋体"/>
                <w:color w:val="auto"/>
                <w:sz w:val="21"/>
                <w:szCs w:val="21"/>
              </w:rPr>
            </w:pPr>
            <w:r>
              <w:rPr>
                <w:rFonts w:hint="eastAsia" w:ascii="宋体" w:hAnsi="宋体" w:eastAsia="宋体"/>
                <w:color w:val="auto"/>
                <w:sz w:val="21"/>
                <w:szCs w:val="21"/>
              </w:rPr>
              <w:t>材。罐储时要有防火防爆技术措施。禁止使用易产生火花的机械设备和工具。充装</w:t>
            </w:r>
          </w:p>
          <w:p>
            <w:pPr>
              <w:widowControl/>
              <w:adjustRightInd w:val="0"/>
              <w:snapToGrid w:val="0"/>
              <w:spacing w:line="360" w:lineRule="auto"/>
              <w:rPr>
                <w:rFonts w:ascii="宋体" w:hAnsi="宋体" w:eastAsia="宋体"/>
                <w:color w:val="auto"/>
                <w:sz w:val="21"/>
                <w:szCs w:val="21"/>
              </w:rPr>
            </w:pPr>
            <w:r>
              <w:rPr>
                <w:rFonts w:hint="eastAsia" w:ascii="宋体" w:hAnsi="宋体" w:eastAsia="宋体"/>
                <w:color w:val="auto"/>
                <w:sz w:val="21"/>
                <w:szCs w:val="21"/>
              </w:rPr>
              <w:t>要控制流速，注意防止静电积聚。搬运时要轻装轻卸，防止包装及容器损坏。</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134" w:hRule="atLeast"/>
          <w:jc w:val="center"/>
        </w:trPr>
        <w:tc>
          <w:tcPr>
            <w:tcW w:w="554" w:type="dxa"/>
            <w:vMerge w:val="continue"/>
            <w:tcBorders>
              <w:top w:val="single" w:color="auto" w:sz="6" w:space="0"/>
              <w:left w:val="single" w:color="auto" w:sz="6" w:space="0"/>
              <w:bottom w:val="single" w:color="auto" w:sz="6" w:space="0"/>
              <w:right w:val="single" w:color="auto" w:sz="6" w:space="0"/>
            </w:tcBorders>
            <w:shd w:val="clear" w:color="auto" w:fill="auto"/>
            <w:vAlign w:val="center"/>
          </w:tcPr>
          <w:p>
            <w:pPr>
              <w:widowControl/>
              <w:spacing w:line="360" w:lineRule="auto"/>
              <w:rPr>
                <w:rFonts w:ascii="宋体" w:hAnsi="宋体" w:eastAsia="宋体"/>
                <w:color w:val="auto"/>
                <w:sz w:val="21"/>
                <w:szCs w:val="21"/>
              </w:rPr>
            </w:pPr>
          </w:p>
        </w:tc>
        <w:tc>
          <w:tcPr>
            <w:tcW w:w="1409" w:type="dxa"/>
            <w:tcBorders>
              <w:top w:val="single" w:color="auto" w:sz="6" w:space="0"/>
              <w:left w:val="single" w:color="auto" w:sz="6" w:space="0"/>
              <w:bottom w:val="single" w:color="auto" w:sz="6" w:space="0"/>
              <w:right w:val="single" w:color="auto" w:sz="6" w:space="0"/>
            </w:tcBorders>
            <w:shd w:val="clear" w:color="auto" w:fill="auto"/>
            <w:vAlign w:val="center"/>
          </w:tcPr>
          <w:p>
            <w:pPr>
              <w:spacing w:line="360" w:lineRule="auto"/>
              <w:rPr>
                <w:rFonts w:ascii="宋体" w:hAnsi="宋体" w:eastAsia="宋体"/>
                <w:color w:val="auto"/>
                <w:sz w:val="21"/>
                <w:szCs w:val="21"/>
              </w:rPr>
            </w:pPr>
            <w:r>
              <w:rPr>
                <w:rFonts w:hint="eastAsia" w:ascii="宋体" w:hAnsi="宋体" w:eastAsia="宋体"/>
                <w:color w:val="auto"/>
                <w:sz w:val="21"/>
                <w:szCs w:val="21"/>
              </w:rPr>
              <w:t>禁 忌 物</w:t>
            </w:r>
          </w:p>
        </w:tc>
        <w:tc>
          <w:tcPr>
            <w:tcW w:w="7676" w:type="dxa"/>
            <w:gridSpan w:val="15"/>
            <w:tcBorders>
              <w:top w:val="single" w:color="auto" w:sz="6" w:space="0"/>
              <w:left w:val="single" w:color="auto" w:sz="6" w:space="0"/>
              <w:bottom w:val="single" w:color="auto" w:sz="6" w:space="0"/>
              <w:right w:val="single" w:color="auto" w:sz="6" w:space="0"/>
            </w:tcBorders>
            <w:shd w:val="clear" w:color="auto" w:fill="auto"/>
            <w:vAlign w:val="center"/>
          </w:tcPr>
          <w:p>
            <w:pPr>
              <w:widowControl/>
              <w:adjustRightInd w:val="0"/>
              <w:spacing w:line="360" w:lineRule="auto"/>
              <w:rPr>
                <w:rFonts w:ascii="宋体" w:hAnsi="宋体" w:eastAsia="宋体"/>
                <w:color w:val="auto"/>
                <w:sz w:val="21"/>
                <w:szCs w:val="21"/>
              </w:rPr>
            </w:pPr>
            <w:r>
              <w:rPr>
                <w:rFonts w:hint="eastAsia" w:ascii="宋体" w:hAnsi="宋体" w:eastAsia="宋体"/>
                <w:color w:val="auto"/>
                <w:sz w:val="21"/>
                <w:szCs w:val="21"/>
              </w:rPr>
              <w:t>强氧化剂、强还原剂、塑料。</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96" w:hRule="atLeast"/>
          <w:jc w:val="center"/>
        </w:trPr>
        <w:tc>
          <w:tcPr>
            <w:tcW w:w="554" w:type="dxa"/>
            <w:vMerge w:val="continue"/>
            <w:tcBorders>
              <w:top w:val="single" w:color="auto" w:sz="6" w:space="0"/>
              <w:left w:val="single" w:color="auto" w:sz="6" w:space="0"/>
              <w:bottom w:val="single" w:color="auto" w:sz="6" w:space="0"/>
              <w:right w:val="single" w:color="auto" w:sz="6" w:space="0"/>
            </w:tcBorders>
            <w:shd w:val="clear" w:color="auto" w:fill="auto"/>
            <w:vAlign w:val="center"/>
          </w:tcPr>
          <w:p>
            <w:pPr>
              <w:widowControl/>
              <w:spacing w:line="360" w:lineRule="auto"/>
              <w:rPr>
                <w:rFonts w:ascii="宋体" w:hAnsi="宋体" w:eastAsia="宋体"/>
                <w:color w:val="auto"/>
                <w:sz w:val="21"/>
                <w:szCs w:val="21"/>
              </w:rPr>
            </w:pPr>
          </w:p>
        </w:tc>
        <w:tc>
          <w:tcPr>
            <w:tcW w:w="1409" w:type="dxa"/>
            <w:tcBorders>
              <w:top w:val="single" w:color="auto" w:sz="6" w:space="0"/>
              <w:left w:val="single" w:color="auto" w:sz="6" w:space="0"/>
              <w:bottom w:val="single" w:color="auto" w:sz="6" w:space="0"/>
              <w:right w:val="single" w:color="auto" w:sz="6" w:space="0"/>
            </w:tcBorders>
            <w:shd w:val="clear" w:color="auto" w:fill="auto"/>
            <w:vAlign w:val="center"/>
          </w:tcPr>
          <w:p>
            <w:pPr>
              <w:spacing w:line="360" w:lineRule="auto"/>
              <w:rPr>
                <w:rFonts w:ascii="宋体" w:hAnsi="宋体" w:eastAsia="宋体"/>
                <w:color w:val="auto"/>
                <w:sz w:val="21"/>
                <w:szCs w:val="21"/>
              </w:rPr>
            </w:pPr>
            <w:r>
              <w:rPr>
                <w:rFonts w:hint="eastAsia" w:ascii="宋体" w:hAnsi="宋体" w:eastAsia="宋体"/>
                <w:color w:val="auto"/>
                <w:sz w:val="21"/>
                <w:szCs w:val="21"/>
              </w:rPr>
              <w:t>灭火方法</w:t>
            </w:r>
          </w:p>
        </w:tc>
        <w:tc>
          <w:tcPr>
            <w:tcW w:w="7676" w:type="dxa"/>
            <w:gridSpan w:val="15"/>
            <w:tcBorders>
              <w:top w:val="single" w:color="auto" w:sz="6" w:space="0"/>
              <w:left w:val="single" w:color="auto" w:sz="6" w:space="0"/>
              <w:bottom w:val="single" w:color="auto" w:sz="6" w:space="0"/>
              <w:right w:val="single" w:color="auto" w:sz="6" w:space="0"/>
            </w:tcBorders>
            <w:shd w:val="clear" w:color="auto" w:fill="auto"/>
            <w:vAlign w:val="center"/>
          </w:tcPr>
          <w:p>
            <w:pPr>
              <w:spacing w:line="360" w:lineRule="auto"/>
              <w:rPr>
                <w:rFonts w:ascii="宋体" w:hAnsi="宋体" w:eastAsia="宋体"/>
                <w:color w:val="auto"/>
                <w:sz w:val="21"/>
                <w:szCs w:val="21"/>
              </w:rPr>
            </w:pPr>
            <w:r>
              <w:rPr>
                <w:rFonts w:hint="eastAsia" w:ascii="宋体" w:hAnsi="宋体" w:eastAsia="宋体"/>
                <w:color w:val="auto"/>
                <w:sz w:val="21"/>
                <w:szCs w:val="21"/>
              </w:rPr>
              <w:t>泡沫、二氧化碳、干粉、砂土。</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1473" w:hRule="atLeast"/>
          <w:jc w:val="center"/>
        </w:trPr>
        <w:tc>
          <w:tcPr>
            <w:tcW w:w="554" w:type="dxa"/>
            <w:vMerge w:val="continue"/>
            <w:tcBorders>
              <w:top w:val="single" w:color="auto" w:sz="6" w:space="0"/>
              <w:left w:val="single" w:color="auto" w:sz="6" w:space="0"/>
              <w:bottom w:val="single" w:color="auto" w:sz="6" w:space="0"/>
              <w:right w:val="single" w:color="auto" w:sz="6" w:space="0"/>
            </w:tcBorders>
            <w:shd w:val="clear" w:color="auto" w:fill="auto"/>
            <w:vAlign w:val="center"/>
          </w:tcPr>
          <w:p>
            <w:pPr>
              <w:widowControl/>
              <w:spacing w:line="360" w:lineRule="auto"/>
              <w:rPr>
                <w:rFonts w:ascii="宋体" w:hAnsi="宋体" w:eastAsia="宋体"/>
                <w:color w:val="auto"/>
                <w:sz w:val="21"/>
                <w:szCs w:val="21"/>
              </w:rPr>
            </w:pPr>
          </w:p>
        </w:tc>
        <w:tc>
          <w:tcPr>
            <w:tcW w:w="1409"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adjustRightInd w:val="0"/>
              <w:spacing w:line="360" w:lineRule="auto"/>
              <w:rPr>
                <w:rFonts w:ascii="宋体" w:hAnsi="宋体" w:eastAsia="宋体"/>
                <w:color w:val="auto"/>
                <w:sz w:val="21"/>
                <w:szCs w:val="21"/>
              </w:rPr>
            </w:pPr>
            <w:r>
              <w:rPr>
                <w:rFonts w:hint="eastAsia" w:ascii="宋体" w:hAnsi="宋体" w:eastAsia="宋体"/>
                <w:color w:val="auto"/>
                <w:sz w:val="21"/>
                <w:szCs w:val="21"/>
              </w:rPr>
              <w:t>泄漏处置</w:t>
            </w:r>
          </w:p>
        </w:tc>
        <w:tc>
          <w:tcPr>
            <w:tcW w:w="7676" w:type="dxa"/>
            <w:gridSpan w:val="15"/>
            <w:tcBorders>
              <w:top w:val="single" w:color="auto" w:sz="6" w:space="0"/>
              <w:left w:val="single" w:color="auto" w:sz="6" w:space="0"/>
              <w:bottom w:val="single" w:color="auto" w:sz="6" w:space="0"/>
              <w:right w:val="single" w:color="auto" w:sz="6" w:space="0"/>
            </w:tcBorders>
            <w:shd w:val="clear" w:color="auto" w:fill="auto"/>
            <w:vAlign w:val="center"/>
          </w:tcPr>
          <w:p>
            <w:pPr>
              <w:widowControl/>
              <w:spacing w:line="360" w:lineRule="auto"/>
              <w:rPr>
                <w:rFonts w:ascii="宋体" w:hAnsi="宋体" w:eastAsia="宋体"/>
                <w:color w:val="auto"/>
                <w:sz w:val="21"/>
                <w:szCs w:val="21"/>
              </w:rPr>
            </w:pPr>
            <w:r>
              <w:rPr>
                <w:rFonts w:hint="eastAsia" w:ascii="宋体" w:hAnsi="宋体" w:eastAsia="宋体"/>
                <w:color w:val="auto"/>
                <w:sz w:val="21"/>
                <w:szCs w:val="21"/>
              </w:rPr>
              <w:t>疏散泄漏污染区人员至安全区，禁止无关人员进入污染区，切断火源。建议应急处</w:t>
            </w:r>
          </w:p>
          <w:p>
            <w:pPr>
              <w:widowControl/>
              <w:spacing w:line="360" w:lineRule="auto"/>
              <w:rPr>
                <w:rFonts w:ascii="宋体" w:hAnsi="宋体" w:eastAsia="宋体"/>
                <w:color w:val="auto"/>
                <w:sz w:val="21"/>
                <w:szCs w:val="21"/>
              </w:rPr>
            </w:pPr>
            <w:r>
              <w:rPr>
                <w:rFonts w:hint="eastAsia" w:ascii="宋体" w:hAnsi="宋体" w:eastAsia="宋体"/>
                <w:color w:val="auto"/>
                <w:sz w:val="21"/>
                <w:szCs w:val="21"/>
              </w:rPr>
              <w:t>理人员戴好防毒面具，穿一般消防防护服。在确保安全情况下堵漏。喷水雾会减少</w:t>
            </w:r>
          </w:p>
          <w:p>
            <w:pPr>
              <w:widowControl/>
              <w:spacing w:line="360" w:lineRule="auto"/>
              <w:rPr>
                <w:rFonts w:ascii="宋体" w:hAnsi="宋体" w:eastAsia="宋体"/>
                <w:color w:val="auto"/>
                <w:sz w:val="21"/>
                <w:szCs w:val="21"/>
              </w:rPr>
            </w:pPr>
            <w:r>
              <w:rPr>
                <w:rFonts w:hint="eastAsia" w:ascii="宋体" w:hAnsi="宋体" w:eastAsia="宋体"/>
                <w:color w:val="auto"/>
                <w:sz w:val="21"/>
                <w:szCs w:val="21"/>
              </w:rPr>
              <w:t>蒸发，但不能降低泄漏物在受限制空间内的易燃性。用沙土或其它不燃性吸附剂混</w:t>
            </w:r>
          </w:p>
          <w:p>
            <w:pPr>
              <w:widowControl/>
              <w:spacing w:line="360" w:lineRule="auto"/>
              <w:rPr>
                <w:rFonts w:ascii="宋体" w:hAnsi="宋体" w:eastAsia="宋体"/>
                <w:color w:val="auto"/>
                <w:sz w:val="21"/>
                <w:szCs w:val="21"/>
              </w:rPr>
            </w:pPr>
            <w:r>
              <w:rPr>
                <w:rFonts w:hint="eastAsia" w:ascii="宋体" w:hAnsi="宋体" w:eastAsia="宋体"/>
                <w:color w:val="auto"/>
                <w:sz w:val="21"/>
                <w:szCs w:val="21"/>
              </w:rPr>
              <w:t>合吸收，然后收集运至废物处理场所处置。也可以用大量水冲洗，经稀释的洗水放</w:t>
            </w:r>
          </w:p>
          <w:p>
            <w:pPr>
              <w:widowControl/>
              <w:spacing w:line="360" w:lineRule="auto"/>
              <w:rPr>
                <w:rFonts w:ascii="宋体" w:hAnsi="宋体" w:eastAsia="宋体"/>
                <w:color w:val="auto"/>
                <w:sz w:val="21"/>
                <w:szCs w:val="21"/>
              </w:rPr>
            </w:pPr>
            <w:r>
              <w:rPr>
                <w:rFonts w:hint="eastAsia" w:ascii="宋体" w:hAnsi="宋体" w:eastAsia="宋体"/>
                <w:color w:val="auto"/>
                <w:sz w:val="21"/>
                <w:szCs w:val="21"/>
              </w:rPr>
              <w:t>入废水系统。如大量泄漏，利用围堤收容，然后收集、转移、回收或无害处理后废</w:t>
            </w:r>
          </w:p>
          <w:p>
            <w:pPr>
              <w:widowControl/>
              <w:spacing w:line="360" w:lineRule="auto"/>
              <w:rPr>
                <w:rFonts w:ascii="宋体" w:hAnsi="宋体" w:eastAsia="宋体"/>
                <w:color w:val="auto"/>
                <w:sz w:val="21"/>
                <w:szCs w:val="21"/>
              </w:rPr>
            </w:pPr>
            <w:r>
              <w:rPr>
                <w:rFonts w:hint="eastAsia" w:ascii="宋体" w:hAnsi="宋体" w:eastAsia="宋体"/>
                <w:color w:val="auto"/>
                <w:sz w:val="21"/>
                <w:szCs w:val="21"/>
              </w:rPr>
              <w:t>弃。</w:t>
            </w:r>
          </w:p>
        </w:tc>
      </w:tr>
    </w:tbl>
    <w:p>
      <w:pPr>
        <w:spacing w:line="560" w:lineRule="exact"/>
        <w:jc w:val="center"/>
        <w:outlineLvl w:val="2"/>
        <w:rPr>
          <w:rFonts w:ascii="宋体" w:hAnsi="宋体" w:eastAsia="宋体" w:cs="Times New Roman"/>
          <w:b/>
          <w:bCs/>
          <w:color w:val="auto"/>
          <w:kern w:val="2"/>
          <w:lang w:val="en-US" w:bidi="ar-SA"/>
        </w:rPr>
      </w:pPr>
      <w:r>
        <w:rPr>
          <w:rFonts w:hint="eastAsia" w:ascii="宋体" w:hAnsi="宋体" w:eastAsia="宋体" w:cs="Times New Roman"/>
          <w:b/>
          <w:bCs/>
          <w:color w:val="auto"/>
          <w:kern w:val="2"/>
          <w:lang w:val="en-US" w:bidi="ar-SA"/>
        </w:rPr>
        <w:t>附表1-11苯乙烯[抑制了的]的理化特性表</w:t>
      </w:r>
    </w:p>
    <w:tbl>
      <w:tblPr>
        <w:tblStyle w:val="45"/>
        <w:tblW w:w="9639" w:type="dxa"/>
        <w:jc w:val="center"/>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autofit"/>
        <w:tblCellMar>
          <w:top w:w="0" w:type="dxa"/>
          <w:left w:w="108" w:type="dxa"/>
          <w:bottom w:w="0" w:type="dxa"/>
          <w:right w:w="108" w:type="dxa"/>
        </w:tblCellMar>
      </w:tblPr>
      <w:tblGrid>
        <w:gridCol w:w="552"/>
        <w:gridCol w:w="1395"/>
        <w:gridCol w:w="495"/>
        <w:gridCol w:w="571"/>
        <w:gridCol w:w="608"/>
        <w:gridCol w:w="168"/>
        <w:gridCol w:w="206"/>
        <w:gridCol w:w="1300"/>
        <w:gridCol w:w="6"/>
        <w:gridCol w:w="708"/>
        <w:gridCol w:w="54"/>
        <w:gridCol w:w="658"/>
        <w:gridCol w:w="158"/>
        <w:gridCol w:w="366"/>
        <w:gridCol w:w="208"/>
        <w:gridCol w:w="685"/>
        <w:gridCol w:w="98"/>
        <w:gridCol w:w="1403"/>
      </w:tblGrid>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446" w:hRule="atLeast"/>
          <w:jc w:val="center"/>
        </w:trPr>
        <w:tc>
          <w:tcPr>
            <w:tcW w:w="552" w:type="dxa"/>
            <w:vMerge w:val="restart"/>
            <w:tcBorders>
              <w:top w:val="single" w:color="auto" w:sz="4" w:space="0"/>
              <w:left w:val="single" w:color="auto" w:sz="6" w:space="0"/>
              <w:bottom w:val="single" w:color="auto" w:sz="6" w:space="0"/>
              <w:right w:val="single" w:color="auto" w:sz="6" w:space="0"/>
            </w:tcBorders>
            <w:shd w:val="clear" w:color="auto" w:fill="auto"/>
            <w:vAlign w:val="center"/>
          </w:tcPr>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标识</w:t>
            </w:r>
          </w:p>
        </w:tc>
        <w:tc>
          <w:tcPr>
            <w:tcW w:w="6327" w:type="dxa"/>
            <w:gridSpan w:val="12"/>
            <w:tcBorders>
              <w:top w:val="single" w:color="auto" w:sz="4" w:space="0"/>
              <w:left w:val="single" w:color="auto" w:sz="6" w:space="0"/>
              <w:bottom w:val="single" w:color="auto" w:sz="6" w:space="0"/>
              <w:right w:val="single" w:color="auto" w:sz="6" w:space="0"/>
            </w:tcBorders>
            <w:shd w:val="clear" w:color="auto" w:fill="auto"/>
            <w:vAlign w:val="center"/>
          </w:tcPr>
          <w:p>
            <w:pPr>
              <w:spacing w:line="360" w:lineRule="auto"/>
              <w:rPr>
                <w:rFonts w:ascii="宋体" w:hAnsi="宋体" w:eastAsia="宋体"/>
                <w:color w:val="auto"/>
                <w:sz w:val="21"/>
                <w:szCs w:val="21"/>
              </w:rPr>
            </w:pPr>
            <w:r>
              <w:rPr>
                <w:rFonts w:hint="eastAsia" w:ascii="宋体" w:hAnsi="宋体" w:eastAsia="宋体"/>
                <w:color w:val="auto"/>
                <w:spacing w:val="10"/>
                <w:sz w:val="21"/>
                <w:szCs w:val="21"/>
              </w:rPr>
              <w:t>中文名：</w:t>
            </w:r>
            <w:r>
              <w:rPr>
                <w:rFonts w:hint="eastAsia" w:ascii="宋体" w:hAnsi="宋体" w:eastAsia="宋体"/>
                <w:color w:val="auto"/>
                <w:sz w:val="21"/>
                <w:szCs w:val="21"/>
              </w:rPr>
              <w:t>苯乙烯；乙烯基苯；乙烯苯；苏合香烯</w:t>
            </w:r>
          </w:p>
        </w:tc>
        <w:tc>
          <w:tcPr>
            <w:tcW w:w="2760" w:type="dxa"/>
            <w:gridSpan w:val="5"/>
            <w:tcBorders>
              <w:top w:val="single" w:color="auto" w:sz="4" w:space="0"/>
              <w:left w:val="single" w:color="auto" w:sz="6" w:space="0"/>
              <w:bottom w:val="single" w:color="auto" w:sz="6" w:space="0"/>
              <w:right w:val="single" w:color="auto" w:sz="6" w:space="0"/>
            </w:tcBorders>
            <w:shd w:val="clear" w:color="auto" w:fill="auto"/>
            <w:vAlign w:val="center"/>
          </w:tcPr>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危险化学品序号：96</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300" w:hRule="atLeast"/>
          <w:jc w:val="center"/>
        </w:trPr>
        <w:tc>
          <w:tcPr>
            <w:tcW w:w="552" w:type="dxa"/>
            <w:vMerge w:val="continue"/>
            <w:tcBorders>
              <w:top w:val="single" w:color="auto" w:sz="6" w:space="0"/>
              <w:left w:val="single" w:color="auto" w:sz="6" w:space="0"/>
              <w:bottom w:val="single" w:color="auto" w:sz="6" w:space="0"/>
              <w:right w:val="single" w:color="auto" w:sz="6" w:space="0"/>
            </w:tcBorders>
            <w:shd w:val="clear" w:color="auto" w:fill="auto"/>
            <w:vAlign w:val="center"/>
          </w:tcPr>
          <w:p>
            <w:pPr>
              <w:spacing w:line="360" w:lineRule="auto"/>
              <w:jc w:val="center"/>
              <w:rPr>
                <w:rFonts w:ascii="宋体" w:hAnsi="宋体" w:eastAsia="宋体"/>
                <w:color w:val="auto"/>
                <w:spacing w:val="10"/>
                <w:sz w:val="21"/>
                <w:szCs w:val="21"/>
              </w:rPr>
            </w:pPr>
          </w:p>
        </w:tc>
        <w:tc>
          <w:tcPr>
            <w:tcW w:w="6327" w:type="dxa"/>
            <w:gridSpan w:val="12"/>
            <w:tcBorders>
              <w:top w:val="nil"/>
              <w:left w:val="single" w:color="auto" w:sz="6" w:space="0"/>
              <w:right w:val="single" w:color="auto" w:sz="6" w:space="0"/>
            </w:tcBorders>
            <w:shd w:val="clear" w:color="auto" w:fill="auto"/>
            <w:vAlign w:val="center"/>
          </w:tcPr>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英文名：</w:t>
            </w:r>
            <w:r>
              <w:rPr>
                <w:rFonts w:hint="eastAsia" w:ascii="宋体" w:hAnsi="宋体" w:eastAsia="宋体"/>
                <w:color w:val="auto"/>
                <w:sz w:val="21"/>
                <w:szCs w:val="21"/>
              </w:rPr>
              <w:t>Phenylethylene；Styrene</w:t>
            </w:r>
          </w:p>
        </w:tc>
        <w:tc>
          <w:tcPr>
            <w:tcW w:w="2760" w:type="dxa"/>
            <w:gridSpan w:val="5"/>
            <w:tcBorders>
              <w:top w:val="single" w:color="auto" w:sz="6" w:space="0"/>
              <w:left w:val="single" w:color="auto" w:sz="6" w:space="0"/>
              <w:right w:val="single" w:color="auto" w:sz="6" w:space="0"/>
            </w:tcBorders>
            <w:shd w:val="clear" w:color="auto" w:fill="auto"/>
            <w:vAlign w:val="center"/>
          </w:tcPr>
          <w:p>
            <w:pPr>
              <w:widowControl/>
              <w:spacing w:line="360" w:lineRule="auto"/>
              <w:rPr>
                <w:rFonts w:ascii="宋体" w:hAnsi="宋体" w:eastAsia="宋体"/>
                <w:color w:val="auto"/>
                <w:sz w:val="21"/>
                <w:szCs w:val="21"/>
              </w:rPr>
            </w:pPr>
            <w:r>
              <w:rPr>
                <w:rFonts w:hint="eastAsia" w:ascii="宋体" w:hAnsi="宋体" w:eastAsia="宋体"/>
                <w:color w:val="auto"/>
                <w:spacing w:val="10"/>
                <w:sz w:val="21"/>
                <w:szCs w:val="21"/>
              </w:rPr>
              <w:t>UN编号：</w:t>
            </w:r>
            <w:r>
              <w:rPr>
                <w:rFonts w:hint="eastAsia" w:ascii="宋体" w:hAnsi="宋体" w:eastAsia="宋体"/>
                <w:color w:val="auto"/>
                <w:sz w:val="21"/>
                <w:szCs w:val="21"/>
              </w:rPr>
              <w:t>2055</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90" w:hRule="atLeast"/>
          <w:jc w:val="center"/>
        </w:trPr>
        <w:tc>
          <w:tcPr>
            <w:tcW w:w="552" w:type="dxa"/>
            <w:vMerge w:val="continue"/>
            <w:tcBorders>
              <w:top w:val="single" w:color="auto" w:sz="6" w:space="0"/>
              <w:left w:val="single" w:color="auto" w:sz="6" w:space="0"/>
              <w:bottom w:val="single" w:color="auto" w:sz="6" w:space="0"/>
              <w:right w:val="single" w:color="auto" w:sz="6" w:space="0"/>
            </w:tcBorders>
            <w:shd w:val="clear" w:color="auto" w:fill="auto"/>
            <w:vAlign w:val="center"/>
          </w:tcPr>
          <w:p>
            <w:pPr>
              <w:widowControl/>
              <w:spacing w:line="360" w:lineRule="auto"/>
              <w:rPr>
                <w:rFonts w:ascii="宋体" w:hAnsi="宋体" w:eastAsia="宋体"/>
                <w:color w:val="auto"/>
                <w:spacing w:val="10"/>
                <w:sz w:val="21"/>
                <w:szCs w:val="21"/>
              </w:rPr>
            </w:pPr>
          </w:p>
        </w:tc>
        <w:tc>
          <w:tcPr>
            <w:tcW w:w="3443" w:type="dxa"/>
            <w:gridSpan w:val="6"/>
            <w:tcBorders>
              <w:top w:val="single" w:color="auto" w:sz="6" w:space="0"/>
              <w:left w:val="single" w:color="auto" w:sz="6" w:space="0"/>
              <w:bottom w:val="single" w:color="auto" w:sz="6" w:space="0"/>
              <w:right w:val="single" w:color="auto" w:sz="6" w:space="0"/>
            </w:tcBorders>
            <w:shd w:val="clear" w:color="auto" w:fill="auto"/>
            <w:vAlign w:val="center"/>
          </w:tcPr>
          <w:p>
            <w:pPr>
              <w:spacing w:line="360" w:lineRule="auto"/>
              <w:ind w:left="880" w:hanging="920" w:hangingChars="400"/>
              <w:rPr>
                <w:rFonts w:ascii="宋体" w:hAnsi="宋体" w:eastAsia="宋体"/>
                <w:color w:val="auto"/>
                <w:spacing w:val="10"/>
                <w:sz w:val="21"/>
                <w:szCs w:val="21"/>
              </w:rPr>
            </w:pPr>
            <w:r>
              <w:rPr>
                <w:rFonts w:hint="eastAsia" w:ascii="宋体" w:hAnsi="宋体" w:eastAsia="宋体"/>
                <w:color w:val="auto"/>
                <w:spacing w:val="10"/>
                <w:sz w:val="21"/>
                <w:szCs w:val="21"/>
              </w:rPr>
              <w:t>分子式：</w:t>
            </w:r>
            <w:r>
              <w:rPr>
                <w:rFonts w:hint="eastAsia" w:ascii="宋体" w:hAnsi="宋体" w:eastAsia="宋体"/>
                <w:color w:val="auto"/>
                <w:sz w:val="21"/>
                <w:szCs w:val="21"/>
              </w:rPr>
              <w:t>C</w:t>
            </w:r>
            <w:r>
              <w:rPr>
                <w:rFonts w:hint="eastAsia" w:ascii="宋体" w:hAnsi="宋体" w:eastAsia="宋体"/>
                <w:color w:val="auto"/>
                <w:sz w:val="21"/>
                <w:szCs w:val="21"/>
                <w:vertAlign w:val="subscript"/>
              </w:rPr>
              <w:t>8</w:t>
            </w:r>
            <w:r>
              <w:rPr>
                <w:rFonts w:hint="eastAsia" w:ascii="宋体" w:hAnsi="宋体" w:eastAsia="宋体"/>
                <w:color w:val="auto"/>
                <w:sz w:val="21"/>
                <w:szCs w:val="21"/>
              </w:rPr>
              <w:t>H</w:t>
            </w:r>
            <w:r>
              <w:rPr>
                <w:rFonts w:hint="eastAsia" w:ascii="宋体" w:hAnsi="宋体" w:eastAsia="宋体"/>
                <w:color w:val="auto"/>
                <w:sz w:val="21"/>
                <w:szCs w:val="21"/>
                <w:vertAlign w:val="subscript"/>
              </w:rPr>
              <w:t>8</w:t>
            </w:r>
          </w:p>
        </w:tc>
        <w:tc>
          <w:tcPr>
            <w:tcW w:w="2884" w:type="dxa"/>
            <w:gridSpan w:val="6"/>
            <w:tcBorders>
              <w:top w:val="single" w:color="auto" w:sz="6" w:space="0"/>
              <w:left w:val="single" w:color="auto" w:sz="6" w:space="0"/>
              <w:bottom w:val="single" w:color="auto" w:sz="6" w:space="0"/>
              <w:right w:val="single" w:color="auto" w:sz="6" w:space="0"/>
            </w:tcBorders>
            <w:shd w:val="clear" w:color="auto" w:fill="auto"/>
            <w:vAlign w:val="center"/>
          </w:tcPr>
          <w:p>
            <w:pPr>
              <w:widowControl/>
              <w:spacing w:line="360" w:lineRule="auto"/>
              <w:rPr>
                <w:rFonts w:ascii="宋体" w:hAnsi="宋体" w:eastAsia="宋体"/>
                <w:color w:val="auto"/>
                <w:sz w:val="21"/>
                <w:szCs w:val="21"/>
              </w:rPr>
            </w:pPr>
            <w:r>
              <w:rPr>
                <w:rFonts w:hint="eastAsia" w:ascii="宋体" w:hAnsi="宋体" w:eastAsia="宋体"/>
                <w:color w:val="auto"/>
                <w:spacing w:val="10"/>
                <w:sz w:val="21"/>
                <w:szCs w:val="21"/>
              </w:rPr>
              <w:t>分子量：</w:t>
            </w:r>
            <w:r>
              <w:rPr>
                <w:rFonts w:hint="eastAsia" w:ascii="宋体" w:hAnsi="宋体" w:eastAsia="宋体"/>
                <w:color w:val="auto"/>
                <w:sz w:val="21"/>
                <w:szCs w:val="21"/>
              </w:rPr>
              <w:t>104.14  </w:t>
            </w:r>
          </w:p>
        </w:tc>
        <w:tc>
          <w:tcPr>
            <w:tcW w:w="2760" w:type="dxa"/>
            <w:gridSpan w:val="5"/>
            <w:tcBorders>
              <w:top w:val="single" w:color="auto" w:sz="6" w:space="0"/>
              <w:left w:val="single" w:color="auto" w:sz="6" w:space="0"/>
              <w:bottom w:val="single" w:color="auto" w:sz="6" w:space="0"/>
              <w:right w:val="single" w:color="auto" w:sz="6" w:space="0"/>
            </w:tcBorders>
            <w:shd w:val="clear" w:color="auto" w:fill="auto"/>
            <w:vAlign w:val="center"/>
          </w:tcPr>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CAS号：</w:t>
            </w:r>
            <w:r>
              <w:rPr>
                <w:rFonts w:hint="eastAsia" w:ascii="宋体" w:hAnsi="宋体" w:eastAsia="宋体"/>
                <w:color w:val="auto"/>
                <w:sz w:val="21"/>
                <w:szCs w:val="21"/>
              </w:rPr>
              <w:t>100-42-5</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52" w:hRule="atLeast"/>
          <w:jc w:val="center"/>
        </w:trPr>
        <w:tc>
          <w:tcPr>
            <w:tcW w:w="552" w:type="dxa"/>
            <w:vMerge w:val="restart"/>
            <w:tcBorders>
              <w:top w:val="single" w:color="auto" w:sz="6" w:space="0"/>
              <w:left w:val="single" w:color="auto" w:sz="6" w:space="0"/>
              <w:right w:val="single" w:color="auto" w:sz="6" w:space="0"/>
            </w:tcBorders>
            <w:shd w:val="clear" w:color="auto" w:fill="auto"/>
            <w:vAlign w:val="center"/>
          </w:tcPr>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理化性质</w:t>
            </w:r>
          </w:p>
        </w:tc>
        <w:tc>
          <w:tcPr>
            <w:tcW w:w="1890" w:type="dxa"/>
            <w:gridSpan w:val="2"/>
            <w:tcBorders>
              <w:top w:val="single" w:color="auto" w:sz="6" w:space="0"/>
              <w:left w:val="single" w:color="auto" w:sz="6" w:space="0"/>
              <w:bottom w:val="single" w:color="auto" w:sz="6" w:space="0"/>
              <w:right w:val="single" w:color="auto" w:sz="4" w:space="0"/>
            </w:tcBorders>
            <w:shd w:val="clear" w:color="auto" w:fill="auto"/>
            <w:vAlign w:val="center"/>
          </w:tcPr>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外观与性状</w:t>
            </w:r>
          </w:p>
        </w:tc>
        <w:tc>
          <w:tcPr>
            <w:tcW w:w="7197" w:type="dxa"/>
            <w:gridSpan w:val="15"/>
            <w:tcBorders>
              <w:top w:val="single" w:color="auto" w:sz="6" w:space="0"/>
              <w:left w:val="single" w:color="auto" w:sz="4" w:space="0"/>
              <w:bottom w:val="single" w:color="auto" w:sz="6" w:space="0"/>
              <w:right w:val="single" w:color="auto" w:sz="6" w:space="0"/>
            </w:tcBorders>
            <w:shd w:val="clear" w:color="auto" w:fill="auto"/>
            <w:vAlign w:val="center"/>
          </w:tcPr>
          <w:p>
            <w:pPr>
              <w:spacing w:line="360" w:lineRule="auto"/>
              <w:ind w:left="374" w:hanging="373" w:hangingChars="178"/>
              <w:rPr>
                <w:rFonts w:ascii="宋体" w:hAnsi="宋体" w:eastAsia="宋体"/>
                <w:color w:val="auto"/>
                <w:spacing w:val="10"/>
                <w:sz w:val="21"/>
                <w:szCs w:val="21"/>
              </w:rPr>
            </w:pPr>
            <w:r>
              <w:rPr>
                <w:rFonts w:hint="eastAsia" w:ascii="宋体" w:hAnsi="宋体" w:eastAsia="宋体"/>
                <w:color w:val="auto"/>
                <w:sz w:val="21"/>
                <w:szCs w:val="21"/>
              </w:rPr>
              <w:t>无色透明油状液体。有令人讨厌的刺激性气味。</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86" w:hRule="atLeast"/>
          <w:jc w:val="center"/>
        </w:trPr>
        <w:tc>
          <w:tcPr>
            <w:tcW w:w="552" w:type="dxa"/>
            <w:vMerge w:val="continue"/>
            <w:tcBorders>
              <w:left w:val="single" w:color="auto" w:sz="6" w:space="0"/>
              <w:right w:val="single" w:color="auto" w:sz="6" w:space="0"/>
            </w:tcBorders>
            <w:shd w:val="clear" w:color="auto" w:fill="auto"/>
            <w:vAlign w:val="center"/>
          </w:tcPr>
          <w:p>
            <w:pPr>
              <w:widowControl/>
              <w:spacing w:line="360" w:lineRule="auto"/>
              <w:rPr>
                <w:rFonts w:ascii="宋体" w:hAnsi="宋体" w:eastAsia="宋体"/>
                <w:color w:val="auto"/>
                <w:spacing w:val="10"/>
                <w:sz w:val="21"/>
                <w:szCs w:val="21"/>
              </w:rPr>
            </w:pPr>
          </w:p>
        </w:tc>
        <w:tc>
          <w:tcPr>
            <w:tcW w:w="1890" w:type="dxa"/>
            <w:gridSpan w:val="2"/>
            <w:tcBorders>
              <w:top w:val="single" w:color="auto" w:sz="6" w:space="0"/>
              <w:left w:val="single" w:color="auto" w:sz="6" w:space="0"/>
              <w:bottom w:val="single" w:color="auto" w:sz="6" w:space="0"/>
              <w:right w:val="single" w:color="auto" w:sz="4" w:space="0"/>
            </w:tcBorders>
            <w:shd w:val="clear" w:color="auto" w:fill="auto"/>
            <w:vAlign w:val="center"/>
          </w:tcPr>
          <w:p>
            <w:pPr>
              <w:spacing w:line="360" w:lineRule="auto"/>
              <w:rPr>
                <w:rFonts w:ascii="宋体" w:hAnsi="宋体" w:eastAsia="宋体"/>
                <w:color w:val="auto"/>
                <w:spacing w:val="10"/>
                <w:sz w:val="21"/>
                <w:szCs w:val="21"/>
              </w:rPr>
            </w:pPr>
            <w:r>
              <w:rPr>
                <w:rFonts w:hint="eastAsia" w:ascii="宋体" w:hAnsi="宋体" w:eastAsia="宋体"/>
                <w:color w:val="auto"/>
                <w:sz w:val="21"/>
                <w:szCs w:val="21"/>
              </w:rPr>
              <w:t>主要用途</w:t>
            </w:r>
          </w:p>
        </w:tc>
        <w:tc>
          <w:tcPr>
            <w:tcW w:w="7197" w:type="dxa"/>
            <w:gridSpan w:val="15"/>
            <w:tcBorders>
              <w:top w:val="single" w:color="auto" w:sz="6" w:space="0"/>
              <w:left w:val="single" w:color="auto" w:sz="4" w:space="0"/>
              <w:bottom w:val="single" w:color="auto" w:sz="6" w:space="0"/>
              <w:right w:val="single" w:color="auto" w:sz="6" w:space="0"/>
            </w:tcBorders>
            <w:shd w:val="clear" w:color="auto" w:fill="auto"/>
            <w:vAlign w:val="center"/>
          </w:tcPr>
          <w:p>
            <w:pPr>
              <w:spacing w:line="360" w:lineRule="auto"/>
              <w:rPr>
                <w:rFonts w:ascii="宋体" w:hAnsi="宋体" w:eastAsia="宋体"/>
                <w:color w:val="auto"/>
                <w:spacing w:val="10"/>
                <w:sz w:val="21"/>
                <w:szCs w:val="21"/>
              </w:rPr>
            </w:pPr>
            <w:r>
              <w:rPr>
                <w:rFonts w:hint="eastAsia" w:ascii="宋体" w:hAnsi="宋体" w:eastAsia="宋体"/>
                <w:color w:val="auto"/>
                <w:sz w:val="21"/>
                <w:szCs w:val="21"/>
              </w:rPr>
              <w:t>用于制聚苯乙烯、合成橡胶、离子交换树脂等。</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63" w:hRule="atLeast"/>
          <w:jc w:val="center"/>
        </w:trPr>
        <w:tc>
          <w:tcPr>
            <w:tcW w:w="552" w:type="dxa"/>
            <w:vMerge w:val="continue"/>
            <w:tcBorders>
              <w:left w:val="single" w:color="auto" w:sz="6" w:space="0"/>
              <w:right w:val="single" w:color="auto" w:sz="6" w:space="0"/>
            </w:tcBorders>
            <w:shd w:val="clear" w:color="auto" w:fill="auto"/>
            <w:vAlign w:val="center"/>
          </w:tcPr>
          <w:p>
            <w:pPr>
              <w:widowControl/>
              <w:spacing w:line="360" w:lineRule="auto"/>
              <w:rPr>
                <w:rFonts w:ascii="宋体" w:hAnsi="宋体" w:eastAsia="宋体"/>
                <w:color w:val="auto"/>
                <w:spacing w:val="10"/>
                <w:sz w:val="21"/>
                <w:szCs w:val="21"/>
              </w:rPr>
            </w:pPr>
          </w:p>
        </w:tc>
        <w:tc>
          <w:tcPr>
            <w:tcW w:w="1395" w:type="dxa"/>
            <w:tcBorders>
              <w:top w:val="single" w:color="auto" w:sz="6" w:space="0"/>
              <w:left w:val="single" w:color="auto" w:sz="6" w:space="0"/>
              <w:bottom w:val="single" w:color="auto" w:sz="6" w:space="0"/>
              <w:right w:val="single" w:color="auto" w:sz="4" w:space="0"/>
            </w:tcBorders>
            <w:shd w:val="clear" w:color="auto" w:fill="auto"/>
            <w:vAlign w:val="center"/>
          </w:tcPr>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熔点（</w:t>
            </w:r>
            <w:r>
              <w:rPr>
                <w:rFonts w:hint="eastAsia" w:ascii="宋体" w:hAnsi="宋体" w:eastAsia="宋体" w:cs="宋体"/>
                <w:color w:val="auto"/>
                <w:spacing w:val="10"/>
                <w:sz w:val="21"/>
                <w:szCs w:val="21"/>
              </w:rPr>
              <w:t>℃</w:t>
            </w:r>
            <w:r>
              <w:rPr>
                <w:rFonts w:hint="eastAsia" w:ascii="宋体" w:hAnsi="宋体" w:eastAsia="宋体"/>
                <w:color w:val="auto"/>
                <w:spacing w:val="10"/>
                <w:sz w:val="21"/>
                <w:szCs w:val="21"/>
              </w:rPr>
              <w:t>）</w:t>
            </w:r>
          </w:p>
        </w:tc>
        <w:tc>
          <w:tcPr>
            <w:tcW w:w="1066" w:type="dxa"/>
            <w:gridSpan w:val="2"/>
            <w:tcBorders>
              <w:top w:val="single" w:color="auto" w:sz="6" w:space="0"/>
              <w:left w:val="single" w:color="auto" w:sz="4" w:space="0"/>
              <w:bottom w:val="single" w:color="auto" w:sz="6" w:space="0"/>
              <w:right w:val="single" w:color="auto" w:sz="6" w:space="0"/>
            </w:tcBorders>
            <w:shd w:val="clear" w:color="auto" w:fill="auto"/>
            <w:vAlign w:val="center"/>
          </w:tcPr>
          <w:p>
            <w:pPr>
              <w:spacing w:line="360" w:lineRule="auto"/>
              <w:rPr>
                <w:rFonts w:ascii="宋体" w:hAnsi="宋体" w:eastAsia="宋体"/>
                <w:color w:val="auto"/>
                <w:spacing w:val="10"/>
                <w:sz w:val="21"/>
                <w:szCs w:val="21"/>
              </w:rPr>
            </w:pPr>
            <w:r>
              <w:rPr>
                <w:rFonts w:hint="eastAsia" w:ascii="宋体" w:hAnsi="宋体" w:eastAsia="宋体"/>
                <w:color w:val="auto"/>
                <w:sz w:val="21"/>
                <w:szCs w:val="21"/>
              </w:rPr>
              <w:t>-30.6</w:t>
            </w:r>
          </w:p>
        </w:tc>
        <w:tc>
          <w:tcPr>
            <w:tcW w:w="2282" w:type="dxa"/>
            <w:gridSpan w:val="4"/>
            <w:tcBorders>
              <w:top w:val="single" w:color="auto" w:sz="6" w:space="0"/>
              <w:left w:val="single" w:color="auto" w:sz="6" w:space="0"/>
              <w:bottom w:val="single" w:color="auto" w:sz="4" w:space="0"/>
              <w:right w:val="single" w:color="auto" w:sz="4" w:space="0"/>
            </w:tcBorders>
            <w:shd w:val="clear" w:color="auto" w:fill="auto"/>
            <w:vAlign w:val="center"/>
          </w:tcPr>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相对密度(水=1)</w:t>
            </w:r>
          </w:p>
        </w:tc>
        <w:tc>
          <w:tcPr>
            <w:tcW w:w="768" w:type="dxa"/>
            <w:gridSpan w:val="3"/>
            <w:tcBorders>
              <w:top w:val="single" w:color="auto" w:sz="6" w:space="0"/>
              <w:left w:val="single" w:color="auto" w:sz="4" w:space="0"/>
              <w:bottom w:val="single" w:color="auto" w:sz="6" w:space="0"/>
              <w:right w:val="single" w:color="auto" w:sz="6" w:space="0"/>
            </w:tcBorders>
            <w:shd w:val="clear" w:color="auto" w:fill="auto"/>
            <w:vAlign w:val="center"/>
          </w:tcPr>
          <w:p>
            <w:pPr>
              <w:widowControl/>
              <w:spacing w:line="360" w:lineRule="auto"/>
              <w:rPr>
                <w:rFonts w:ascii="宋体" w:hAnsi="宋体" w:eastAsia="宋体"/>
                <w:color w:val="auto"/>
                <w:spacing w:val="10"/>
                <w:sz w:val="21"/>
                <w:szCs w:val="21"/>
              </w:rPr>
            </w:pPr>
            <w:r>
              <w:rPr>
                <w:rFonts w:hint="eastAsia" w:ascii="宋体" w:hAnsi="宋体" w:eastAsia="宋体"/>
                <w:color w:val="auto"/>
                <w:sz w:val="21"/>
                <w:szCs w:val="21"/>
              </w:rPr>
              <w:t>0.91</w:t>
            </w:r>
          </w:p>
        </w:tc>
        <w:tc>
          <w:tcPr>
            <w:tcW w:w="2173" w:type="dxa"/>
            <w:gridSpan w:val="6"/>
            <w:tcBorders>
              <w:top w:val="single" w:color="auto" w:sz="6" w:space="0"/>
              <w:left w:val="single" w:color="auto" w:sz="6" w:space="0"/>
              <w:bottom w:val="single" w:color="auto" w:sz="6" w:space="0"/>
              <w:right w:val="single" w:color="auto" w:sz="6" w:space="0"/>
            </w:tcBorders>
            <w:shd w:val="clear" w:color="auto" w:fill="auto"/>
            <w:vAlign w:val="center"/>
          </w:tcPr>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相对密度(空气=1)</w:t>
            </w:r>
          </w:p>
        </w:tc>
        <w:tc>
          <w:tcPr>
            <w:tcW w:w="1403" w:type="dxa"/>
            <w:tcBorders>
              <w:top w:val="single" w:color="auto" w:sz="6" w:space="0"/>
              <w:left w:val="single" w:color="auto" w:sz="6" w:space="0"/>
              <w:bottom w:val="single" w:color="auto" w:sz="6" w:space="0"/>
              <w:right w:val="single" w:color="auto" w:sz="6" w:space="0"/>
            </w:tcBorders>
            <w:shd w:val="clear" w:color="auto" w:fill="auto"/>
            <w:vAlign w:val="center"/>
          </w:tcPr>
          <w:p>
            <w:pPr>
              <w:spacing w:line="360" w:lineRule="auto"/>
              <w:rPr>
                <w:rFonts w:ascii="宋体" w:hAnsi="宋体" w:eastAsia="宋体"/>
                <w:color w:val="auto"/>
                <w:spacing w:val="10"/>
                <w:sz w:val="21"/>
                <w:szCs w:val="21"/>
              </w:rPr>
            </w:pPr>
            <w:r>
              <w:rPr>
                <w:rFonts w:hint="eastAsia" w:ascii="宋体" w:hAnsi="宋体" w:eastAsia="宋体"/>
                <w:color w:val="auto"/>
                <w:sz w:val="21"/>
                <w:szCs w:val="21"/>
              </w:rPr>
              <w:t>3.6</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190" w:hRule="atLeast"/>
          <w:jc w:val="center"/>
        </w:trPr>
        <w:tc>
          <w:tcPr>
            <w:tcW w:w="552" w:type="dxa"/>
            <w:vMerge w:val="continue"/>
            <w:tcBorders>
              <w:left w:val="single" w:color="auto" w:sz="6" w:space="0"/>
              <w:right w:val="single" w:color="auto" w:sz="6" w:space="0"/>
            </w:tcBorders>
            <w:shd w:val="clear" w:color="auto" w:fill="auto"/>
            <w:vAlign w:val="center"/>
          </w:tcPr>
          <w:p>
            <w:pPr>
              <w:widowControl/>
              <w:spacing w:line="360" w:lineRule="auto"/>
              <w:rPr>
                <w:rFonts w:ascii="宋体" w:hAnsi="宋体" w:eastAsia="宋体"/>
                <w:color w:val="auto"/>
                <w:spacing w:val="10"/>
                <w:sz w:val="21"/>
                <w:szCs w:val="21"/>
              </w:rPr>
            </w:pPr>
          </w:p>
        </w:tc>
        <w:tc>
          <w:tcPr>
            <w:tcW w:w="1395" w:type="dxa"/>
            <w:tcBorders>
              <w:top w:val="single" w:color="auto" w:sz="6" w:space="0"/>
              <w:left w:val="single" w:color="auto" w:sz="6" w:space="0"/>
              <w:bottom w:val="single" w:color="auto" w:sz="6" w:space="0"/>
              <w:right w:val="single" w:color="auto" w:sz="4" w:space="0"/>
            </w:tcBorders>
            <w:shd w:val="clear" w:color="auto" w:fill="auto"/>
            <w:vAlign w:val="center"/>
          </w:tcPr>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沸点（</w:t>
            </w:r>
            <w:r>
              <w:rPr>
                <w:rFonts w:hint="eastAsia" w:ascii="宋体" w:hAnsi="宋体" w:eastAsia="宋体" w:cs="宋体"/>
                <w:color w:val="auto"/>
                <w:spacing w:val="10"/>
                <w:sz w:val="21"/>
                <w:szCs w:val="21"/>
              </w:rPr>
              <w:t>℃</w:t>
            </w:r>
            <w:r>
              <w:rPr>
                <w:rFonts w:hint="eastAsia" w:ascii="宋体" w:hAnsi="宋体" w:eastAsia="宋体"/>
                <w:color w:val="auto"/>
                <w:spacing w:val="10"/>
                <w:sz w:val="21"/>
                <w:szCs w:val="21"/>
              </w:rPr>
              <w:t>）</w:t>
            </w:r>
          </w:p>
        </w:tc>
        <w:tc>
          <w:tcPr>
            <w:tcW w:w="3348" w:type="dxa"/>
            <w:gridSpan w:val="6"/>
            <w:tcBorders>
              <w:top w:val="single" w:color="auto" w:sz="6" w:space="0"/>
              <w:left w:val="single" w:color="auto" w:sz="4" w:space="0"/>
              <w:bottom w:val="single" w:color="auto" w:sz="6" w:space="0"/>
              <w:right w:val="single" w:color="auto" w:sz="4" w:space="0"/>
            </w:tcBorders>
            <w:shd w:val="clear" w:color="auto" w:fill="auto"/>
            <w:vAlign w:val="center"/>
          </w:tcPr>
          <w:p>
            <w:pPr>
              <w:spacing w:line="360" w:lineRule="auto"/>
              <w:ind w:left="374" w:hanging="373" w:hangingChars="178"/>
              <w:rPr>
                <w:rFonts w:ascii="宋体" w:hAnsi="宋体" w:eastAsia="宋体"/>
                <w:color w:val="auto"/>
                <w:spacing w:val="10"/>
                <w:sz w:val="21"/>
                <w:szCs w:val="21"/>
              </w:rPr>
            </w:pPr>
            <w:r>
              <w:rPr>
                <w:rFonts w:hint="eastAsia" w:ascii="宋体" w:hAnsi="宋体" w:eastAsia="宋体"/>
                <w:color w:val="auto"/>
                <w:sz w:val="21"/>
                <w:szCs w:val="21"/>
              </w:rPr>
              <w:t>146</w:t>
            </w:r>
          </w:p>
        </w:tc>
        <w:tc>
          <w:tcPr>
            <w:tcW w:w="2158" w:type="dxa"/>
            <w:gridSpan w:val="7"/>
            <w:tcBorders>
              <w:top w:val="single" w:color="auto" w:sz="6" w:space="0"/>
              <w:left w:val="single" w:color="auto" w:sz="4" w:space="0"/>
              <w:bottom w:val="single" w:color="auto" w:sz="6" w:space="0"/>
              <w:right w:val="single" w:color="auto" w:sz="4" w:space="0"/>
            </w:tcBorders>
            <w:shd w:val="clear" w:color="auto" w:fill="auto"/>
          </w:tcPr>
          <w:p>
            <w:pPr>
              <w:spacing w:line="360" w:lineRule="auto"/>
              <w:ind w:left="17" w:leftChars="7"/>
              <w:rPr>
                <w:rFonts w:ascii="宋体" w:hAnsi="宋体" w:eastAsia="宋体"/>
                <w:color w:val="auto"/>
                <w:spacing w:val="10"/>
                <w:sz w:val="21"/>
                <w:szCs w:val="21"/>
              </w:rPr>
            </w:pPr>
            <w:r>
              <w:rPr>
                <w:rFonts w:hint="eastAsia" w:ascii="宋体" w:hAnsi="宋体" w:eastAsia="宋体"/>
                <w:color w:val="auto"/>
                <w:spacing w:val="10"/>
                <w:sz w:val="21"/>
                <w:szCs w:val="21"/>
              </w:rPr>
              <w:t>饱和蒸气压（kPa）</w:t>
            </w:r>
          </w:p>
        </w:tc>
        <w:tc>
          <w:tcPr>
            <w:tcW w:w="2186" w:type="dxa"/>
            <w:gridSpan w:val="3"/>
            <w:tcBorders>
              <w:top w:val="single" w:color="auto" w:sz="6" w:space="0"/>
              <w:left w:val="single" w:color="auto" w:sz="4" w:space="0"/>
              <w:bottom w:val="single" w:color="auto" w:sz="6" w:space="0"/>
              <w:right w:val="single" w:color="auto" w:sz="6" w:space="0"/>
            </w:tcBorders>
            <w:shd w:val="clear" w:color="auto" w:fill="auto"/>
          </w:tcPr>
          <w:p>
            <w:pPr>
              <w:spacing w:line="360" w:lineRule="auto"/>
              <w:ind w:left="771" w:leftChars="166" w:hanging="373" w:hangingChars="178"/>
              <w:rPr>
                <w:rFonts w:ascii="宋体" w:hAnsi="宋体" w:eastAsia="宋体"/>
                <w:color w:val="auto"/>
                <w:spacing w:val="10"/>
                <w:sz w:val="21"/>
                <w:szCs w:val="21"/>
              </w:rPr>
            </w:pPr>
            <w:r>
              <w:rPr>
                <w:rFonts w:hint="eastAsia" w:ascii="宋体" w:hAnsi="宋体" w:eastAsia="宋体"/>
                <w:color w:val="auto"/>
                <w:sz w:val="21"/>
                <w:szCs w:val="21"/>
              </w:rPr>
              <w:t>1.33／30.8℃</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190" w:hRule="atLeast"/>
          <w:jc w:val="center"/>
        </w:trPr>
        <w:tc>
          <w:tcPr>
            <w:tcW w:w="552" w:type="dxa"/>
            <w:vMerge w:val="continue"/>
            <w:tcBorders>
              <w:left w:val="single" w:color="auto" w:sz="6" w:space="0"/>
              <w:right w:val="single" w:color="auto" w:sz="6" w:space="0"/>
            </w:tcBorders>
            <w:shd w:val="clear" w:color="auto" w:fill="auto"/>
            <w:vAlign w:val="center"/>
          </w:tcPr>
          <w:p>
            <w:pPr>
              <w:widowControl/>
              <w:spacing w:line="360" w:lineRule="auto"/>
              <w:rPr>
                <w:rFonts w:ascii="宋体" w:hAnsi="宋体" w:eastAsia="宋体"/>
                <w:color w:val="auto"/>
                <w:spacing w:val="10"/>
                <w:sz w:val="21"/>
                <w:szCs w:val="21"/>
              </w:rPr>
            </w:pPr>
          </w:p>
        </w:tc>
        <w:tc>
          <w:tcPr>
            <w:tcW w:w="1395" w:type="dxa"/>
            <w:tcBorders>
              <w:top w:val="single" w:color="auto" w:sz="6" w:space="0"/>
              <w:left w:val="single" w:color="auto" w:sz="6" w:space="0"/>
              <w:bottom w:val="single" w:color="auto" w:sz="6" w:space="0"/>
              <w:right w:val="single" w:color="auto" w:sz="4" w:space="0"/>
            </w:tcBorders>
            <w:shd w:val="clear" w:color="auto" w:fill="auto"/>
            <w:vAlign w:val="center"/>
          </w:tcPr>
          <w:p>
            <w:pPr>
              <w:spacing w:line="360" w:lineRule="auto"/>
              <w:rPr>
                <w:rFonts w:ascii="宋体" w:hAnsi="宋体" w:eastAsia="宋体"/>
                <w:color w:val="auto"/>
                <w:spacing w:val="10"/>
                <w:sz w:val="21"/>
                <w:szCs w:val="21"/>
              </w:rPr>
            </w:pPr>
            <w:r>
              <w:rPr>
                <w:rFonts w:hint="eastAsia" w:ascii="宋体" w:hAnsi="宋体" w:eastAsia="宋体"/>
                <w:color w:val="auto"/>
                <w:sz w:val="21"/>
                <w:szCs w:val="21"/>
              </w:rPr>
              <w:t>温度、压力</w:t>
            </w:r>
          </w:p>
        </w:tc>
        <w:tc>
          <w:tcPr>
            <w:tcW w:w="1674" w:type="dxa"/>
            <w:gridSpan w:val="3"/>
            <w:tcBorders>
              <w:top w:val="single" w:color="auto" w:sz="6" w:space="0"/>
              <w:left w:val="single" w:color="auto" w:sz="4" w:space="0"/>
              <w:bottom w:val="single" w:color="auto" w:sz="6" w:space="0"/>
              <w:right w:val="single" w:color="auto" w:sz="4" w:space="0"/>
            </w:tcBorders>
            <w:shd w:val="clear" w:color="auto" w:fill="auto"/>
            <w:vAlign w:val="center"/>
          </w:tcPr>
          <w:p>
            <w:pPr>
              <w:spacing w:line="360" w:lineRule="auto"/>
              <w:ind w:left="-40"/>
              <w:jc w:val="right"/>
              <w:rPr>
                <w:rFonts w:ascii="宋体" w:hAnsi="宋体" w:eastAsia="宋体"/>
                <w:color w:val="auto"/>
                <w:spacing w:val="10"/>
                <w:sz w:val="21"/>
                <w:szCs w:val="21"/>
              </w:rPr>
            </w:pPr>
            <w:r>
              <w:rPr>
                <w:rFonts w:hint="eastAsia" w:ascii="宋体" w:hAnsi="宋体" w:eastAsia="宋体"/>
                <w:color w:val="auto"/>
                <w:sz w:val="21"/>
                <w:szCs w:val="21"/>
              </w:rPr>
              <w:t>临界温度(</w:t>
            </w:r>
            <w:r>
              <w:rPr>
                <w:rFonts w:hint="eastAsia" w:ascii="宋体" w:hAnsi="宋体" w:eastAsia="宋体" w:cs="宋体"/>
                <w:color w:val="auto"/>
                <w:sz w:val="21"/>
                <w:szCs w:val="21"/>
              </w:rPr>
              <w:t>℃</w:t>
            </w:r>
            <w:r>
              <w:rPr>
                <w:rFonts w:hint="eastAsia" w:ascii="宋体" w:hAnsi="宋体" w:eastAsia="宋体"/>
                <w:color w:val="auto"/>
                <w:sz w:val="21"/>
                <w:szCs w:val="21"/>
              </w:rPr>
              <w:t>)</w:t>
            </w:r>
          </w:p>
        </w:tc>
        <w:tc>
          <w:tcPr>
            <w:tcW w:w="1674" w:type="dxa"/>
            <w:gridSpan w:val="3"/>
            <w:tcBorders>
              <w:top w:val="single" w:color="auto" w:sz="6" w:space="0"/>
              <w:left w:val="single" w:color="auto" w:sz="4" w:space="0"/>
              <w:bottom w:val="single" w:color="auto" w:sz="6" w:space="0"/>
              <w:right w:val="single" w:color="auto" w:sz="4" w:space="0"/>
            </w:tcBorders>
            <w:shd w:val="clear" w:color="auto" w:fill="auto"/>
            <w:vAlign w:val="center"/>
          </w:tcPr>
          <w:p>
            <w:pPr>
              <w:spacing w:line="360" w:lineRule="auto"/>
              <w:ind w:left="-46" w:leftChars="-19"/>
              <w:rPr>
                <w:rFonts w:ascii="宋体" w:hAnsi="宋体" w:eastAsia="宋体"/>
                <w:color w:val="auto"/>
                <w:spacing w:val="-20"/>
                <w:sz w:val="21"/>
                <w:szCs w:val="21"/>
              </w:rPr>
            </w:pPr>
            <w:r>
              <w:rPr>
                <w:rFonts w:hint="eastAsia" w:ascii="宋体" w:hAnsi="宋体" w:eastAsia="宋体"/>
                <w:color w:val="auto"/>
                <w:spacing w:val="-20"/>
                <w:sz w:val="21"/>
                <w:szCs w:val="21"/>
              </w:rPr>
              <w:t>369冰点为-131℃</w:t>
            </w:r>
          </w:p>
        </w:tc>
        <w:tc>
          <w:tcPr>
            <w:tcW w:w="2941" w:type="dxa"/>
            <w:gridSpan w:val="9"/>
            <w:tcBorders>
              <w:top w:val="single" w:color="auto" w:sz="6" w:space="0"/>
              <w:left w:val="single" w:color="auto" w:sz="4" w:space="0"/>
              <w:bottom w:val="single" w:color="auto" w:sz="6" w:space="0"/>
              <w:right w:val="single" w:color="auto" w:sz="4" w:space="0"/>
            </w:tcBorders>
            <w:shd w:val="clear" w:color="auto" w:fill="auto"/>
            <w:vAlign w:val="center"/>
          </w:tcPr>
          <w:p>
            <w:pPr>
              <w:spacing w:line="360" w:lineRule="auto"/>
              <w:jc w:val="center"/>
              <w:rPr>
                <w:rFonts w:ascii="宋体" w:hAnsi="宋体" w:eastAsia="宋体"/>
                <w:color w:val="auto"/>
                <w:sz w:val="21"/>
                <w:szCs w:val="21"/>
              </w:rPr>
            </w:pPr>
            <w:r>
              <w:rPr>
                <w:rFonts w:hint="eastAsia" w:ascii="宋体" w:hAnsi="宋体" w:eastAsia="宋体"/>
                <w:color w:val="auto"/>
                <w:sz w:val="21"/>
                <w:szCs w:val="21"/>
              </w:rPr>
              <w:t>临界压力(MPa)：</w:t>
            </w:r>
          </w:p>
        </w:tc>
        <w:tc>
          <w:tcPr>
            <w:tcW w:w="1403" w:type="dxa"/>
            <w:tcBorders>
              <w:top w:val="single" w:color="auto" w:sz="6" w:space="0"/>
              <w:left w:val="single" w:color="auto" w:sz="4" w:space="0"/>
              <w:bottom w:val="single" w:color="auto" w:sz="6" w:space="0"/>
              <w:right w:val="single" w:color="auto" w:sz="6" w:space="0"/>
            </w:tcBorders>
            <w:shd w:val="clear" w:color="auto" w:fill="auto"/>
            <w:vAlign w:val="center"/>
          </w:tcPr>
          <w:p>
            <w:pPr>
              <w:spacing w:line="360" w:lineRule="auto"/>
              <w:ind w:left="374" w:hanging="373" w:hangingChars="178"/>
              <w:rPr>
                <w:rFonts w:ascii="宋体" w:hAnsi="宋体" w:eastAsia="宋体"/>
                <w:color w:val="auto"/>
                <w:sz w:val="21"/>
                <w:szCs w:val="21"/>
              </w:rPr>
            </w:pPr>
            <w:r>
              <w:rPr>
                <w:rFonts w:hint="eastAsia" w:ascii="宋体" w:hAnsi="宋体" w:eastAsia="宋体"/>
                <w:color w:val="auto"/>
                <w:sz w:val="21"/>
                <w:szCs w:val="21"/>
              </w:rPr>
              <w:t>3.81</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130" w:hRule="atLeast"/>
          <w:jc w:val="center"/>
        </w:trPr>
        <w:tc>
          <w:tcPr>
            <w:tcW w:w="552" w:type="dxa"/>
            <w:vMerge w:val="continue"/>
            <w:tcBorders>
              <w:left w:val="single" w:color="auto" w:sz="6" w:space="0"/>
              <w:right w:val="single" w:color="auto" w:sz="6" w:space="0"/>
            </w:tcBorders>
            <w:shd w:val="clear" w:color="auto" w:fill="auto"/>
            <w:vAlign w:val="center"/>
          </w:tcPr>
          <w:p>
            <w:pPr>
              <w:widowControl/>
              <w:spacing w:line="360" w:lineRule="auto"/>
              <w:rPr>
                <w:rFonts w:ascii="宋体" w:hAnsi="宋体" w:eastAsia="宋体"/>
                <w:color w:val="auto"/>
                <w:spacing w:val="10"/>
                <w:sz w:val="21"/>
                <w:szCs w:val="21"/>
              </w:rPr>
            </w:pPr>
          </w:p>
        </w:tc>
        <w:tc>
          <w:tcPr>
            <w:tcW w:w="1395" w:type="dxa"/>
            <w:tcBorders>
              <w:top w:val="single" w:color="auto" w:sz="6" w:space="0"/>
              <w:left w:val="single" w:color="auto" w:sz="6" w:space="0"/>
              <w:bottom w:val="single" w:color="auto" w:sz="4" w:space="0"/>
              <w:right w:val="single" w:color="auto" w:sz="6" w:space="0"/>
            </w:tcBorders>
            <w:shd w:val="clear" w:color="auto" w:fill="auto"/>
            <w:vAlign w:val="center"/>
          </w:tcPr>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溶 解 性</w:t>
            </w:r>
          </w:p>
        </w:tc>
        <w:tc>
          <w:tcPr>
            <w:tcW w:w="7692" w:type="dxa"/>
            <w:gridSpan w:val="16"/>
            <w:tcBorders>
              <w:top w:val="single" w:color="auto" w:sz="6" w:space="0"/>
              <w:left w:val="single" w:color="auto" w:sz="6" w:space="0"/>
              <w:bottom w:val="single" w:color="auto" w:sz="4" w:space="0"/>
              <w:right w:val="single" w:color="auto" w:sz="6" w:space="0"/>
            </w:tcBorders>
            <w:shd w:val="clear" w:color="auto" w:fill="auto"/>
            <w:vAlign w:val="center"/>
          </w:tcPr>
          <w:p>
            <w:pPr>
              <w:spacing w:line="360" w:lineRule="auto"/>
              <w:rPr>
                <w:rFonts w:ascii="宋体" w:hAnsi="宋体" w:eastAsia="宋体"/>
                <w:color w:val="auto"/>
                <w:spacing w:val="10"/>
                <w:sz w:val="21"/>
                <w:szCs w:val="21"/>
              </w:rPr>
            </w:pPr>
            <w:r>
              <w:rPr>
                <w:rFonts w:hint="eastAsia" w:ascii="宋体" w:hAnsi="宋体" w:eastAsia="宋体"/>
                <w:color w:val="auto"/>
                <w:sz w:val="21"/>
                <w:szCs w:val="21"/>
              </w:rPr>
              <w:t>不溶于水，溶于醇、醚等多数有机溶剂。</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PrEx>
        <w:trPr>
          <w:cantSplit/>
          <w:trHeight w:val="96" w:hRule="atLeast"/>
          <w:jc w:val="center"/>
        </w:trPr>
        <w:tc>
          <w:tcPr>
            <w:tcW w:w="552" w:type="dxa"/>
            <w:vMerge w:val="continue"/>
            <w:tcBorders>
              <w:left w:val="single" w:color="auto" w:sz="6" w:space="0"/>
              <w:bottom w:val="single" w:color="auto" w:sz="6" w:space="0"/>
              <w:right w:val="single" w:color="auto" w:sz="6" w:space="0"/>
            </w:tcBorders>
            <w:shd w:val="clear" w:color="auto" w:fill="auto"/>
            <w:vAlign w:val="center"/>
          </w:tcPr>
          <w:p>
            <w:pPr>
              <w:widowControl/>
              <w:spacing w:line="360" w:lineRule="auto"/>
              <w:rPr>
                <w:rFonts w:ascii="宋体" w:hAnsi="宋体" w:eastAsia="宋体"/>
                <w:color w:val="auto"/>
                <w:spacing w:val="10"/>
                <w:sz w:val="21"/>
                <w:szCs w:val="21"/>
              </w:rPr>
            </w:pPr>
          </w:p>
        </w:tc>
        <w:tc>
          <w:tcPr>
            <w:tcW w:w="1395" w:type="dxa"/>
            <w:tcBorders>
              <w:top w:val="single" w:color="auto" w:sz="4" w:space="0"/>
              <w:left w:val="single" w:color="auto" w:sz="6" w:space="0"/>
              <w:bottom w:val="single" w:color="auto" w:sz="6" w:space="0"/>
              <w:right w:val="single" w:color="auto" w:sz="6" w:space="0"/>
            </w:tcBorders>
            <w:shd w:val="clear" w:color="auto" w:fill="auto"/>
            <w:vAlign w:val="center"/>
          </w:tcPr>
          <w:p>
            <w:pPr>
              <w:spacing w:line="360" w:lineRule="auto"/>
              <w:rPr>
                <w:rFonts w:ascii="宋体" w:hAnsi="宋体" w:eastAsia="宋体"/>
                <w:color w:val="auto"/>
                <w:spacing w:val="10"/>
                <w:sz w:val="21"/>
                <w:szCs w:val="21"/>
              </w:rPr>
            </w:pPr>
            <w:r>
              <w:rPr>
                <w:rFonts w:ascii="宋体" w:hAnsi="宋体" w:eastAsia="宋体" w:cs="Arial"/>
                <w:color w:val="auto"/>
                <w:spacing w:val="10"/>
                <w:sz w:val="21"/>
                <w:szCs w:val="21"/>
              </w:rPr>
              <w:t>危险性类别</w:t>
            </w:r>
          </w:p>
        </w:tc>
        <w:tc>
          <w:tcPr>
            <w:tcW w:w="7692" w:type="dxa"/>
            <w:gridSpan w:val="16"/>
            <w:tcBorders>
              <w:top w:val="single" w:color="auto" w:sz="4" w:space="0"/>
              <w:left w:val="single" w:color="auto" w:sz="6" w:space="0"/>
              <w:bottom w:val="single" w:color="auto" w:sz="6" w:space="0"/>
              <w:right w:val="single" w:color="auto" w:sz="6" w:space="0"/>
            </w:tcBorders>
            <w:shd w:val="clear" w:color="auto" w:fill="auto"/>
            <w:vAlign w:val="center"/>
          </w:tcPr>
          <w:p>
            <w:pPr>
              <w:widowControl/>
              <w:spacing w:line="360" w:lineRule="auto"/>
              <w:rPr>
                <w:rFonts w:ascii="宋体" w:hAnsi="宋体" w:eastAsia="宋体" w:cs="宋体"/>
                <w:color w:val="auto"/>
                <w:sz w:val="21"/>
                <w:szCs w:val="21"/>
              </w:rPr>
            </w:pPr>
            <w:r>
              <w:rPr>
                <w:rFonts w:ascii="宋体" w:hAnsi="宋体" w:eastAsia="宋体" w:cs="宋体"/>
                <w:color w:val="auto"/>
                <w:sz w:val="21"/>
                <w:szCs w:val="21"/>
              </w:rPr>
              <w:t>易燃液体,类别3</w:t>
            </w:r>
          </w:p>
          <w:p>
            <w:pPr>
              <w:widowControl/>
              <w:spacing w:line="360" w:lineRule="auto"/>
              <w:rPr>
                <w:rFonts w:ascii="宋体" w:hAnsi="宋体" w:eastAsia="宋体" w:cs="宋体"/>
                <w:color w:val="auto"/>
                <w:sz w:val="21"/>
                <w:szCs w:val="21"/>
              </w:rPr>
            </w:pPr>
            <w:r>
              <w:rPr>
                <w:rFonts w:ascii="宋体" w:hAnsi="宋体" w:eastAsia="宋体" w:cs="宋体"/>
                <w:color w:val="auto"/>
                <w:sz w:val="21"/>
                <w:szCs w:val="21"/>
              </w:rPr>
              <w:t>皮肤腐蚀/刺激,类别2</w:t>
            </w:r>
          </w:p>
          <w:p>
            <w:pPr>
              <w:widowControl/>
              <w:spacing w:line="360" w:lineRule="auto"/>
              <w:rPr>
                <w:rFonts w:ascii="宋体" w:hAnsi="宋体" w:eastAsia="宋体" w:cs="宋体"/>
                <w:color w:val="auto"/>
                <w:sz w:val="21"/>
                <w:szCs w:val="21"/>
              </w:rPr>
            </w:pPr>
            <w:r>
              <w:rPr>
                <w:rFonts w:ascii="宋体" w:hAnsi="宋体" w:eastAsia="宋体" w:cs="宋体"/>
                <w:color w:val="auto"/>
                <w:sz w:val="21"/>
                <w:szCs w:val="21"/>
              </w:rPr>
              <w:t>严重眼损伤/眼刺激,类别2</w:t>
            </w:r>
          </w:p>
          <w:p>
            <w:pPr>
              <w:widowControl/>
              <w:spacing w:line="360" w:lineRule="auto"/>
              <w:rPr>
                <w:rFonts w:ascii="宋体" w:hAnsi="宋体" w:eastAsia="宋体" w:cs="宋体"/>
                <w:color w:val="auto"/>
                <w:sz w:val="21"/>
                <w:szCs w:val="21"/>
              </w:rPr>
            </w:pPr>
            <w:r>
              <w:rPr>
                <w:rFonts w:ascii="宋体" w:hAnsi="宋体" w:eastAsia="宋体" w:cs="宋体"/>
                <w:color w:val="auto"/>
                <w:sz w:val="21"/>
                <w:szCs w:val="21"/>
              </w:rPr>
              <w:t>致癌性,类别2</w:t>
            </w:r>
          </w:p>
          <w:p>
            <w:pPr>
              <w:widowControl/>
              <w:spacing w:line="360" w:lineRule="auto"/>
              <w:rPr>
                <w:rFonts w:ascii="宋体" w:hAnsi="宋体" w:eastAsia="宋体" w:cs="宋体"/>
                <w:color w:val="auto"/>
                <w:sz w:val="21"/>
                <w:szCs w:val="21"/>
              </w:rPr>
            </w:pPr>
            <w:r>
              <w:rPr>
                <w:rFonts w:ascii="宋体" w:hAnsi="宋体" w:eastAsia="宋体" w:cs="宋体"/>
                <w:color w:val="auto"/>
                <w:sz w:val="21"/>
                <w:szCs w:val="21"/>
              </w:rPr>
              <w:t>生殖毒性,类别2</w:t>
            </w:r>
          </w:p>
          <w:p>
            <w:pPr>
              <w:widowControl/>
              <w:spacing w:line="360" w:lineRule="auto"/>
              <w:rPr>
                <w:rFonts w:ascii="宋体" w:hAnsi="宋体" w:eastAsia="宋体" w:cs="宋体"/>
                <w:color w:val="auto"/>
                <w:sz w:val="21"/>
                <w:szCs w:val="21"/>
              </w:rPr>
            </w:pPr>
            <w:r>
              <w:rPr>
                <w:rFonts w:ascii="宋体" w:hAnsi="宋体" w:eastAsia="宋体" w:cs="宋体"/>
                <w:color w:val="auto"/>
                <w:sz w:val="21"/>
                <w:szCs w:val="21"/>
              </w:rPr>
              <w:t>特异性靶器官毒性-反复接触,类别1</w:t>
            </w:r>
          </w:p>
          <w:p>
            <w:pPr>
              <w:spacing w:line="360" w:lineRule="auto"/>
              <w:rPr>
                <w:rFonts w:ascii="宋体" w:hAnsi="宋体" w:eastAsia="宋体"/>
                <w:color w:val="auto"/>
                <w:sz w:val="21"/>
                <w:szCs w:val="21"/>
              </w:rPr>
            </w:pPr>
            <w:r>
              <w:rPr>
                <w:rFonts w:ascii="宋体" w:hAnsi="宋体" w:eastAsia="宋体" w:cs="宋体"/>
                <w:color w:val="auto"/>
                <w:sz w:val="21"/>
                <w:szCs w:val="21"/>
              </w:rPr>
              <w:t>危害水生环境-急性危害,类别2</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108" w:hRule="atLeast"/>
          <w:jc w:val="center"/>
        </w:trPr>
        <w:tc>
          <w:tcPr>
            <w:tcW w:w="552" w:type="dxa"/>
            <w:vMerge w:val="restart"/>
            <w:tcBorders>
              <w:top w:val="single" w:color="auto" w:sz="6" w:space="0"/>
              <w:left w:val="single" w:color="auto" w:sz="6" w:space="0"/>
              <w:bottom w:val="single" w:color="auto" w:sz="6" w:space="0"/>
              <w:right w:val="single" w:color="auto" w:sz="6" w:space="0"/>
            </w:tcBorders>
            <w:shd w:val="clear" w:color="auto" w:fill="auto"/>
            <w:vAlign w:val="center"/>
          </w:tcPr>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毒性及健康危害</w:t>
            </w:r>
          </w:p>
        </w:tc>
        <w:tc>
          <w:tcPr>
            <w:tcW w:w="1395" w:type="dxa"/>
            <w:tcBorders>
              <w:top w:val="single" w:color="auto" w:sz="6" w:space="0"/>
              <w:left w:val="single" w:color="auto" w:sz="6" w:space="0"/>
              <w:right w:val="single" w:color="auto" w:sz="6" w:space="0"/>
            </w:tcBorders>
            <w:shd w:val="clear" w:color="auto" w:fill="auto"/>
            <w:vAlign w:val="center"/>
          </w:tcPr>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毒    性</w:t>
            </w:r>
          </w:p>
        </w:tc>
        <w:tc>
          <w:tcPr>
            <w:tcW w:w="7692" w:type="dxa"/>
            <w:gridSpan w:val="16"/>
            <w:tcBorders>
              <w:top w:val="single" w:color="auto" w:sz="6" w:space="0"/>
              <w:left w:val="single" w:color="auto" w:sz="6" w:space="0"/>
              <w:right w:val="single" w:color="auto" w:sz="6" w:space="0"/>
            </w:tcBorders>
            <w:shd w:val="clear" w:color="auto" w:fill="auto"/>
            <w:vAlign w:val="center"/>
          </w:tcPr>
          <w:p>
            <w:pPr>
              <w:widowControl/>
              <w:spacing w:line="360" w:lineRule="auto"/>
              <w:rPr>
                <w:rFonts w:ascii="宋体" w:hAnsi="宋体" w:eastAsia="宋体"/>
                <w:color w:val="auto"/>
                <w:sz w:val="21"/>
                <w:szCs w:val="21"/>
              </w:rPr>
            </w:pPr>
            <w:r>
              <w:rPr>
                <w:rFonts w:hint="eastAsia" w:ascii="宋体" w:hAnsi="宋体" w:eastAsia="宋体"/>
                <w:color w:val="auto"/>
                <w:sz w:val="21"/>
                <w:szCs w:val="21"/>
              </w:rPr>
              <w:t xml:space="preserve">中国MAC：未制定标准 </w:t>
            </w:r>
          </w:p>
          <w:p>
            <w:pPr>
              <w:spacing w:line="360" w:lineRule="auto"/>
              <w:rPr>
                <w:rFonts w:ascii="宋体" w:hAnsi="宋体" w:eastAsia="宋体"/>
                <w:color w:val="auto"/>
                <w:spacing w:val="10"/>
                <w:sz w:val="21"/>
                <w:szCs w:val="21"/>
              </w:rPr>
            </w:pPr>
            <w:r>
              <w:rPr>
                <w:rFonts w:hint="eastAsia" w:ascii="宋体" w:hAnsi="宋体" w:eastAsia="宋体"/>
                <w:color w:val="auto"/>
                <w:sz w:val="21"/>
                <w:szCs w:val="21"/>
              </w:rPr>
              <w:t>毒性：属低毒类，LD</w:t>
            </w:r>
            <w:r>
              <w:rPr>
                <w:rFonts w:hint="eastAsia" w:ascii="宋体" w:hAnsi="宋体" w:eastAsia="宋体"/>
                <w:color w:val="auto"/>
                <w:sz w:val="21"/>
                <w:szCs w:val="21"/>
                <w:vertAlign w:val="subscript"/>
              </w:rPr>
              <w:t>50</w:t>
            </w:r>
            <w:r>
              <w:rPr>
                <w:rFonts w:hint="eastAsia" w:ascii="宋体" w:hAnsi="宋体" w:eastAsia="宋体"/>
                <w:color w:val="auto"/>
                <w:sz w:val="21"/>
                <w:szCs w:val="21"/>
              </w:rPr>
              <w:t>：5000mg／kg(大鼠经口) ；LC</w:t>
            </w:r>
            <w:r>
              <w:rPr>
                <w:rFonts w:hint="eastAsia" w:ascii="宋体" w:hAnsi="宋体" w:eastAsia="宋体"/>
                <w:color w:val="auto"/>
                <w:sz w:val="21"/>
                <w:szCs w:val="21"/>
                <w:vertAlign w:val="subscript"/>
              </w:rPr>
              <w:t>50</w:t>
            </w:r>
            <w:r>
              <w:rPr>
                <w:rFonts w:hint="eastAsia" w:ascii="宋体" w:hAnsi="宋体" w:eastAsia="宋体"/>
                <w:color w:val="auto"/>
                <w:sz w:val="21"/>
                <w:szCs w:val="21"/>
              </w:rPr>
              <w:t>：24000mg／m</w:t>
            </w:r>
            <w:r>
              <w:rPr>
                <w:rFonts w:hint="eastAsia" w:ascii="宋体" w:hAnsi="宋体" w:eastAsia="宋体"/>
                <w:color w:val="auto"/>
                <w:sz w:val="21"/>
                <w:szCs w:val="21"/>
                <w:vertAlign w:val="superscript"/>
              </w:rPr>
              <w:t>3</w:t>
            </w:r>
            <w:r>
              <w:rPr>
                <w:rFonts w:hint="eastAsia" w:ascii="宋体" w:hAnsi="宋体" w:eastAsia="宋体"/>
                <w:color w:val="auto"/>
                <w:sz w:val="21"/>
                <w:szCs w:val="21"/>
              </w:rPr>
              <w:t xml:space="preserve">,4小时(大鼠吸入)  </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PrEx>
        <w:trPr>
          <w:cantSplit/>
          <w:trHeight w:val="603" w:hRule="atLeast"/>
          <w:jc w:val="center"/>
        </w:trPr>
        <w:tc>
          <w:tcPr>
            <w:tcW w:w="552" w:type="dxa"/>
            <w:vMerge w:val="continue"/>
            <w:tcBorders>
              <w:top w:val="single" w:color="auto" w:sz="6" w:space="0"/>
              <w:left w:val="single" w:color="auto" w:sz="6" w:space="0"/>
              <w:bottom w:val="single" w:color="auto" w:sz="6" w:space="0"/>
              <w:right w:val="single" w:color="auto" w:sz="6" w:space="0"/>
            </w:tcBorders>
            <w:shd w:val="clear" w:color="auto" w:fill="auto"/>
            <w:vAlign w:val="center"/>
          </w:tcPr>
          <w:p>
            <w:pPr>
              <w:widowControl/>
              <w:spacing w:line="360" w:lineRule="auto"/>
              <w:rPr>
                <w:rFonts w:ascii="宋体" w:hAnsi="宋体" w:eastAsia="宋体"/>
                <w:color w:val="auto"/>
                <w:spacing w:val="10"/>
                <w:sz w:val="21"/>
                <w:szCs w:val="21"/>
              </w:rPr>
            </w:pPr>
          </w:p>
        </w:tc>
        <w:tc>
          <w:tcPr>
            <w:tcW w:w="1395" w:type="dxa"/>
            <w:tcBorders>
              <w:top w:val="single" w:color="auto" w:sz="6" w:space="0"/>
              <w:left w:val="single" w:color="auto" w:sz="6" w:space="0"/>
              <w:bottom w:val="single" w:color="auto" w:sz="4" w:space="0"/>
              <w:right w:val="single" w:color="auto" w:sz="6" w:space="0"/>
            </w:tcBorders>
            <w:shd w:val="clear" w:color="auto" w:fill="auto"/>
            <w:vAlign w:val="center"/>
          </w:tcPr>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健康危害</w:t>
            </w:r>
          </w:p>
        </w:tc>
        <w:tc>
          <w:tcPr>
            <w:tcW w:w="7692" w:type="dxa"/>
            <w:gridSpan w:val="16"/>
            <w:tcBorders>
              <w:top w:val="single" w:color="auto" w:sz="6" w:space="0"/>
              <w:left w:val="single" w:color="auto" w:sz="6" w:space="0"/>
              <w:bottom w:val="single" w:color="auto" w:sz="4" w:space="0"/>
              <w:right w:val="single" w:color="auto" w:sz="6" w:space="0"/>
            </w:tcBorders>
            <w:shd w:val="clear" w:color="auto" w:fill="auto"/>
            <w:vAlign w:val="center"/>
          </w:tcPr>
          <w:p>
            <w:pPr>
              <w:spacing w:line="360" w:lineRule="auto"/>
              <w:rPr>
                <w:rFonts w:ascii="宋体" w:hAnsi="宋体" w:eastAsia="宋体"/>
                <w:color w:val="auto"/>
                <w:sz w:val="21"/>
                <w:szCs w:val="21"/>
              </w:rPr>
            </w:pPr>
            <w:r>
              <w:rPr>
                <w:rFonts w:hint="eastAsia" w:ascii="宋体" w:hAnsi="宋体" w:eastAsia="宋体"/>
                <w:color w:val="auto"/>
                <w:sz w:val="21"/>
                <w:szCs w:val="21"/>
              </w:rPr>
              <w:t>属低毒类。对皮肤、粘膜有刺激作用，有麻醉作用。急性中毒：高浓度时，立即引起</w:t>
            </w:r>
          </w:p>
          <w:p>
            <w:pPr>
              <w:spacing w:line="360" w:lineRule="auto"/>
              <w:rPr>
                <w:rFonts w:ascii="宋体" w:hAnsi="宋体" w:eastAsia="宋体"/>
                <w:color w:val="auto"/>
                <w:sz w:val="21"/>
                <w:szCs w:val="21"/>
              </w:rPr>
            </w:pPr>
            <w:r>
              <w:rPr>
                <w:rFonts w:hint="eastAsia" w:ascii="宋体" w:hAnsi="宋体" w:eastAsia="宋体"/>
                <w:color w:val="auto"/>
                <w:sz w:val="21"/>
                <w:szCs w:val="21"/>
              </w:rPr>
              <w:t>眼及上呼吸道粘膜的刺激，出现眼痛、流泪、流涕、喷嚏、咽痛、咳嗽等，继之头痛、</w:t>
            </w:r>
          </w:p>
          <w:p>
            <w:pPr>
              <w:spacing w:line="360" w:lineRule="auto"/>
              <w:rPr>
                <w:rFonts w:ascii="宋体" w:hAnsi="宋体" w:eastAsia="宋体"/>
                <w:color w:val="auto"/>
                <w:sz w:val="21"/>
                <w:szCs w:val="21"/>
              </w:rPr>
            </w:pPr>
            <w:r>
              <w:rPr>
                <w:rFonts w:hint="eastAsia" w:ascii="宋体" w:hAnsi="宋体" w:eastAsia="宋体"/>
                <w:color w:val="auto"/>
                <w:sz w:val="21"/>
                <w:szCs w:val="21"/>
              </w:rPr>
              <w:t>头晕、恶心、呕吐、全身乏力等。严重者可有眩晕、步态蹒跚。慢性影响：有头痛、</w:t>
            </w:r>
          </w:p>
          <w:p>
            <w:pPr>
              <w:spacing w:line="360" w:lineRule="auto"/>
              <w:rPr>
                <w:rFonts w:ascii="宋体" w:hAnsi="宋体" w:eastAsia="宋体"/>
                <w:color w:val="auto"/>
                <w:spacing w:val="10"/>
                <w:sz w:val="21"/>
                <w:szCs w:val="21"/>
              </w:rPr>
            </w:pPr>
            <w:r>
              <w:rPr>
                <w:rFonts w:hint="eastAsia" w:ascii="宋体" w:hAnsi="宋体" w:eastAsia="宋体"/>
                <w:color w:val="auto"/>
                <w:sz w:val="21"/>
                <w:szCs w:val="21"/>
              </w:rPr>
              <w:t>乏力、恶心、食欲减退、腹胀、忧郁、健忘、指颤等；皮肤粗糙、皲裂和增厚。</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1075" w:hRule="atLeast"/>
          <w:jc w:val="center"/>
        </w:trPr>
        <w:tc>
          <w:tcPr>
            <w:tcW w:w="552" w:type="dxa"/>
            <w:vMerge w:val="continue"/>
            <w:tcBorders>
              <w:top w:val="single" w:color="auto" w:sz="6" w:space="0"/>
              <w:left w:val="single" w:color="auto" w:sz="6" w:space="0"/>
              <w:bottom w:val="single" w:color="auto" w:sz="6" w:space="0"/>
              <w:right w:val="single" w:color="auto" w:sz="6" w:space="0"/>
            </w:tcBorders>
            <w:shd w:val="clear" w:color="auto" w:fill="auto"/>
            <w:vAlign w:val="center"/>
          </w:tcPr>
          <w:p>
            <w:pPr>
              <w:widowControl/>
              <w:spacing w:line="360" w:lineRule="auto"/>
              <w:rPr>
                <w:rFonts w:ascii="宋体" w:hAnsi="宋体" w:eastAsia="宋体"/>
                <w:color w:val="auto"/>
                <w:spacing w:val="10"/>
                <w:sz w:val="21"/>
                <w:szCs w:val="21"/>
              </w:rPr>
            </w:pPr>
          </w:p>
        </w:tc>
        <w:tc>
          <w:tcPr>
            <w:tcW w:w="1395" w:type="dxa"/>
            <w:tcBorders>
              <w:top w:val="single" w:color="auto" w:sz="4" w:space="0"/>
              <w:left w:val="single" w:color="auto" w:sz="6" w:space="0"/>
              <w:bottom w:val="single" w:color="auto" w:sz="6" w:space="0"/>
              <w:right w:val="single" w:color="auto" w:sz="6" w:space="0"/>
            </w:tcBorders>
            <w:shd w:val="clear" w:color="auto" w:fill="auto"/>
            <w:vAlign w:val="center"/>
          </w:tcPr>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急救方法</w:t>
            </w:r>
          </w:p>
        </w:tc>
        <w:tc>
          <w:tcPr>
            <w:tcW w:w="7692" w:type="dxa"/>
            <w:gridSpan w:val="16"/>
            <w:tcBorders>
              <w:top w:val="single" w:color="auto" w:sz="4" w:space="0"/>
              <w:left w:val="single" w:color="auto" w:sz="6" w:space="0"/>
              <w:bottom w:val="single" w:color="auto" w:sz="6" w:space="0"/>
              <w:right w:val="single" w:color="auto" w:sz="6" w:space="0"/>
            </w:tcBorders>
            <w:shd w:val="clear" w:color="auto" w:fill="auto"/>
            <w:vAlign w:val="center"/>
          </w:tcPr>
          <w:p>
            <w:pPr>
              <w:widowControl/>
              <w:spacing w:line="360" w:lineRule="auto"/>
              <w:rPr>
                <w:rFonts w:ascii="宋体" w:hAnsi="宋体" w:eastAsia="宋体"/>
                <w:color w:val="auto"/>
                <w:sz w:val="21"/>
                <w:szCs w:val="21"/>
              </w:rPr>
            </w:pPr>
            <w:r>
              <w:rPr>
                <w:rFonts w:hint="eastAsia" w:ascii="宋体" w:hAnsi="宋体" w:eastAsia="宋体"/>
                <w:color w:val="auto"/>
                <w:sz w:val="21"/>
                <w:szCs w:val="21"/>
              </w:rPr>
              <w:t>皮肤接触：脱去污染的衣着，用肥皂水及清水彻底冲洗，注意患者保暖并且保持安静，</w:t>
            </w:r>
          </w:p>
          <w:p>
            <w:pPr>
              <w:widowControl/>
              <w:spacing w:line="360" w:lineRule="auto"/>
              <w:rPr>
                <w:rFonts w:ascii="宋体" w:hAnsi="宋体" w:eastAsia="宋体"/>
                <w:color w:val="auto"/>
                <w:sz w:val="21"/>
                <w:szCs w:val="21"/>
              </w:rPr>
            </w:pPr>
            <w:r>
              <w:rPr>
                <w:rFonts w:hint="eastAsia" w:ascii="宋体" w:hAnsi="宋体" w:eastAsia="宋体"/>
                <w:color w:val="auto"/>
                <w:sz w:val="21"/>
                <w:szCs w:val="21"/>
              </w:rPr>
              <w:t>确保医务人员了解该物质相关的个体防护知识，注意自身防护。眼睛接触：立即提起</w:t>
            </w:r>
          </w:p>
          <w:p>
            <w:pPr>
              <w:widowControl/>
              <w:spacing w:line="360" w:lineRule="auto"/>
              <w:rPr>
                <w:rFonts w:ascii="宋体" w:hAnsi="宋体" w:eastAsia="宋体"/>
                <w:color w:val="auto"/>
                <w:sz w:val="21"/>
                <w:szCs w:val="21"/>
              </w:rPr>
            </w:pPr>
            <w:r>
              <w:rPr>
                <w:rFonts w:hint="eastAsia" w:ascii="宋体" w:hAnsi="宋体" w:eastAsia="宋体"/>
                <w:color w:val="auto"/>
                <w:sz w:val="21"/>
                <w:szCs w:val="21"/>
              </w:rPr>
              <w:t>眼睑，用流动清水或生理盐水冲洗至少15分钟;就医。吸入：迅速脱离现场至空气新</w:t>
            </w:r>
          </w:p>
          <w:p>
            <w:pPr>
              <w:widowControl/>
              <w:spacing w:line="360" w:lineRule="auto"/>
              <w:rPr>
                <w:rFonts w:ascii="宋体" w:hAnsi="宋体" w:eastAsia="宋体"/>
                <w:color w:val="auto"/>
                <w:sz w:val="21"/>
                <w:szCs w:val="21"/>
              </w:rPr>
            </w:pPr>
            <w:r>
              <w:rPr>
                <w:rFonts w:hint="eastAsia" w:ascii="宋体" w:hAnsi="宋体" w:eastAsia="宋体"/>
                <w:color w:val="auto"/>
                <w:sz w:val="21"/>
                <w:szCs w:val="21"/>
              </w:rPr>
              <w:t>鲜处。保持呼吸道通畅。呼吸困难时给输氧。呼吸停止时,立即进行人工呼吸;就医。</w:t>
            </w:r>
          </w:p>
          <w:p>
            <w:pPr>
              <w:widowControl/>
              <w:spacing w:line="360" w:lineRule="auto"/>
              <w:rPr>
                <w:rFonts w:ascii="宋体" w:hAnsi="宋体" w:eastAsia="宋体"/>
                <w:color w:val="auto"/>
                <w:sz w:val="21"/>
                <w:szCs w:val="21"/>
              </w:rPr>
            </w:pPr>
            <w:r>
              <w:rPr>
                <w:rFonts w:hint="eastAsia" w:ascii="宋体" w:hAnsi="宋体" w:eastAsia="宋体"/>
                <w:color w:val="auto"/>
                <w:sz w:val="21"/>
                <w:szCs w:val="21"/>
              </w:rPr>
              <w:t>食入：误服者立即漱口，洗胃;就医。  </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1231" w:hRule="atLeast"/>
          <w:jc w:val="center"/>
        </w:trPr>
        <w:tc>
          <w:tcPr>
            <w:tcW w:w="552" w:type="dxa"/>
            <w:vMerge w:val="continue"/>
            <w:tcBorders>
              <w:top w:val="single" w:color="auto" w:sz="6" w:space="0"/>
              <w:left w:val="single" w:color="auto" w:sz="6" w:space="0"/>
              <w:bottom w:val="single" w:color="auto" w:sz="6" w:space="0"/>
              <w:right w:val="single" w:color="auto" w:sz="6" w:space="0"/>
            </w:tcBorders>
            <w:shd w:val="clear" w:color="auto" w:fill="auto"/>
            <w:vAlign w:val="center"/>
          </w:tcPr>
          <w:p>
            <w:pPr>
              <w:widowControl/>
              <w:spacing w:line="360" w:lineRule="auto"/>
              <w:rPr>
                <w:rFonts w:ascii="宋体" w:hAnsi="宋体" w:eastAsia="宋体"/>
                <w:color w:val="auto"/>
                <w:spacing w:val="10"/>
                <w:sz w:val="21"/>
                <w:szCs w:val="21"/>
              </w:rPr>
            </w:pPr>
          </w:p>
        </w:tc>
        <w:tc>
          <w:tcPr>
            <w:tcW w:w="1395" w:type="dxa"/>
            <w:tcBorders>
              <w:top w:val="single" w:color="auto" w:sz="4" w:space="0"/>
              <w:left w:val="single" w:color="auto" w:sz="6" w:space="0"/>
              <w:bottom w:val="single" w:color="auto" w:sz="6" w:space="0"/>
              <w:right w:val="single" w:color="auto" w:sz="6" w:space="0"/>
            </w:tcBorders>
            <w:shd w:val="clear" w:color="auto" w:fill="auto"/>
            <w:vAlign w:val="center"/>
          </w:tcPr>
          <w:p>
            <w:pPr>
              <w:widowControl/>
              <w:adjustRightInd w:val="0"/>
              <w:spacing w:line="360" w:lineRule="auto"/>
              <w:rPr>
                <w:rFonts w:ascii="宋体" w:hAnsi="宋体" w:eastAsia="宋体"/>
                <w:color w:val="auto"/>
                <w:sz w:val="21"/>
                <w:szCs w:val="21"/>
              </w:rPr>
            </w:pPr>
            <w:r>
              <w:rPr>
                <w:rFonts w:hint="eastAsia" w:ascii="宋体" w:hAnsi="宋体" w:eastAsia="宋体"/>
                <w:bCs/>
                <w:color w:val="auto"/>
                <w:sz w:val="21"/>
                <w:szCs w:val="21"/>
              </w:rPr>
              <w:t>防护措施</w:t>
            </w:r>
          </w:p>
        </w:tc>
        <w:tc>
          <w:tcPr>
            <w:tcW w:w="7692" w:type="dxa"/>
            <w:gridSpan w:val="16"/>
            <w:tcBorders>
              <w:top w:val="single" w:color="auto" w:sz="4" w:space="0"/>
              <w:left w:val="single" w:color="auto" w:sz="6" w:space="0"/>
              <w:bottom w:val="single" w:color="auto" w:sz="6" w:space="0"/>
              <w:right w:val="single" w:color="auto" w:sz="6" w:space="0"/>
            </w:tcBorders>
            <w:shd w:val="clear" w:color="auto" w:fill="auto"/>
            <w:vAlign w:val="center"/>
          </w:tcPr>
          <w:p>
            <w:pPr>
              <w:widowControl/>
              <w:spacing w:line="360" w:lineRule="auto"/>
              <w:rPr>
                <w:rFonts w:ascii="宋体" w:hAnsi="宋体" w:eastAsia="宋体"/>
                <w:color w:val="auto"/>
                <w:sz w:val="21"/>
                <w:szCs w:val="21"/>
              </w:rPr>
            </w:pPr>
            <w:r>
              <w:rPr>
                <w:rFonts w:hint="eastAsia" w:ascii="宋体" w:hAnsi="宋体" w:eastAsia="宋体"/>
                <w:color w:val="auto"/>
                <w:sz w:val="21"/>
                <w:szCs w:val="21"/>
              </w:rPr>
              <w:t>工程控制：生产过程密闭，加强通风。呼吸系统防护：空气中浓度超标时，佩带防毒面具。紧急事态抢救或逃生时，建议佩带自给式呼吸器。NIOSH   500ppm：装药剂盒防有机蒸气的呼吸器(1)、供气式呼吸器(1)。700ppm：连续供气式呼吸器(1)、装药剂盒防有机蒸气的全面罩呼吸器、动力驱动装有机蒸气滤毒盒的空气净化呼吸器(1)、自携式呼吸器、全面罩呼吸器。应急或有计划进入浓度未知区域，或处于立即危及生命或健康的状况：自携式正压全面罩呼吸器、供气式正压全面罩呼吸器辅之以辅助自携式正压呼吸器。逃生：装有机蒸气滤毒盒的空气净化式全面罩呼吸器(防毒面具)、自携式逃生呼吸器。眼睛防护：一般不需特殊防护，高浓度接触时可戴化学安全防护服镜。防护服：穿相应的防护服。手防护：戴防化学品手套。也可使用皮肤防护膜。其他：工作现场禁止吸烟、进食和饮水。工作后，淋浴更衣。保持良好的卫生习惯。  </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314" w:hRule="atLeast"/>
          <w:jc w:val="center"/>
        </w:trPr>
        <w:tc>
          <w:tcPr>
            <w:tcW w:w="552" w:type="dxa"/>
            <w:vMerge w:val="restart"/>
            <w:tcBorders>
              <w:top w:val="single" w:color="auto" w:sz="6" w:space="0"/>
              <w:left w:val="single" w:color="auto" w:sz="6" w:space="0"/>
              <w:bottom w:val="single" w:color="auto" w:sz="6" w:space="0"/>
              <w:right w:val="single" w:color="auto" w:sz="6" w:space="0"/>
            </w:tcBorders>
            <w:shd w:val="clear" w:color="auto" w:fill="auto"/>
            <w:vAlign w:val="center"/>
          </w:tcPr>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燃烧爆炸危险性</w:t>
            </w:r>
          </w:p>
        </w:tc>
        <w:tc>
          <w:tcPr>
            <w:tcW w:w="1395" w:type="dxa"/>
            <w:tcBorders>
              <w:top w:val="single" w:color="auto" w:sz="6" w:space="0"/>
              <w:left w:val="single" w:color="auto" w:sz="6" w:space="0"/>
              <w:bottom w:val="single" w:color="auto" w:sz="6" w:space="0"/>
              <w:right w:val="single" w:color="auto" w:sz="6" w:space="0"/>
            </w:tcBorders>
            <w:shd w:val="clear" w:color="auto" w:fill="auto"/>
            <w:vAlign w:val="center"/>
          </w:tcPr>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燃烧性</w:t>
            </w:r>
          </w:p>
        </w:tc>
        <w:tc>
          <w:tcPr>
            <w:tcW w:w="1842" w:type="dxa"/>
            <w:gridSpan w:val="4"/>
            <w:tcBorders>
              <w:top w:val="single" w:color="auto" w:sz="6" w:space="0"/>
              <w:left w:val="single" w:color="auto" w:sz="6" w:space="0"/>
              <w:bottom w:val="single" w:color="auto" w:sz="6" w:space="0"/>
              <w:right w:val="single" w:color="auto" w:sz="6" w:space="0"/>
            </w:tcBorders>
            <w:shd w:val="clear" w:color="auto" w:fill="auto"/>
            <w:vAlign w:val="center"/>
          </w:tcPr>
          <w:p>
            <w:pPr>
              <w:spacing w:line="360" w:lineRule="auto"/>
              <w:jc w:val="center"/>
              <w:rPr>
                <w:rFonts w:ascii="宋体" w:hAnsi="宋体" w:eastAsia="宋体"/>
                <w:color w:val="auto"/>
                <w:spacing w:val="10"/>
                <w:sz w:val="21"/>
                <w:szCs w:val="21"/>
              </w:rPr>
            </w:pPr>
            <w:r>
              <w:rPr>
                <w:rFonts w:hint="eastAsia" w:ascii="宋体" w:hAnsi="宋体" w:eastAsia="宋体"/>
                <w:color w:val="auto"/>
                <w:spacing w:val="10"/>
                <w:sz w:val="21"/>
                <w:szCs w:val="21"/>
              </w:rPr>
              <w:t>易燃</w:t>
            </w:r>
          </w:p>
        </w:tc>
        <w:tc>
          <w:tcPr>
            <w:tcW w:w="2220" w:type="dxa"/>
            <w:gridSpan w:val="4"/>
            <w:tcBorders>
              <w:top w:val="single" w:color="auto" w:sz="6" w:space="0"/>
              <w:left w:val="single" w:color="auto" w:sz="6" w:space="0"/>
              <w:bottom w:val="single" w:color="auto" w:sz="6" w:space="0"/>
              <w:right w:val="single" w:color="auto" w:sz="6" w:space="0"/>
            </w:tcBorders>
            <w:shd w:val="clear" w:color="auto" w:fill="auto"/>
            <w:vAlign w:val="center"/>
          </w:tcPr>
          <w:p>
            <w:pPr>
              <w:spacing w:line="360" w:lineRule="auto"/>
              <w:jc w:val="center"/>
              <w:rPr>
                <w:rFonts w:ascii="宋体" w:hAnsi="宋体" w:eastAsia="宋体"/>
                <w:color w:val="auto"/>
                <w:spacing w:val="10"/>
                <w:sz w:val="21"/>
                <w:szCs w:val="21"/>
              </w:rPr>
            </w:pPr>
            <w:r>
              <w:rPr>
                <w:rFonts w:hint="eastAsia" w:ascii="宋体" w:hAnsi="宋体" w:eastAsia="宋体"/>
                <w:color w:val="auto"/>
                <w:spacing w:val="10"/>
                <w:sz w:val="21"/>
                <w:szCs w:val="21"/>
              </w:rPr>
              <w:t>燃烧分解物</w:t>
            </w:r>
          </w:p>
        </w:tc>
        <w:tc>
          <w:tcPr>
            <w:tcW w:w="3630" w:type="dxa"/>
            <w:gridSpan w:val="8"/>
            <w:tcBorders>
              <w:top w:val="single" w:color="auto" w:sz="6" w:space="0"/>
              <w:left w:val="single" w:color="auto" w:sz="6" w:space="0"/>
              <w:bottom w:val="single" w:color="auto" w:sz="6" w:space="0"/>
              <w:right w:val="single" w:color="auto" w:sz="6" w:space="0"/>
            </w:tcBorders>
            <w:shd w:val="clear" w:color="auto" w:fill="auto"/>
            <w:vAlign w:val="center"/>
          </w:tcPr>
          <w:p>
            <w:pPr>
              <w:spacing w:line="360" w:lineRule="auto"/>
              <w:jc w:val="center"/>
              <w:rPr>
                <w:rFonts w:ascii="宋体" w:hAnsi="宋体" w:eastAsia="宋体"/>
                <w:color w:val="auto"/>
                <w:spacing w:val="10"/>
                <w:sz w:val="21"/>
                <w:szCs w:val="21"/>
              </w:rPr>
            </w:pPr>
            <w:r>
              <w:rPr>
                <w:rFonts w:hint="eastAsia" w:ascii="宋体" w:hAnsi="宋体" w:eastAsia="宋体"/>
                <w:color w:val="auto"/>
                <w:sz w:val="21"/>
                <w:szCs w:val="21"/>
              </w:rPr>
              <w:t>一氧化碳、二氧化碳。</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58" w:hRule="atLeast"/>
          <w:jc w:val="center"/>
        </w:trPr>
        <w:tc>
          <w:tcPr>
            <w:tcW w:w="552" w:type="dxa"/>
            <w:vMerge w:val="continue"/>
            <w:tcBorders>
              <w:top w:val="single" w:color="auto" w:sz="6" w:space="0"/>
              <w:left w:val="single" w:color="auto" w:sz="6" w:space="0"/>
              <w:bottom w:val="single" w:color="auto" w:sz="6" w:space="0"/>
              <w:right w:val="single" w:color="auto" w:sz="6" w:space="0"/>
            </w:tcBorders>
            <w:shd w:val="clear" w:color="auto" w:fill="auto"/>
            <w:vAlign w:val="center"/>
          </w:tcPr>
          <w:p>
            <w:pPr>
              <w:widowControl/>
              <w:spacing w:line="360" w:lineRule="auto"/>
              <w:rPr>
                <w:rFonts w:ascii="宋体" w:hAnsi="宋体" w:eastAsia="宋体"/>
                <w:color w:val="auto"/>
                <w:spacing w:val="10"/>
                <w:sz w:val="21"/>
                <w:szCs w:val="21"/>
              </w:rPr>
            </w:pPr>
          </w:p>
        </w:tc>
        <w:tc>
          <w:tcPr>
            <w:tcW w:w="1395" w:type="dxa"/>
            <w:tcBorders>
              <w:top w:val="single" w:color="auto" w:sz="6" w:space="0"/>
              <w:left w:val="single" w:color="auto" w:sz="6" w:space="0"/>
              <w:bottom w:val="single" w:color="auto" w:sz="6" w:space="0"/>
              <w:right w:val="single" w:color="auto" w:sz="6" w:space="0"/>
            </w:tcBorders>
            <w:shd w:val="clear" w:color="auto" w:fill="auto"/>
            <w:vAlign w:val="center"/>
          </w:tcPr>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闪点(</w:t>
            </w:r>
            <w:r>
              <w:rPr>
                <w:rFonts w:hint="eastAsia" w:ascii="宋体" w:hAnsi="宋体" w:eastAsia="宋体" w:cs="宋体"/>
                <w:color w:val="auto"/>
                <w:spacing w:val="10"/>
                <w:sz w:val="21"/>
                <w:szCs w:val="21"/>
              </w:rPr>
              <w:t>℃</w:t>
            </w:r>
            <w:r>
              <w:rPr>
                <w:rFonts w:hint="eastAsia" w:ascii="宋体" w:hAnsi="宋体" w:eastAsia="宋体"/>
                <w:color w:val="auto"/>
                <w:spacing w:val="10"/>
                <w:sz w:val="21"/>
                <w:szCs w:val="21"/>
              </w:rPr>
              <w:t>)</w:t>
            </w:r>
          </w:p>
        </w:tc>
        <w:tc>
          <w:tcPr>
            <w:tcW w:w="1842" w:type="dxa"/>
            <w:gridSpan w:val="4"/>
            <w:tcBorders>
              <w:top w:val="single" w:color="auto" w:sz="6" w:space="0"/>
              <w:left w:val="single" w:color="auto" w:sz="6" w:space="0"/>
              <w:bottom w:val="single" w:color="auto" w:sz="6" w:space="0"/>
              <w:right w:val="single" w:color="auto" w:sz="6" w:space="0"/>
            </w:tcBorders>
            <w:shd w:val="clear" w:color="auto" w:fill="auto"/>
            <w:vAlign w:val="center"/>
          </w:tcPr>
          <w:p>
            <w:pPr>
              <w:spacing w:line="360" w:lineRule="auto"/>
              <w:ind w:firstLine="315" w:firstLineChars="150"/>
              <w:rPr>
                <w:rFonts w:ascii="宋体" w:hAnsi="宋体" w:eastAsia="宋体"/>
                <w:color w:val="auto"/>
                <w:spacing w:val="-20"/>
                <w:sz w:val="21"/>
                <w:szCs w:val="21"/>
              </w:rPr>
            </w:pPr>
            <w:r>
              <w:rPr>
                <w:rFonts w:hint="eastAsia" w:ascii="宋体" w:hAnsi="宋体" w:eastAsia="宋体"/>
                <w:color w:val="auto"/>
                <w:sz w:val="21"/>
                <w:szCs w:val="21"/>
              </w:rPr>
              <w:t>34.4</w:t>
            </w:r>
          </w:p>
        </w:tc>
        <w:tc>
          <w:tcPr>
            <w:tcW w:w="3456" w:type="dxa"/>
            <w:gridSpan w:val="8"/>
            <w:tcBorders>
              <w:top w:val="single" w:color="auto" w:sz="6" w:space="0"/>
              <w:left w:val="single" w:color="auto" w:sz="6" w:space="0"/>
              <w:bottom w:val="single" w:color="auto" w:sz="6" w:space="0"/>
              <w:right w:val="single" w:color="auto" w:sz="6" w:space="0"/>
            </w:tcBorders>
            <w:shd w:val="clear" w:color="auto" w:fill="auto"/>
            <w:vAlign w:val="center"/>
          </w:tcPr>
          <w:p>
            <w:pPr>
              <w:spacing w:line="360" w:lineRule="auto"/>
              <w:jc w:val="center"/>
              <w:rPr>
                <w:rFonts w:ascii="宋体" w:hAnsi="宋体" w:eastAsia="宋体"/>
                <w:color w:val="auto"/>
                <w:spacing w:val="10"/>
                <w:sz w:val="21"/>
                <w:szCs w:val="21"/>
              </w:rPr>
            </w:pPr>
            <w:r>
              <w:rPr>
                <w:rFonts w:hint="eastAsia" w:ascii="宋体" w:hAnsi="宋体" w:eastAsia="宋体"/>
                <w:color w:val="auto"/>
                <w:spacing w:val="10"/>
                <w:sz w:val="21"/>
                <w:szCs w:val="21"/>
              </w:rPr>
              <w:t>爆炸上限%（v%）：</w:t>
            </w:r>
          </w:p>
        </w:tc>
        <w:tc>
          <w:tcPr>
            <w:tcW w:w="2394" w:type="dxa"/>
            <w:gridSpan w:val="4"/>
            <w:tcBorders>
              <w:top w:val="single" w:color="auto" w:sz="6" w:space="0"/>
              <w:left w:val="single" w:color="auto" w:sz="6" w:space="0"/>
              <w:bottom w:val="single" w:color="auto" w:sz="6" w:space="0"/>
              <w:right w:val="single" w:color="auto" w:sz="6" w:space="0"/>
            </w:tcBorders>
            <w:shd w:val="clear" w:color="auto" w:fill="auto"/>
            <w:vAlign w:val="center"/>
          </w:tcPr>
          <w:p>
            <w:pPr>
              <w:spacing w:line="360" w:lineRule="auto"/>
              <w:jc w:val="center"/>
              <w:rPr>
                <w:rFonts w:ascii="宋体" w:hAnsi="宋体" w:eastAsia="宋体"/>
                <w:color w:val="auto"/>
                <w:spacing w:val="10"/>
                <w:sz w:val="21"/>
                <w:szCs w:val="21"/>
              </w:rPr>
            </w:pPr>
            <w:r>
              <w:rPr>
                <w:rFonts w:hint="eastAsia" w:ascii="宋体" w:hAnsi="宋体" w:eastAsia="宋体"/>
                <w:color w:val="auto"/>
                <w:sz w:val="21"/>
                <w:szCs w:val="21"/>
              </w:rPr>
              <w:t>6.1</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02" w:hRule="atLeast"/>
          <w:jc w:val="center"/>
        </w:trPr>
        <w:tc>
          <w:tcPr>
            <w:tcW w:w="552" w:type="dxa"/>
            <w:vMerge w:val="continue"/>
            <w:tcBorders>
              <w:top w:val="single" w:color="auto" w:sz="6" w:space="0"/>
              <w:left w:val="single" w:color="auto" w:sz="6" w:space="0"/>
              <w:bottom w:val="single" w:color="auto" w:sz="6" w:space="0"/>
              <w:right w:val="single" w:color="auto" w:sz="6" w:space="0"/>
            </w:tcBorders>
            <w:shd w:val="clear" w:color="auto" w:fill="auto"/>
            <w:vAlign w:val="center"/>
          </w:tcPr>
          <w:p>
            <w:pPr>
              <w:widowControl/>
              <w:spacing w:line="360" w:lineRule="auto"/>
              <w:rPr>
                <w:rFonts w:ascii="宋体" w:hAnsi="宋体" w:eastAsia="宋体"/>
                <w:color w:val="auto"/>
                <w:spacing w:val="10"/>
                <w:sz w:val="21"/>
                <w:szCs w:val="21"/>
              </w:rPr>
            </w:pPr>
          </w:p>
        </w:tc>
        <w:tc>
          <w:tcPr>
            <w:tcW w:w="1890" w:type="dxa"/>
            <w:gridSpan w:val="2"/>
            <w:tcBorders>
              <w:top w:val="single" w:color="auto" w:sz="6" w:space="0"/>
              <w:left w:val="single" w:color="auto" w:sz="6" w:space="0"/>
              <w:bottom w:val="single" w:color="auto" w:sz="4" w:space="0"/>
              <w:right w:val="single" w:color="auto" w:sz="4" w:space="0"/>
            </w:tcBorders>
            <w:shd w:val="clear" w:color="auto" w:fill="auto"/>
            <w:vAlign w:val="center"/>
          </w:tcPr>
          <w:p>
            <w:pPr>
              <w:spacing w:line="360" w:lineRule="auto"/>
              <w:jc w:val="center"/>
              <w:rPr>
                <w:rFonts w:ascii="宋体" w:hAnsi="宋体" w:eastAsia="宋体"/>
                <w:color w:val="auto"/>
                <w:spacing w:val="10"/>
                <w:sz w:val="21"/>
                <w:szCs w:val="21"/>
              </w:rPr>
            </w:pPr>
            <w:r>
              <w:rPr>
                <w:rFonts w:hint="eastAsia" w:ascii="宋体" w:hAnsi="宋体" w:eastAsia="宋体"/>
                <w:color w:val="auto"/>
                <w:spacing w:val="10"/>
                <w:sz w:val="21"/>
                <w:szCs w:val="21"/>
              </w:rPr>
              <w:t>自燃温度(</w:t>
            </w:r>
            <w:r>
              <w:rPr>
                <w:rFonts w:hint="eastAsia" w:ascii="宋体" w:hAnsi="宋体" w:eastAsia="宋体" w:cs="宋体"/>
                <w:color w:val="auto"/>
                <w:spacing w:val="10"/>
                <w:sz w:val="21"/>
                <w:szCs w:val="21"/>
              </w:rPr>
              <w:t>℃</w:t>
            </w:r>
            <w:r>
              <w:rPr>
                <w:rFonts w:hint="eastAsia" w:ascii="宋体" w:hAnsi="宋体" w:eastAsia="宋体"/>
                <w:color w:val="auto"/>
                <w:spacing w:val="10"/>
                <w:sz w:val="21"/>
                <w:szCs w:val="21"/>
              </w:rPr>
              <w:t>)</w:t>
            </w:r>
          </w:p>
        </w:tc>
        <w:tc>
          <w:tcPr>
            <w:tcW w:w="1347" w:type="dxa"/>
            <w:gridSpan w:val="3"/>
            <w:tcBorders>
              <w:top w:val="single" w:color="auto" w:sz="6" w:space="0"/>
              <w:left w:val="single" w:color="auto" w:sz="4" w:space="0"/>
              <w:bottom w:val="single" w:color="auto" w:sz="4" w:space="0"/>
              <w:right w:val="single" w:color="auto" w:sz="6" w:space="0"/>
            </w:tcBorders>
            <w:shd w:val="clear" w:color="auto" w:fill="auto"/>
            <w:vAlign w:val="center"/>
          </w:tcPr>
          <w:p>
            <w:pPr>
              <w:spacing w:line="360" w:lineRule="auto"/>
              <w:jc w:val="center"/>
              <w:rPr>
                <w:rFonts w:ascii="宋体" w:hAnsi="宋体" w:eastAsia="宋体"/>
                <w:color w:val="auto"/>
                <w:spacing w:val="10"/>
                <w:sz w:val="21"/>
                <w:szCs w:val="21"/>
              </w:rPr>
            </w:pPr>
            <w:r>
              <w:rPr>
                <w:rFonts w:hint="eastAsia" w:ascii="宋体" w:hAnsi="宋体" w:eastAsia="宋体"/>
                <w:color w:val="auto"/>
                <w:sz w:val="21"/>
                <w:szCs w:val="21"/>
              </w:rPr>
              <w:t>490</w:t>
            </w:r>
          </w:p>
        </w:tc>
        <w:tc>
          <w:tcPr>
            <w:tcW w:w="3456" w:type="dxa"/>
            <w:gridSpan w:val="8"/>
            <w:tcBorders>
              <w:top w:val="single" w:color="auto" w:sz="6" w:space="0"/>
              <w:left w:val="single" w:color="auto" w:sz="6" w:space="0"/>
              <w:bottom w:val="single" w:color="auto" w:sz="4" w:space="0"/>
              <w:right w:val="single" w:color="auto" w:sz="4" w:space="0"/>
            </w:tcBorders>
            <w:shd w:val="clear" w:color="auto" w:fill="auto"/>
            <w:vAlign w:val="center"/>
          </w:tcPr>
          <w:p>
            <w:pPr>
              <w:spacing w:line="360" w:lineRule="auto"/>
              <w:jc w:val="center"/>
              <w:rPr>
                <w:rFonts w:ascii="宋体" w:hAnsi="宋体" w:eastAsia="宋体"/>
                <w:color w:val="auto"/>
                <w:spacing w:val="10"/>
                <w:sz w:val="21"/>
                <w:szCs w:val="21"/>
              </w:rPr>
            </w:pPr>
            <w:r>
              <w:rPr>
                <w:rFonts w:hint="eastAsia" w:ascii="宋体" w:hAnsi="宋体" w:eastAsia="宋体"/>
                <w:color w:val="auto"/>
                <w:spacing w:val="10"/>
                <w:sz w:val="21"/>
                <w:szCs w:val="21"/>
              </w:rPr>
              <w:t>爆炸下限%（v%）：</w:t>
            </w:r>
          </w:p>
        </w:tc>
        <w:tc>
          <w:tcPr>
            <w:tcW w:w="2394" w:type="dxa"/>
            <w:gridSpan w:val="4"/>
            <w:tcBorders>
              <w:top w:val="single" w:color="auto" w:sz="6" w:space="0"/>
              <w:left w:val="single" w:color="auto" w:sz="4" w:space="0"/>
              <w:bottom w:val="single" w:color="auto" w:sz="4" w:space="0"/>
              <w:right w:val="single" w:color="auto" w:sz="6" w:space="0"/>
            </w:tcBorders>
            <w:shd w:val="clear" w:color="auto" w:fill="auto"/>
            <w:vAlign w:val="center"/>
          </w:tcPr>
          <w:p>
            <w:pPr>
              <w:spacing w:line="360" w:lineRule="auto"/>
              <w:jc w:val="center"/>
              <w:rPr>
                <w:rFonts w:ascii="宋体" w:hAnsi="宋体" w:eastAsia="宋体"/>
                <w:color w:val="auto"/>
                <w:spacing w:val="10"/>
                <w:sz w:val="21"/>
                <w:szCs w:val="21"/>
              </w:rPr>
            </w:pPr>
            <w:r>
              <w:rPr>
                <w:rFonts w:hint="eastAsia" w:ascii="宋体" w:hAnsi="宋体" w:eastAsia="宋体"/>
                <w:color w:val="auto"/>
                <w:sz w:val="21"/>
                <w:szCs w:val="21"/>
              </w:rPr>
              <w:t>1.1</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PrEx>
        <w:trPr>
          <w:cantSplit/>
          <w:trHeight w:val="115" w:hRule="atLeast"/>
          <w:jc w:val="center"/>
        </w:trPr>
        <w:tc>
          <w:tcPr>
            <w:tcW w:w="552" w:type="dxa"/>
            <w:vMerge w:val="continue"/>
            <w:tcBorders>
              <w:top w:val="single" w:color="auto" w:sz="6" w:space="0"/>
              <w:left w:val="single" w:color="auto" w:sz="6" w:space="0"/>
              <w:bottom w:val="single" w:color="auto" w:sz="6" w:space="0"/>
              <w:right w:val="single" w:color="auto" w:sz="6" w:space="0"/>
            </w:tcBorders>
            <w:shd w:val="clear" w:color="auto" w:fill="auto"/>
            <w:vAlign w:val="center"/>
          </w:tcPr>
          <w:p>
            <w:pPr>
              <w:widowControl/>
              <w:spacing w:line="360" w:lineRule="auto"/>
              <w:rPr>
                <w:rFonts w:ascii="宋体" w:hAnsi="宋体" w:eastAsia="宋体"/>
                <w:color w:val="auto"/>
                <w:spacing w:val="10"/>
                <w:sz w:val="21"/>
                <w:szCs w:val="21"/>
              </w:rPr>
            </w:pPr>
          </w:p>
        </w:tc>
        <w:tc>
          <w:tcPr>
            <w:tcW w:w="1890" w:type="dxa"/>
            <w:gridSpan w:val="2"/>
            <w:tcBorders>
              <w:top w:val="single" w:color="auto" w:sz="4" w:space="0"/>
              <w:left w:val="single" w:color="auto" w:sz="6" w:space="0"/>
              <w:bottom w:val="single" w:color="auto" w:sz="6" w:space="0"/>
              <w:right w:val="single" w:color="auto" w:sz="4" w:space="0"/>
            </w:tcBorders>
            <w:shd w:val="clear" w:color="auto" w:fill="auto"/>
            <w:vAlign w:val="center"/>
          </w:tcPr>
          <w:p>
            <w:pPr>
              <w:spacing w:line="360" w:lineRule="auto"/>
              <w:jc w:val="center"/>
              <w:rPr>
                <w:rFonts w:ascii="宋体" w:hAnsi="宋体" w:eastAsia="宋体"/>
                <w:color w:val="auto"/>
                <w:spacing w:val="10"/>
                <w:sz w:val="21"/>
                <w:szCs w:val="21"/>
              </w:rPr>
            </w:pPr>
            <w:r>
              <w:rPr>
                <w:rFonts w:hint="eastAsia" w:ascii="宋体" w:hAnsi="宋体" w:eastAsia="宋体"/>
                <w:color w:val="auto"/>
                <w:spacing w:val="10"/>
                <w:sz w:val="21"/>
                <w:szCs w:val="21"/>
              </w:rPr>
              <w:t>建规火险分级</w:t>
            </w:r>
          </w:p>
        </w:tc>
        <w:tc>
          <w:tcPr>
            <w:tcW w:w="1347" w:type="dxa"/>
            <w:gridSpan w:val="3"/>
            <w:tcBorders>
              <w:top w:val="single" w:color="auto" w:sz="4" w:space="0"/>
              <w:left w:val="single" w:color="auto" w:sz="4" w:space="0"/>
              <w:bottom w:val="single" w:color="auto" w:sz="6" w:space="0"/>
              <w:right w:val="single" w:color="auto" w:sz="6" w:space="0"/>
            </w:tcBorders>
            <w:shd w:val="clear" w:color="auto" w:fill="auto"/>
            <w:vAlign w:val="center"/>
          </w:tcPr>
          <w:p>
            <w:pPr>
              <w:spacing w:line="360" w:lineRule="auto"/>
              <w:jc w:val="center"/>
              <w:rPr>
                <w:rFonts w:ascii="宋体" w:hAnsi="宋体" w:eastAsia="宋体"/>
                <w:color w:val="auto"/>
                <w:sz w:val="21"/>
                <w:szCs w:val="21"/>
              </w:rPr>
            </w:pPr>
            <w:r>
              <w:rPr>
                <w:rFonts w:hint="eastAsia" w:ascii="宋体" w:hAnsi="宋体" w:eastAsia="宋体"/>
                <w:color w:val="auto"/>
                <w:sz w:val="21"/>
                <w:szCs w:val="21"/>
              </w:rPr>
              <w:t>乙</w:t>
            </w:r>
          </w:p>
        </w:tc>
        <w:tc>
          <w:tcPr>
            <w:tcW w:w="1512" w:type="dxa"/>
            <w:gridSpan w:val="3"/>
            <w:tcBorders>
              <w:top w:val="single" w:color="auto" w:sz="4" w:space="0"/>
              <w:left w:val="single" w:color="auto" w:sz="6" w:space="0"/>
              <w:bottom w:val="single" w:color="auto" w:sz="6" w:space="0"/>
              <w:right w:val="single" w:color="auto" w:sz="6" w:space="0"/>
            </w:tcBorders>
            <w:shd w:val="clear" w:color="auto" w:fill="auto"/>
            <w:vAlign w:val="center"/>
          </w:tcPr>
          <w:p>
            <w:pPr>
              <w:spacing w:line="360" w:lineRule="auto"/>
              <w:jc w:val="center"/>
              <w:rPr>
                <w:rFonts w:ascii="宋体" w:hAnsi="宋体" w:eastAsia="宋体"/>
                <w:color w:val="auto"/>
                <w:spacing w:val="10"/>
                <w:sz w:val="21"/>
                <w:szCs w:val="21"/>
              </w:rPr>
            </w:pPr>
            <w:r>
              <w:rPr>
                <w:rFonts w:hint="eastAsia" w:ascii="宋体" w:hAnsi="宋体" w:eastAsia="宋体"/>
                <w:color w:val="auto"/>
                <w:spacing w:val="10"/>
                <w:sz w:val="21"/>
                <w:szCs w:val="21"/>
              </w:rPr>
              <w:t>稳定性</w:t>
            </w:r>
          </w:p>
        </w:tc>
        <w:tc>
          <w:tcPr>
            <w:tcW w:w="1420" w:type="dxa"/>
            <w:gridSpan w:val="3"/>
            <w:tcBorders>
              <w:top w:val="single" w:color="auto" w:sz="4" w:space="0"/>
              <w:left w:val="single" w:color="auto" w:sz="6" w:space="0"/>
              <w:bottom w:val="single" w:color="auto" w:sz="6" w:space="0"/>
              <w:right w:val="single" w:color="auto" w:sz="4" w:space="0"/>
            </w:tcBorders>
            <w:shd w:val="clear" w:color="auto" w:fill="auto"/>
            <w:vAlign w:val="center"/>
          </w:tcPr>
          <w:p>
            <w:pPr>
              <w:spacing w:line="360" w:lineRule="auto"/>
              <w:rPr>
                <w:rFonts w:ascii="宋体" w:hAnsi="宋体" w:eastAsia="宋体"/>
                <w:color w:val="auto"/>
                <w:sz w:val="21"/>
                <w:szCs w:val="21"/>
              </w:rPr>
            </w:pPr>
            <w:r>
              <w:rPr>
                <w:rFonts w:hint="eastAsia" w:ascii="宋体" w:hAnsi="宋体" w:eastAsia="宋体"/>
                <w:color w:val="auto"/>
                <w:sz w:val="21"/>
                <w:szCs w:val="21"/>
              </w:rPr>
              <w:t>稳定</w:t>
            </w:r>
          </w:p>
        </w:tc>
        <w:tc>
          <w:tcPr>
            <w:tcW w:w="1417" w:type="dxa"/>
            <w:gridSpan w:val="4"/>
            <w:tcBorders>
              <w:top w:val="single" w:color="auto" w:sz="4" w:space="0"/>
              <w:left w:val="single" w:color="auto" w:sz="4" w:space="0"/>
              <w:bottom w:val="single" w:color="auto" w:sz="6" w:space="0"/>
              <w:right w:val="single" w:color="auto" w:sz="4" w:space="0"/>
            </w:tcBorders>
            <w:shd w:val="clear" w:color="auto" w:fill="auto"/>
            <w:vAlign w:val="center"/>
          </w:tcPr>
          <w:p>
            <w:pPr>
              <w:spacing w:line="360" w:lineRule="auto"/>
              <w:rPr>
                <w:rFonts w:ascii="宋体" w:hAnsi="宋体" w:eastAsia="宋体"/>
                <w:color w:val="auto"/>
                <w:sz w:val="21"/>
                <w:szCs w:val="21"/>
              </w:rPr>
            </w:pPr>
            <w:r>
              <w:rPr>
                <w:rFonts w:hint="eastAsia" w:ascii="宋体" w:hAnsi="宋体" w:eastAsia="宋体"/>
                <w:color w:val="auto"/>
                <w:sz w:val="21"/>
                <w:szCs w:val="21"/>
              </w:rPr>
              <w:t>聚合危害</w:t>
            </w:r>
          </w:p>
        </w:tc>
        <w:tc>
          <w:tcPr>
            <w:tcW w:w="1501" w:type="dxa"/>
            <w:gridSpan w:val="2"/>
            <w:tcBorders>
              <w:top w:val="single" w:color="auto" w:sz="4" w:space="0"/>
              <w:left w:val="single" w:color="auto" w:sz="4" w:space="0"/>
              <w:bottom w:val="single" w:color="auto" w:sz="6" w:space="0"/>
              <w:right w:val="single" w:color="auto" w:sz="6" w:space="0"/>
            </w:tcBorders>
            <w:shd w:val="clear" w:color="auto" w:fill="auto"/>
            <w:vAlign w:val="center"/>
          </w:tcPr>
          <w:p>
            <w:pPr>
              <w:spacing w:line="360" w:lineRule="auto"/>
              <w:rPr>
                <w:rFonts w:ascii="宋体" w:hAnsi="宋体" w:eastAsia="宋体"/>
                <w:color w:val="auto"/>
                <w:sz w:val="21"/>
                <w:szCs w:val="21"/>
              </w:rPr>
            </w:pPr>
            <w:r>
              <w:rPr>
                <w:rFonts w:hint="eastAsia" w:ascii="宋体" w:hAnsi="宋体" w:eastAsia="宋体"/>
                <w:color w:val="auto"/>
                <w:sz w:val="21"/>
                <w:szCs w:val="21"/>
              </w:rPr>
              <w:t>不聚合</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PrEx>
        <w:trPr>
          <w:cantSplit/>
          <w:trHeight w:val="496" w:hRule="atLeast"/>
          <w:jc w:val="center"/>
        </w:trPr>
        <w:tc>
          <w:tcPr>
            <w:tcW w:w="552" w:type="dxa"/>
            <w:vMerge w:val="continue"/>
            <w:tcBorders>
              <w:top w:val="single" w:color="auto" w:sz="6" w:space="0"/>
              <w:left w:val="single" w:color="auto" w:sz="6" w:space="0"/>
              <w:bottom w:val="single" w:color="auto" w:sz="6" w:space="0"/>
              <w:right w:val="single" w:color="auto" w:sz="6" w:space="0"/>
            </w:tcBorders>
            <w:shd w:val="clear" w:color="auto" w:fill="auto"/>
            <w:vAlign w:val="center"/>
          </w:tcPr>
          <w:p>
            <w:pPr>
              <w:widowControl/>
              <w:spacing w:line="360" w:lineRule="auto"/>
              <w:rPr>
                <w:rFonts w:ascii="宋体" w:hAnsi="宋体" w:eastAsia="宋体"/>
                <w:color w:val="auto"/>
                <w:spacing w:val="10"/>
                <w:sz w:val="21"/>
                <w:szCs w:val="21"/>
              </w:rPr>
            </w:pPr>
          </w:p>
        </w:tc>
        <w:tc>
          <w:tcPr>
            <w:tcW w:w="1395" w:type="dxa"/>
            <w:tcBorders>
              <w:top w:val="single" w:color="auto" w:sz="6" w:space="0"/>
              <w:left w:val="single" w:color="auto" w:sz="6" w:space="0"/>
              <w:bottom w:val="single" w:color="auto" w:sz="6" w:space="0"/>
              <w:right w:val="single" w:color="auto" w:sz="6" w:space="0"/>
            </w:tcBorders>
            <w:shd w:val="clear" w:color="auto" w:fill="auto"/>
            <w:vAlign w:val="center"/>
          </w:tcPr>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危险特性</w:t>
            </w:r>
          </w:p>
        </w:tc>
        <w:tc>
          <w:tcPr>
            <w:tcW w:w="7692" w:type="dxa"/>
            <w:gridSpan w:val="16"/>
            <w:tcBorders>
              <w:top w:val="single" w:color="auto" w:sz="6" w:space="0"/>
              <w:left w:val="single" w:color="auto" w:sz="6" w:space="0"/>
              <w:bottom w:val="single" w:color="auto" w:sz="6" w:space="0"/>
              <w:right w:val="single" w:color="auto" w:sz="6" w:space="0"/>
            </w:tcBorders>
            <w:shd w:val="clear" w:color="auto" w:fill="auto"/>
            <w:vAlign w:val="center"/>
          </w:tcPr>
          <w:p>
            <w:pPr>
              <w:widowControl/>
              <w:spacing w:line="360" w:lineRule="auto"/>
              <w:rPr>
                <w:rFonts w:ascii="宋体" w:hAnsi="宋体" w:eastAsia="宋体"/>
                <w:color w:val="auto"/>
                <w:sz w:val="21"/>
                <w:szCs w:val="21"/>
              </w:rPr>
            </w:pPr>
            <w:r>
              <w:rPr>
                <w:rFonts w:hint="eastAsia" w:ascii="宋体" w:hAnsi="宋体" w:eastAsia="宋体"/>
                <w:color w:val="auto"/>
                <w:sz w:val="21"/>
                <w:szCs w:val="21"/>
              </w:rPr>
              <w:t>腐蚀铜、铜合金，溶解橡胶。腐蚀某些塑料、橡胶和涂料。能积聚静电，引燃其蒸气。 </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422" w:hRule="atLeast"/>
          <w:jc w:val="center"/>
        </w:trPr>
        <w:tc>
          <w:tcPr>
            <w:tcW w:w="552" w:type="dxa"/>
            <w:vMerge w:val="continue"/>
            <w:tcBorders>
              <w:top w:val="single" w:color="auto" w:sz="6" w:space="0"/>
              <w:left w:val="single" w:color="auto" w:sz="6" w:space="0"/>
              <w:bottom w:val="single" w:color="auto" w:sz="6" w:space="0"/>
              <w:right w:val="single" w:color="auto" w:sz="6" w:space="0"/>
            </w:tcBorders>
            <w:shd w:val="clear" w:color="auto" w:fill="auto"/>
            <w:vAlign w:val="center"/>
          </w:tcPr>
          <w:p>
            <w:pPr>
              <w:widowControl/>
              <w:spacing w:line="360" w:lineRule="auto"/>
              <w:rPr>
                <w:rFonts w:ascii="宋体" w:hAnsi="宋体" w:eastAsia="宋体"/>
                <w:color w:val="auto"/>
                <w:spacing w:val="10"/>
                <w:sz w:val="21"/>
                <w:szCs w:val="21"/>
              </w:rPr>
            </w:pPr>
          </w:p>
        </w:tc>
        <w:tc>
          <w:tcPr>
            <w:tcW w:w="1395" w:type="dxa"/>
            <w:tcBorders>
              <w:top w:val="single" w:color="auto" w:sz="6" w:space="0"/>
              <w:left w:val="single" w:color="auto" w:sz="6" w:space="0"/>
              <w:bottom w:val="single" w:color="auto" w:sz="6" w:space="0"/>
              <w:right w:val="single" w:color="auto" w:sz="6" w:space="0"/>
            </w:tcBorders>
            <w:shd w:val="clear" w:color="auto" w:fill="auto"/>
            <w:vAlign w:val="center"/>
          </w:tcPr>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包装与储运</w:t>
            </w:r>
          </w:p>
        </w:tc>
        <w:tc>
          <w:tcPr>
            <w:tcW w:w="7692" w:type="dxa"/>
            <w:gridSpan w:val="16"/>
            <w:tcBorders>
              <w:top w:val="single" w:color="auto" w:sz="6" w:space="0"/>
              <w:left w:val="single" w:color="auto" w:sz="6" w:space="0"/>
              <w:bottom w:val="single" w:color="auto" w:sz="6" w:space="0"/>
              <w:right w:val="single" w:color="auto" w:sz="6" w:space="0"/>
            </w:tcBorders>
            <w:shd w:val="clear" w:color="auto" w:fill="auto"/>
            <w:vAlign w:val="center"/>
          </w:tcPr>
          <w:p>
            <w:pPr>
              <w:widowControl/>
              <w:spacing w:line="360" w:lineRule="auto"/>
              <w:rPr>
                <w:rFonts w:ascii="宋体" w:hAnsi="宋体" w:eastAsia="宋体"/>
                <w:color w:val="auto"/>
                <w:sz w:val="21"/>
                <w:szCs w:val="21"/>
              </w:rPr>
            </w:pPr>
            <w:r>
              <w:rPr>
                <w:rFonts w:hint="eastAsia" w:ascii="宋体" w:hAnsi="宋体" w:eastAsia="宋体"/>
                <w:color w:val="auto"/>
                <w:sz w:val="21"/>
                <w:szCs w:val="21"/>
              </w:rPr>
              <w:t>危险性类别：第3.3类高闪点易燃液体  ；危险货物包装标志：7；包装类别：Ⅲ；通常商品加有阻聚剂。储存于阴凉、通风仓间内，远离火种、热源，仓温不宜超过30℃，防止阳光直射，包装要求密封，不可与空气接触。应与氧化剂、酸类分开存放。不宜大量或久存。储存间内的照明、通风等设施应采用防爆型，开关设在仓外。配备相应品种和数量的消防器材。罐储时要有防火防爆技术措施。禁止使用易产生火花的机械设备和工具。灌装时应注意流速(不超过3m／s)，且有接地装置，防止静电积聚。搬运时要轻装轻卸，防止包装及容器损坏。</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PrEx>
        <w:trPr>
          <w:cantSplit/>
          <w:trHeight w:val="300" w:hRule="atLeast"/>
          <w:jc w:val="center"/>
        </w:trPr>
        <w:tc>
          <w:tcPr>
            <w:tcW w:w="552" w:type="dxa"/>
            <w:vMerge w:val="continue"/>
            <w:tcBorders>
              <w:top w:val="single" w:color="auto" w:sz="6" w:space="0"/>
              <w:left w:val="single" w:color="auto" w:sz="6" w:space="0"/>
              <w:bottom w:val="single" w:color="auto" w:sz="6" w:space="0"/>
              <w:right w:val="single" w:color="auto" w:sz="6" w:space="0"/>
            </w:tcBorders>
            <w:shd w:val="clear" w:color="auto" w:fill="auto"/>
            <w:vAlign w:val="center"/>
          </w:tcPr>
          <w:p>
            <w:pPr>
              <w:widowControl/>
              <w:spacing w:line="360" w:lineRule="auto"/>
              <w:rPr>
                <w:rFonts w:ascii="宋体" w:hAnsi="宋体" w:eastAsia="宋体"/>
                <w:color w:val="auto"/>
                <w:spacing w:val="10"/>
                <w:sz w:val="21"/>
                <w:szCs w:val="21"/>
              </w:rPr>
            </w:pPr>
          </w:p>
        </w:tc>
        <w:tc>
          <w:tcPr>
            <w:tcW w:w="1395" w:type="dxa"/>
            <w:tcBorders>
              <w:top w:val="single" w:color="auto" w:sz="6" w:space="0"/>
              <w:left w:val="single" w:color="auto" w:sz="6" w:space="0"/>
              <w:bottom w:val="single" w:color="auto" w:sz="6" w:space="0"/>
              <w:right w:val="single" w:color="auto" w:sz="6" w:space="0"/>
            </w:tcBorders>
            <w:shd w:val="clear" w:color="auto" w:fill="auto"/>
            <w:vAlign w:val="center"/>
          </w:tcPr>
          <w:p>
            <w:pPr>
              <w:spacing w:line="360" w:lineRule="auto"/>
              <w:rPr>
                <w:rFonts w:ascii="宋体" w:hAnsi="宋体" w:eastAsia="宋体"/>
                <w:color w:val="auto"/>
                <w:spacing w:val="10"/>
                <w:sz w:val="21"/>
                <w:szCs w:val="21"/>
              </w:rPr>
            </w:pPr>
            <w:r>
              <w:rPr>
                <w:rFonts w:hint="eastAsia" w:ascii="宋体" w:hAnsi="宋体" w:eastAsia="宋体"/>
                <w:color w:val="auto"/>
                <w:sz w:val="21"/>
                <w:szCs w:val="21"/>
              </w:rPr>
              <w:t>禁 忌 物</w:t>
            </w:r>
          </w:p>
        </w:tc>
        <w:tc>
          <w:tcPr>
            <w:tcW w:w="7692" w:type="dxa"/>
            <w:gridSpan w:val="16"/>
            <w:tcBorders>
              <w:top w:val="single" w:color="auto" w:sz="6" w:space="0"/>
              <w:left w:val="single" w:color="auto" w:sz="6" w:space="0"/>
              <w:bottom w:val="single" w:color="auto" w:sz="6" w:space="0"/>
              <w:right w:val="single" w:color="auto" w:sz="6" w:space="0"/>
            </w:tcBorders>
            <w:shd w:val="clear" w:color="auto" w:fill="auto"/>
            <w:vAlign w:val="center"/>
          </w:tcPr>
          <w:p>
            <w:pPr>
              <w:widowControl/>
              <w:adjustRightInd w:val="0"/>
              <w:spacing w:line="360" w:lineRule="auto"/>
              <w:rPr>
                <w:rFonts w:ascii="宋体" w:hAnsi="宋体" w:eastAsia="宋体"/>
                <w:color w:val="auto"/>
                <w:sz w:val="21"/>
                <w:szCs w:val="21"/>
              </w:rPr>
            </w:pPr>
            <w:r>
              <w:rPr>
                <w:rFonts w:hint="eastAsia" w:ascii="宋体" w:hAnsi="宋体" w:eastAsia="宋体"/>
                <w:color w:val="auto"/>
                <w:sz w:val="21"/>
                <w:szCs w:val="21"/>
              </w:rPr>
              <w:t>强氧化剂、酸类。</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58" w:hRule="atLeast"/>
          <w:jc w:val="center"/>
        </w:trPr>
        <w:tc>
          <w:tcPr>
            <w:tcW w:w="552" w:type="dxa"/>
            <w:vMerge w:val="continue"/>
            <w:tcBorders>
              <w:top w:val="single" w:color="auto" w:sz="6" w:space="0"/>
              <w:left w:val="single" w:color="auto" w:sz="6" w:space="0"/>
              <w:bottom w:val="single" w:color="auto" w:sz="6" w:space="0"/>
              <w:right w:val="single" w:color="auto" w:sz="6" w:space="0"/>
            </w:tcBorders>
            <w:shd w:val="clear" w:color="auto" w:fill="auto"/>
            <w:vAlign w:val="center"/>
          </w:tcPr>
          <w:p>
            <w:pPr>
              <w:widowControl/>
              <w:spacing w:line="360" w:lineRule="auto"/>
              <w:rPr>
                <w:rFonts w:ascii="宋体" w:hAnsi="宋体" w:eastAsia="宋体"/>
                <w:color w:val="auto"/>
                <w:spacing w:val="10"/>
                <w:sz w:val="21"/>
                <w:szCs w:val="21"/>
              </w:rPr>
            </w:pPr>
          </w:p>
        </w:tc>
        <w:tc>
          <w:tcPr>
            <w:tcW w:w="1395" w:type="dxa"/>
            <w:tcBorders>
              <w:top w:val="single" w:color="auto" w:sz="6" w:space="0"/>
              <w:left w:val="single" w:color="auto" w:sz="6" w:space="0"/>
              <w:bottom w:val="single" w:color="auto" w:sz="6" w:space="0"/>
              <w:right w:val="single" w:color="auto" w:sz="6" w:space="0"/>
            </w:tcBorders>
            <w:shd w:val="clear" w:color="auto" w:fill="auto"/>
            <w:vAlign w:val="center"/>
          </w:tcPr>
          <w:p>
            <w:pPr>
              <w:spacing w:line="360" w:lineRule="auto"/>
              <w:rPr>
                <w:rFonts w:ascii="宋体" w:hAnsi="宋体" w:eastAsia="宋体"/>
                <w:color w:val="auto"/>
                <w:spacing w:val="10"/>
                <w:sz w:val="21"/>
                <w:szCs w:val="21"/>
              </w:rPr>
            </w:pPr>
            <w:r>
              <w:rPr>
                <w:rFonts w:hint="eastAsia" w:ascii="宋体" w:hAnsi="宋体" w:eastAsia="宋体"/>
                <w:color w:val="auto"/>
                <w:spacing w:val="10"/>
                <w:sz w:val="21"/>
                <w:szCs w:val="21"/>
              </w:rPr>
              <w:t>灭火方法</w:t>
            </w:r>
          </w:p>
        </w:tc>
        <w:tc>
          <w:tcPr>
            <w:tcW w:w="7692" w:type="dxa"/>
            <w:gridSpan w:val="16"/>
            <w:tcBorders>
              <w:top w:val="single" w:color="auto" w:sz="6" w:space="0"/>
              <w:left w:val="single" w:color="auto" w:sz="6" w:space="0"/>
              <w:bottom w:val="single" w:color="auto" w:sz="6" w:space="0"/>
              <w:right w:val="single" w:color="auto" w:sz="6" w:space="0"/>
            </w:tcBorders>
            <w:shd w:val="clear" w:color="auto" w:fill="auto"/>
            <w:vAlign w:val="center"/>
          </w:tcPr>
          <w:p>
            <w:pPr>
              <w:spacing w:line="360" w:lineRule="auto"/>
              <w:rPr>
                <w:rFonts w:ascii="宋体" w:hAnsi="宋体" w:eastAsia="宋体"/>
                <w:color w:val="auto"/>
                <w:spacing w:val="10"/>
                <w:sz w:val="21"/>
                <w:szCs w:val="21"/>
              </w:rPr>
            </w:pPr>
            <w:r>
              <w:rPr>
                <w:rFonts w:hint="eastAsia" w:ascii="宋体" w:hAnsi="宋体" w:eastAsia="宋体"/>
                <w:color w:val="auto"/>
                <w:sz w:val="21"/>
                <w:szCs w:val="21"/>
              </w:rPr>
              <w:t>泡沫、二氧化碳、干粉、砂土。用水灭火无效。</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1260" w:hRule="atLeast"/>
          <w:jc w:val="center"/>
        </w:trPr>
        <w:tc>
          <w:tcPr>
            <w:tcW w:w="552" w:type="dxa"/>
            <w:vMerge w:val="continue"/>
            <w:tcBorders>
              <w:top w:val="single" w:color="auto" w:sz="6" w:space="0"/>
              <w:left w:val="single" w:color="auto" w:sz="6" w:space="0"/>
              <w:bottom w:val="single" w:color="auto" w:sz="6" w:space="0"/>
              <w:right w:val="single" w:color="auto" w:sz="6" w:space="0"/>
            </w:tcBorders>
            <w:shd w:val="clear" w:color="auto" w:fill="auto"/>
            <w:vAlign w:val="center"/>
          </w:tcPr>
          <w:p>
            <w:pPr>
              <w:widowControl/>
              <w:spacing w:line="360" w:lineRule="auto"/>
              <w:rPr>
                <w:rFonts w:ascii="宋体" w:hAnsi="宋体" w:eastAsia="宋体"/>
                <w:color w:val="auto"/>
                <w:spacing w:val="10"/>
                <w:sz w:val="21"/>
                <w:szCs w:val="21"/>
              </w:rPr>
            </w:pPr>
          </w:p>
        </w:tc>
        <w:tc>
          <w:tcPr>
            <w:tcW w:w="1395"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adjustRightInd w:val="0"/>
              <w:spacing w:line="360" w:lineRule="auto"/>
              <w:rPr>
                <w:rFonts w:ascii="宋体" w:hAnsi="宋体" w:eastAsia="宋体"/>
                <w:color w:val="auto"/>
                <w:sz w:val="21"/>
                <w:szCs w:val="21"/>
              </w:rPr>
            </w:pPr>
            <w:r>
              <w:rPr>
                <w:rFonts w:hint="eastAsia" w:ascii="宋体" w:hAnsi="宋体" w:eastAsia="宋体"/>
                <w:color w:val="auto"/>
                <w:sz w:val="21"/>
                <w:szCs w:val="21"/>
              </w:rPr>
              <w:t>泄漏处置</w:t>
            </w:r>
          </w:p>
        </w:tc>
        <w:tc>
          <w:tcPr>
            <w:tcW w:w="7692" w:type="dxa"/>
            <w:gridSpan w:val="16"/>
            <w:tcBorders>
              <w:top w:val="single" w:color="auto" w:sz="6" w:space="0"/>
              <w:left w:val="single" w:color="auto" w:sz="6" w:space="0"/>
              <w:bottom w:val="single" w:color="auto" w:sz="6" w:space="0"/>
              <w:right w:val="single" w:color="auto" w:sz="6" w:space="0"/>
            </w:tcBorders>
            <w:shd w:val="clear" w:color="auto" w:fill="auto"/>
            <w:vAlign w:val="center"/>
          </w:tcPr>
          <w:p>
            <w:pPr>
              <w:widowControl/>
              <w:spacing w:line="360" w:lineRule="auto"/>
              <w:rPr>
                <w:rFonts w:ascii="宋体" w:hAnsi="宋体" w:eastAsia="宋体"/>
                <w:color w:val="auto"/>
                <w:sz w:val="21"/>
                <w:szCs w:val="21"/>
              </w:rPr>
            </w:pPr>
            <w:r>
              <w:rPr>
                <w:rFonts w:hint="eastAsia" w:ascii="宋体" w:hAnsi="宋体" w:eastAsia="宋体"/>
                <w:color w:val="auto"/>
                <w:sz w:val="21"/>
                <w:szCs w:val="21"/>
              </w:rPr>
              <w:t>疏散泄漏污染区人员至安全区，禁止无关人员进入污染区，切断火源。建议应急处理人员戴好防毒面具，穿一般消防防护服。在确保安全情况下堵漏。喷水雾会减少蒸发，但不能降低泄漏物在受限制空间内的易燃性。用活性炭或其它惰性材料吸收，然后收集运至废物处理场所处置。也可以用不燃性分散剂制成的乳液刷洗，经稀释的洗水放入废水系统。如大量泄漏，利用围堤收容，然后收集、转移、回收或无害处理后废弃。</w:t>
            </w:r>
          </w:p>
        </w:tc>
      </w:tr>
    </w:tbl>
    <w:p>
      <w:pPr>
        <w:spacing w:line="560" w:lineRule="exact"/>
        <w:jc w:val="center"/>
        <w:outlineLvl w:val="2"/>
        <w:rPr>
          <w:rFonts w:ascii="宋体" w:hAnsi="宋体" w:eastAsia="宋体" w:cs="Times New Roman"/>
          <w:b/>
          <w:bCs/>
          <w:color w:val="auto"/>
          <w:kern w:val="2"/>
          <w:lang w:val="en-US" w:bidi="ar-SA"/>
        </w:rPr>
      </w:pPr>
      <w:r>
        <w:rPr>
          <w:rFonts w:hint="eastAsia" w:ascii="宋体" w:hAnsi="宋体" w:eastAsia="宋体" w:cs="Times New Roman"/>
          <w:b/>
          <w:bCs/>
          <w:color w:val="auto"/>
          <w:kern w:val="2"/>
          <w:lang w:val="en-US" w:bidi="ar-SA"/>
        </w:rPr>
        <w:t>附表1-12乙酸乙酯的理化特性表</w:t>
      </w:r>
    </w:p>
    <w:tbl>
      <w:tblPr>
        <w:tblStyle w:val="45"/>
        <w:tblW w:w="5000" w:type="pct"/>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503"/>
        <w:gridCol w:w="1888"/>
        <w:gridCol w:w="931"/>
        <w:gridCol w:w="257"/>
        <w:gridCol w:w="363"/>
        <w:gridCol w:w="1071"/>
        <w:gridCol w:w="325"/>
        <w:gridCol w:w="747"/>
        <w:gridCol w:w="243"/>
        <w:gridCol w:w="1410"/>
        <w:gridCol w:w="726"/>
        <w:gridCol w:w="930"/>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55" w:type="dxa"/>
            <w:vMerge w:val="restart"/>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标</w:t>
            </w:r>
          </w:p>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识</w:t>
            </w:r>
          </w:p>
        </w:tc>
        <w:tc>
          <w:tcPr>
            <w:tcW w:w="5285" w:type="dxa"/>
            <w:gridSpan w:val="8"/>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中文名：乙酸乙酯；醋酸乙酯</w:t>
            </w:r>
          </w:p>
        </w:tc>
        <w:tc>
          <w:tcPr>
            <w:tcW w:w="2782" w:type="dxa"/>
            <w:gridSpan w:val="3"/>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危险化学品序号：</w:t>
            </w:r>
            <w:r>
              <w:rPr>
                <w:rFonts w:ascii="宋体" w:hAnsi="宋体" w:eastAsia="宋体" w:cs="Arial"/>
                <w:color w:val="auto"/>
                <w:sz w:val="21"/>
                <w:szCs w:val="21"/>
              </w:rPr>
              <w:t>2651</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55" w:type="dxa"/>
            <w:vMerge w:val="continue"/>
            <w:vAlign w:val="center"/>
          </w:tcPr>
          <w:p>
            <w:pPr>
              <w:widowControl/>
              <w:spacing w:line="360" w:lineRule="auto"/>
              <w:rPr>
                <w:rFonts w:ascii="宋体" w:hAnsi="宋体" w:eastAsia="宋体" w:cs="Arial"/>
                <w:color w:val="auto"/>
                <w:spacing w:val="10"/>
                <w:sz w:val="21"/>
                <w:szCs w:val="21"/>
              </w:rPr>
            </w:pPr>
          </w:p>
        </w:tc>
        <w:tc>
          <w:tcPr>
            <w:tcW w:w="5285" w:type="dxa"/>
            <w:gridSpan w:val="8"/>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英文名：Ethylacetate</w:t>
            </w:r>
          </w:p>
        </w:tc>
        <w:tc>
          <w:tcPr>
            <w:tcW w:w="2782" w:type="dxa"/>
            <w:gridSpan w:val="3"/>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UN编号：1173</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55" w:type="dxa"/>
            <w:vMerge w:val="continue"/>
            <w:vAlign w:val="center"/>
          </w:tcPr>
          <w:p>
            <w:pPr>
              <w:widowControl/>
              <w:spacing w:line="360" w:lineRule="auto"/>
              <w:rPr>
                <w:rFonts w:ascii="宋体" w:hAnsi="宋体" w:eastAsia="宋体" w:cs="Arial"/>
                <w:color w:val="auto"/>
                <w:spacing w:val="10"/>
                <w:sz w:val="21"/>
                <w:szCs w:val="21"/>
              </w:rPr>
            </w:pPr>
          </w:p>
        </w:tc>
        <w:tc>
          <w:tcPr>
            <w:tcW w:w="2791" w:type="dxa"/>
            <w:gridSpan w:val="3"/>
            <w:vAlign w:val="center"/>
          </w:tcPr>
          <w:p>
            <w:pPr>
              <w:spacing w:line="360" w:lineRule="auto"/>
              <w:ind w:left="880" w:hanging="920" w:hangingChars="400"/>
              <w:rPr>
                <w:rFonts w:ascii="宋体" w:hAnsi="宋体" w:eastAsia="宋体" w:cs="Arial"/>
                <w:color w:val="auto"/>
                <w:spacing w:val="10"/>
                <w:sz w:val="21"/>
                <w:szCs w:val="21"/>
              </w:rPr>
            </w:pPr>
            <w:r>
              <w:rPr>
                <w:rFonts w:ascii="宋体" w:hAnsi="宋体" w:eastAsia="宋体" w:cs="Arial"/>
                <w:color w:val="auto"/>
                <w:spacing w:val="10"/>
                <w:sz w:val="21"/>
                <w:szCs w:val="21"/>
              </w:rPr>
              <w:t>分子式：C</w:t>
            </w:r>
            <w:r>
              <w:rPr>
                <w:rFonts w:ascii="宋体" w:hAnsi="宋体" w:eastAsia="宋体" w:cs="Arial"/>
                <w:color w:val="auto"/>
                <w:spacing w:val="10"/>
                <w:sz w:val="21"/>
                <w:szCs w:val="21"/>
                <w:vertAlign w:val="subscript"/>
              </w:rPr>
              <w:t>4</w:t>
            </w:r>
            <w:r>
              <w:rPr>
                <w:rFonts w:ascii="宋体" w:hAnsi="宋体" w:eastAsia="宋体" w:cs="Arial"/>
                <w:color w:val="auto"/>
                <w:spacing w:val="10"/>
                <w:sz w:val="21"/>
                <w:szCs w:val="21"/>
              </w:rPr>
              <w:t>H</w:t>
            </w:r>
            <w:r>
              <w:rPr>
                <w:rFonts w:ascii="宋体" w:hAnsi="宋体" w:eastAsia="宋体" w:cs="Arial"/>
                <w:color w:val="auto"/>
                <w:spacing w:val="10"/>
                <w:sz w:val="21"/>
                <w:szCs w:val="21"/>
                <w:vertAlign w:val="subscript"/>
              </w:rPr>
              <w:t>8</w:t>
            </w:r>
            <w:r>
              <w:rPr>
                <w:rFonts w:ascii="宋体" w:hAnsi="宋体" w:eastAsia="宋体" w:cs="Arial"/>
                <w:color w:val="auto"/>
                <w:spacing w:val="10"/>
                <w:sz w:val="21"/>
                <w:szCs w:val="21"/>
              </w:rPr>
              <w:t>O</w:t>
            </w:r>
            <w:r>
              <w:rPr>
                <w:rFonts w:ascii="宋体" w:hAnsi="宋体" w:eastAsia="宋体" w:cs="Arial"/>
                <w:color w:val="auto"/>
                <w:spacing w:val="10"/>
                <w:sz w:val="21"/>
                <w:szCs w:val="21"/>
                <w:vertAlign w:val="subscript"/>
              </w:rPr>
              <w:t>2</w:t>
            </w:r>
          </w:p>
        </w:tc>
        <w:tc>
          <w:tcPr>
            <w:tcW w:w="2494" w:type="dxa"/>
            <w:gridSpan w:val="5"/>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分子量：88.1</w:t>
            </w:r>
          </w:p>
        </w:tc>
        <w:tc>
          <w:tcPr>
            <w:tcW w:w="2782" w:type="dxa"/>
            <w:gridSpan w:val="3"/>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CAS号：141-78-6</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55" w:type="dxa"/>
            <w:vMerge w:val="restart"/>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理化性质</w:t>
            </w:r>
          </w:p>
        </w:tc>
        <w:tc>
          <w:tcPr>
            <w:tcW w:w="1713" w:type="dxa"/>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外观与性状</w:t>
            </w:r>
          </w:p>
        </w:tc>
        <w:tc>
          <w:tcPr>
            <w:tcW w:w="6354" w:type="dxa"/>
            <w:gridSpan w:val="10"/>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无色透明水样液体，易挥发；有水果香味。</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55" w:type="dxa"/>
            <w:vMerge w:val="continue"/>
            <w:vAlign w:val="center"/>
          </w:tcPr>
          <w:p>
            <w:pPr>
              <w:widowControl/>
              <w:spacing w:line="360" w:lineRule="auto"/>
              <w:rPr>
                <w:rFonts w:ascii="宋体" w:hAnsi="宋体" w:eastAsia="宋体" w:cs="Arial"/>
                <w:color w:val="auto"/>
                <w:spacing w:val="10"/>
                <w:sz w:val="21"/>
                <w:szCs w:val="21"/>
              </w:rPr>
            </w:pPr>
          </w:p>
        </w:tc>
        <w:tc>
          <w:tcPr>
            <w:tcW w:w="1713" w:type="dxa"/>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熔点(℃)</w:t>
            </w:r>
          </w:p>
        </w:tc>
        <w:tc>
          <w:tcPr>
            <w:tcW w:w="845" w:type="dxa"/>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z w:val="21"/>
                <w:szCs w:val="21"/>
              </w:rPr>
              <w:t>-83.6</w:t>
            </w:r>
          </w:p>
        </w:tc>
        <w:tc>
          <w:tcPr>
            <w:tcW w:w="1829" w:type="dxa"/>
            <w:gridSpan w:val="4"/>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相对密度(水=1)</w:t>
            </w:r>
          </w:p>
        </w:tc>
        <w:tc>
          <w:tcPr>
            <w:tcW w:w="898" w:type="dxa"/>
            <w:gridSpan w:val="2"/>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0.90</w:t>
            </w:r>
          </w:p>
        </w:tc>
        <w:tc>
          <w:tcPr>
            <w:tcW w:w="1938" w:type="dxa"/>
            <w:gridSpan w:val="2"/>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相对密度(空气=1)</w:t>
            </w:r>
          </w:p>
        </w:tc>
        <w:tc>
          <w:tcPr>
            <w:tcW w:w="844" w:type="dxa"/>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z w:val="21"/>
                <w:szCs w:val="21"/>
              </w:rPr>
              <w:t>3.04</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55" w:type="dxa"/>
            <w:vMerge w:val="continue"/>
            <w:vAlign w:val="center"/>
          </w:tcPr>
          <w:p>
            <w:pPr>
              <w:widowControl/>
              <w:spacing w:line="360" w:lineRule="auto"/>
              <w:rPr>
                <w:rFonts w:ascii="宋体" w:hAnsi="宋体" w:eastAsia="宋体" w:cs="Arial"/>
                <w:color w:val="auto"/>
                <w:spacing w:val="10"/>
                <w:sz w:val="21"/>
                <w:szCs w:val="21"/>
              </w:rPr>
            </w:pPr>
          </w:p>
        </w:tc>
        <w:tc>
          <w:tcPr>
            <w:tcW w:w="1713" w:type="dxa"/>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沸点(℃)</w:t>
            </w:r>
          </w:p>
        </w:tc>
        <w:tc>
          <w:tcPr>
            <w:tcW w:w="845" w:type="dxa"/>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77.15</w:t>
            </w:r>
          </w:p>
        </w:tc>
        <w:tc>
          <w:tcPr>
            <w:tcW w:w="2727" w:type="dxa"/>
            <w:gridSpan w:val="6"/>
            <w:vAlign w:val="center"/>
          </w:tcPr>
          <w:p>
            <w:pPr>
              <w:spacing w:line="360" w:lineRule="auto"/>
              <w:ind w:left="-40"/>
              <w:jc w:val="center"/>
              <w:rPr>
                <w:rFonts w:ascii="宋体" w:hAnsi="宋体" w:eastAsia="宋体" w:cs="Arial"/>
                <w:color w:val="auto"/>
                <w:spacing w:val="10"/>
                <w:sz w:val="21"/>
                <w:szCs w:val="21"/>
              </w:rPr>
            </w:pPr>
            <w:r>
              <w:rPr>
                <w:rFonts w:ascii="宋体" w:hAnsi="宋体" w:eastAsia="宋体" w:cs="Arial"/>
                <w:color w:val="auto"/>
                <w:spacing w:val="10"/>
                <w:sz w:val="21"/>
                <w:szCs w:val="21"/>
              </w:rPr>
              <w:t>饱和蒸气压(kPa)</w:t>
            </w:r>
          </w:p>
        </w:tc>
        <w:tc>
          <w:tcPr>
            <w:tcW w:w="2782" w:type="dxa"/>
            <w:gridSpan w:val="3"/>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13.33/27℃</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89" w:hRule="atLeast"/>
          <w:jc w:val="center"/>
        </w:trPr>
        <w:tc>
          <w:tcPr>
            <w:tcW w:w="455" w:type="dxa"/>
            <w:vMerge w:val="continue"/>
            <w:vAlign w:val="center"/>
          </w:tcPr>
          <w:p>
            <w:pPr>
              <w:widowControl/>
              <w:spacing w:line="360" w:lineRule="auto"/>
              <w:rPr>
                <w:rFonts w:ascii="宋体" w:hAnsi="宋体" w:eastAsia="宋体" w:cs="Arial"/>
                <w:color w:val="auto"/>
                <w:spacing w:val="10"/>
                <w:sz w:val="21"/>
                <w:szCs w:val="21"/>
              </w:rPr>
            </w:pPr>
          </w:p>
        </w:tc>
        <w:tc>
          <w:tcPr>
            <w:tcW w:w="1713" w:type="dxa"/>
            <w:tcBorders>
              <w:bottom w:val="single" w:color="auto" w:sz="4" w:space="0"/>
            </w:tcBorders>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溶解性</w:t>
            </w:r>
          </w:p>
        </w:tc>
        <w:tc>
          <w:tcPr>
            <w:tcW w:w="6354" w:type="dxa"/>
            <w:gridSpan w:val="10"/>
            <w:tcBorders>
              <w:bottom w:val="single" w:color="auto" w:sz="4" w:space="0"/>
            </w:tcBorders>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与乙醇、丙酮、氯仿、乙醚混溶</w:t>
            </w:r>
            <w:r>
              <w:rPr>
                <w:rFonts w:ascii="宋体" w:hAnsi="宋体" w:eastAsia="宋体" w:cs="Arial"/>
                <w:color w:val="auto"/>
                <w:sz w:val="21"/>
                <w:szCs w:val="21"/>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07" w:hRule="atLeast"/>
          <w:jc w:val="center"/>
        </w:trPr>
        <w:tc>
          <w:tcPr>
            <w:tcW w:w="455" w:type="dxa"/>
            <w:vMerge w:val="continue"/>
            <w:vAlign w:val="center"/>
          </w:tcPr>
          <w:p>
            <w:pPr>
              <w:widowControl/>
              <w:spacing w:line="360" w:lineRule="auto"/>
              <w:rPr>
                <w:rFonts w:ascii="宋体" w:hAnsi="宋体" w:eastAsia="宋体" w:cs="Arial"/>
                <w:color w:val="auto"/>
                <w:spacing w:val="10"/>
                <w:sz w:val="21"/>
                <w:szCs w:val="21"/>
              </w:rPr>
            </w:pPr>
          </w:p>
        </w:tc>
        <w:tc>
          <w:tcPr>
            <w:tcW w:w="1713" w:type="dxa"/>
            <w:tcBorders>
              <w:top w:val="single" w:color="auto" w:sz="4" w:space="0"/>
            </w:tcBorders>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危害性类别</w:t>
            </w:r>
          </w:p>
        </w:tc>
        <w:tc>
          <w:tcPr>
            <w:tcW w:w="6354" w:type="dxa"/>
            <w:gridSpan w:val="10"/>
            <w:tcBorders>
              <w:top w:val="single" w:color="auto" w:sz="4" w:space="0"/>
            </w:tcBorders>
            <w:vAlign w:val="center"/>
          </w:tcPr>
          <w:p>
            <w:pPr>
              <w:widowControl/>
              <w:spacing w:line="360" w:lineRule="auto"/>
              <w:rPr>
                <w:rFonts w:ascii="宋体" w:hAnsi="宋体" w:eastAsia="宋体" w:cs="宋体"/>
                <w:color w:val="auto"/>
                <w:sz w:val="21"/>
                <w:szCs w:val="21"/>
              </w:rPr>
            </w:pPr>
            <w:r>
              <w:rPr>
                <w:rFonts w:ascii="宋体" w:hAnsi="宋体" w:eastAsia="宋体" w:cs="宋体"/>
                <w:color w:val="auto"/>
                <w:sz w:val="21"/>
                <w:szCs w:val="21"/>
              </w:rPr>
              <w:t>易燃液体,类别2</w:t>
            </w:r>
          </w:p>
          <w:p>
            <w:pPr>
              <w:widowControl/>
              <w:spacing w:line="360" w:lineRule="auto"/>
              <w:rPr>
                <w:rFonts w:ascii="宋体" w:hAnsi="宋体" w:eastAsia="宋体" w:cs="宋体"/>
                <w:color w:val="auto"/>
                <w:sz w:val="21"/>
                <w:szCs w:val="21"/>
              </w:rPr>
            </w:pPr>
            <w:r>
              <w:rPr>
                <w:rFonts w:ascii="宋体" w:hAnsi="宋体" w:eastAsia="宋体" w:cs="宋体"/>
                <w:color w:val="auto"/>
                <w:sz w:val="21"/>
                <w:szCs w:val="21"/>
              </w:rPr>
              <w:t>严重眼损伤/眼刺激,类别2</w:t>
            </w:r>
          </w:p>
          <w:p>
            <w:pPr>
              <w:spacing w:line="360" w:lineRule="auto"/>
              <w:rPr>
                <w:rFonts w:ascii="宋体" w:hAnsi="宋体" w:eastAsia="宋体" w:cs="Arial"/>
                <w:color w:val="auto"/>
                <w:spacing w:val="10"/>
                <w:sz w:val="21"/>
                <w:szCs w:val="21"/>
              </w:rPr>
            </w:pPr>
            <w:r>
              <w:rPr>
                <w:rFonts w:ascii="宋体" w:hAnsi="宋体" w:eastAsia="宋体" w:cs="宋体"/>
                <w:color w:val="auto"/>
                <w:sz w:val="21"/>
                <w:szCs w:val="21"/>
              </w:rPr>
              <w:t>特异性靶器官毒性-一次接触,类别3（麻醉效应）</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55" w:type="dxa"/>
            <w:vMerge w:val="restart"/>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毒性及健康危害</w:t>
            </w:r>
          </w:p>
        </w:tc>
        <w:tc>
          <w:tcPr>
            <w:tcW w:w="1713" w:type="dxa"/>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侵入途径</w:t>
            </w:r>
          </w:p>
        </w:tc>
        <w:tc>
          <w:tcPr>
            <w:tcW w:w="6354" w:type="dxa"/>
            <w:gridSpan w:val="10"/>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吸入、食入、经皮吸收。</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55" w:type="dxa"/>
            <w:vMerge w:val="continue"/>
            <w:vAlign w:val="center"/>
          </w:tcPr>
          <w:p>
            <w:pPr>
              <w:widowControl/>
              <w:spacing w:line="360" w:lineRule="auto"/>
              <w:rPr>
                <w:rFonts w:ascii="宋体" w:hAnsi="宋体" w:eastAsia="宋体" w:cs="Arial"/>
                <w:color w:val="auto"/>
                <w:spacing w:val="10"/>
                <w:sz w:val="21"/>
                <w:szCs w:val="21"/>
              </w:rPr>
            </w:pPr>
          </w:p>
        </w:tc>
        <w:tc>
          <w:tcPr>
            <w:tcW w:w="1713" w:type="dxa"/>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毒性</w:t>
            </w:r>
          </w:p>
        </w:tc>
        <w:tc>
          <w:tcPr>
            <w:tcW w:w="6354" w:type="dxa"/>
            <w:gridSpan w:val="10"/>
            <w:vAlign w:val="center"/>
          </w:tcPr>
          <w:p>
            <w:pPr>
              <w:spacing w:line="360" w:lineRule="auto"/>
              <w:rPr>
                <w:rFonts w:ascii="宋体" w:hAnsi="宋体" w:eastAsia="宋体" w:cs="Arial"/>
                <w:color w:val="auto"/>
                <w:sz w:val="21"/>
                <w:szCs w:val="21"/>
              </w:rPr>
            </w:pPr>
            <w:r>
              <w:rPr>
                <w:rFonts w:ascii="宋体" w:hAnsi="宋体" w:eastAsia="宋体" w:cs="Arial"/>
                <w:color w:val="auto"/>
                <w:spacing w:val="10"/>
                <w:sz w:val="21"/>
                <w:szCs w:val="21"/>
              </w:rPr>
              <w:t>LD</w:t>
            </w:r>
            <w:r>
              <w:rPr>
                <w:rFonts w:ascii="宋体" w:hAnsi="宋体" w:eastAsia="宋体" w:cs="Arial"/>
                <w:color w:val="auto"/>
                <w:spacing w:val="10"/>
                <w:sz w:val="21"/>
                <w:szCs w:val="21"/>
                <w:vertAlign w:val="subscript"/>
              </w:rPr>
              <w:t>50</w:t>
            </w:r>
            <w:r>
              <w:rPr>
                <w:rFonts w:ascii="宋体" w:hAnsi="宋体" w:eastAsia="宋体" w:cs="Arial"/>
                <w:color w:val="auto"/>
                <w:spacing w:val="10"/>
                <w:sz w:val="21"/>
                <w:szCs w:val="21"/>
              </w:rPr>
              <w:t>：5620mg/kg(大鼠经口)；4940mg/kg(免经口)</w:t>
            </w:r>
          </w:p>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LC</w:t>
            </w:r>
            <w:r>
              <w:rPr>
                <w:rFonts w:ascii="宋体" w:hAnsi="宋体" w:eastAsia="宋体" w:cs="Arial"/>
                <w:color w:val="auto"/>
                <w:spacing w:val="10"/>
                <w:sz w:val="21"/>
                <w:szCs w:val="21"/>
                <w:vertAlign w:val="subscript"/>
              </w:rPr>
              <w:t>50</w:t>
            </w:r>
            <w:r>
              <w:rPr>
                <w:rFonts w:ascii="宋体" w:hAnsi="宋体" w:eastAsia="宋体" w:cs="Arial"/>
                <w:color w:val="auto"/>
                <w:spacing w:val="10"/>
                <w:sz w:val="21"/>
                <w:szCs w:val="21"/>
              </w:rPr>
              <w:t>：5760mg/m</w:t>
            </w:r>
            <w:r>
              <w:rPr>
                <w:rFonts w:ascii="宋体" w:hAnsi="宋体" w:eastAsia="宋体" w:cs="Arial"/>
                <w:color w:val="auto"/>
                <w:spacing w:val="10"/>
                <w:sz w:val="21"/>
                <w:szCs w:val="21"/>
                <w:vertAlign w:val="superscript"/>
              </w:rPr>
              <w:t>3</w:t>
            </w:r>
            <w:r>
              <w:rPr>
                <w:rFonts w:ascii="宋体" w:hAnsi="宋体" w:eastAsia="宋体" w:cs="Arial"/>
                <w:color w:val="auto"/>
                <w:spacing w:val="10"/>
                <w:sz w:val="21"/>
                <w:szCs w:val="21"/>
              </w:rPr>
              <w:t>，8小时(大鼠吸入)</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55" w:type="dxa"/>
            <w:vMerge w:val="continue"/>
            <w:vAlign w:val="center"/>
          </w:tcPr>
          <w:p>
            <w:pPr>
              <w:widowControl/>
              <w:spacing w:line="360" w:lineRule="auto"/>
              <w:rPr>
                <w:rFonts w:ascii="宋体" w:hAnsi="宋体" w:eastAsia="宋体" w:cs="Arial"/>
                <w:color w:val="auto"/>
                <w:spacing w:val="10"/>
                <w:sz w:val="21"/>
                <w:szCs w:val="21"/>
              </w:rPr>
            </w:pPr>
          </w:p>
        </w:tc>
        <w:tc>
          <w:tcPr>
            <w:tcW w:w="1713" w:type="dxa"/>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健康危害</w:t>
            </w:r>
          </w:p>
        </w:tc>
        <w:tc>
          <w:tcPr>
            <w:tcW w:w="6354" w:type="dxa"/>
            <w:gridSpan w:val="10"/>
            <w:vAlign w:val="center"/>
          </w:tcPr>
          <w:p>
            <w:pPr>
              <w:spacing w:line="360" w:lineRule="auto"/>
              <w:rPr>
                <w:rFonts w:ascii="宋体" w:hAnsi="宋体" w:eastAsia="宋体" w:cs="Arial"/>
                <w:color w:val="auto"/>
                <w:spacing w:val="6"/>
                <w:sz w:val="21"/>
                <w:szCs w:val="21"/>
              </w:rPr>
            </w:pPr>
            <w:r>
              <w:rPr>
                <w:rFonts w:ascii="宋体" w:hAnsi="宋体" w:eastAsia="宋体" w:cs="Arial"/>
                <w:color w:val="auto"/>
                <w:spacing w:val="6"/>
                <w:sz w:val="21"/>
                <w:szCs w:val="21"/>
              </w:rPr>
              <w:t>对眼、鼻、咽喉有刺激作用。高浓度吸入可引起进行性麻醉作用，急性肺水肿，肝、肾损害。持续大量吸入，可致呼吸麻痹。误服者可产生恶心、呕吐、腹痛、腹痛、腹泻等。有致敏作用，因血管神经障碍而致牙龈出血；可致湿疹样皮炎。慢性影响：长期接触本品有时可致角膜混浊、继发性贫血、白细胞增多等。</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55" w:type="dxa"/>
            <w:vMerge w:val="continue"/>
            <w:vAlign w:val="center"/>
          </w:tcPr>
          <w:p>
            <w:pPr>
              <w:widowControl/>
              <w:spacing w:line="360" w:lineRule="auto"/>
              <w:rPr>
                <w:rFonts w:ascii="宋体" w:hAnsi="宋体" w:eastAsia="宋体" w:cs="Arial"/>
                <w:color w:val="auto"/>
                <w:spacing w:val="10"/>
                <w:sz w:val="21"/>
                <w:szCs w:val="21"/>
              </w:rPr>
            </w:pPr>
          </w:p>
        </w:tc>
        <w:tc>
          <w:tcPr>
            <w:tcW w:w="1713" w:type="dxa"/>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急救方法</w:t>
            </w:r>
          </w:p>
        </w:tc>
        <w:tc>
          <w:tcPr>
            <w:tcW w:w="6354" w:type="dxa"/>
            <w:gridSpan w:val="10"/>
            <w:vAlign w:val="center"/>
          </w:tcPr>
          <w:p>
            <w:pPr>
              <w:spacing w:line="360" w:lineRule="auto"/>
              <w:rPr>
                <w:rFonts w:ascii="宋体" w:hAnsi="宋体" w:eastAsia="宋体" w:cs="Arial"/>
                <w:color w:val="auto"/>
                <w:sz w:val="21"/>
                <w:szCs w:val="21"/>
              </w:rPr>
            </w:pPr>
            <w:r>
              <w:rPr>
                <w:rFonts w:ascii="宋体" w:hAnsi="宋体" w:eastAsia="宋体" w:cs="Arial"/>
                <w:color w:val="auto"/>
                <w:sz w:val="21"/>
                <w:szCs w:val="21"/>
              </w:rPr>
              <w:t>皮肤接触：脱去被污染的衣着，用肥皂水和清水彻底冲洗皮肤。</w:t>
            </w:r>
          </w:p>
          <w:p>
            <w:pPr>
              <w:spacing w:line="360" w:lineRule="auto"/>
              <w:rPr>
                <w:rFonts w:ascii="宋体" w:hAnsi="宋体" w:eastAsia="宋体" w:cs="Arial"/>
                <w:color w:val="auto"/>
                <w:sz w:val="21"/>
                <w:szCs w:val="21"/>
              </w:rPr>
            </w:pPr>
            <w:r>
              <w:rPr>
                <w:rFonts w:ascii="宋体" w:hAnsi="宋体" w:eastAsia="宋体" w:cs="Arial"/>
                <w:color w:val="auto"/>
                <w:sz w:val="21"/>
                <w:szCs w:val="21"/>
              </w:rPr>
              <w:t>眼睛接触：提起眼睑，用流动清水或生理盐水冲洗。就医。</w:t>
            </w:r>
          </w:p>
          <w:p>
            <w:pPr>
              <w:spacing w:line="360" w:lineRule="auto"/>
              <w:rPr>
                <w:rFonts w:ascii="宋体" w:hAnsi="宋体" w:eastAsia="宋体" w:cs="Arial"/>
                <w:color w:val="auto"/>
                <w:sz w:val="21"/>
                <w:szCs w:val="21"/>
              </w:rPr>
            </w:pPr>
            <w:r>
              <w:rPr>
                <w:rFonts w:ascii="宋体" w:hAnsi="宋体" w:eastAsia="宋体" w:cs="Arial"/>
                <w:color w:val="auto"/>
                <w:sz w:val="21"/>
                <w:szCs w:val="21"/>
              </w:rPr>
              <w:t>吸入：迅速脱离现场至空气新鲜处。保持呼吸道通畅。如呼吸困难</w:t>
            </w:r>
          </w:p>
          <w:p>
            <w:pPr>
              <w:spacing w:line="360" w:lineRule="auto"/>
              <w:rPr>
                <w:rFonts w:ascii="宋体" w:hAnsi="宋体" w:eastAsia="宋体" w:cs="Arial"/>
                <w:color w:val="auto"/>
                <w:sz w:val="21"/>
                <w:szCs w:val="21"/>
              </w:rPr>
            </w:pPr>
            <w:r>
              <w:rPr>
                <w:rFonts w:ascii="宋体" w:hAnsi="宋体" w:eastAsia="宋体" w:cs="Arial"/>
                <w:color w:val="auto"/>
                <w:sz w:val="21"/>
                <w:szCs w:val="21"/>
              </w:rPr>
              <w:t>给输氧。如呼吸停止，立即进行人工呼吸。就医。</w:t>
            </w:r>
          </w:p>
          <w:p>
            <w:pPr>
              <w:spacing w:line="360" w:lineRule="auto"/>
              <w:rPr>
                <w:rFonts w:ascii="宋体" w:hAnsi="宋体" w:eastAsia="宋体" w:cs="Arial"/>
                <w:color w:val="auto"/>
                <w:spacing w:val="10"/>
                <w:sz w:val="21"/>
                <w:szCs w:val="21"/>
              </w:rPr>
            </w:pPr>
            <w:r>
              <w:rPr>
                <w:rFonts w:ascii="宋体" w:hAnsi="宋体" w:eastAsia="宋体" w:cs="Arial"/>
                <w:color w:val="auto"/>
                <w:sz w:val="21"/>
                <w:szCs w:val="21"/>
              </w:rPr>
              <w:t>食入：饮足量温水，催吐，就医。</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55" w:type="dxa"/>
            <w:vMerge w:val="restart"/>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燃烧爆炸危险性</w:t>
            </w:r>
          </w:p>
        </w:tc>
        <w:tc>
          <w:tcPr>
            <w:tcW w:w="1713" w:type="dxa"/>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燃烧性</w:t>
            </w:r>
          </w:p>
        </w:tc>
        <w:tc>
          <w:tcPr>
            <w:tcW w:w="1407" w:type="dxa"/>
            <w:gridSpan w:val="3"/>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易燃</w:t>
            </w:r>
          </w:p>
        </w:tc>
        <w:tc>
          <w:tcPr>
            <w:tcW w:w="1945" w:type="dxa"/>
            <w:gridSpan w:val="3"/>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燃烧分解物</w:t>
            </w:r>
          </w:p>
        </w:tc>
        <w:tc>
          <w:tcPr>
            <w:tcW w:w="3002" w:type="dxa"/>
            <w:gridSpan w:val="4"/>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z w:val="21"/>
                <w:szCs w:val="21"/>
              </w:rPr>
              <w:t>一氧化碳、二氧化碳。</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55" w:type="dxa"/>
            <w:vMerge w:val="continue"/>
            <w:vAlign w:val="center"/>
          </w:tcPr>
          <w:p>
            <w:pPr>
              <w:widowControl/>
              <w:spacing w:line="360" w:lineRule="auto"/>
              <w:rPr>
                <w:rFonts w:ascii="宋体" w:hAnsi="宋体" w:eastAsia="宋体" w:cs="Arial"/>
                <w:color w:val="auto"/>
                <w:spacing w:val="10"/>
                <w:sz w:val="21"/>
                <w:szCs w:val="21"/>
              </w:rPr>
            </w:pPr>
          </w:p>
        </w:tc>
        <w:tc>
          <w:tcPr>
            <w:tcW w:w="1713" w:type="dxa"/>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闪点(℃)</w:t>
            </w:r>
          </w:p>
        </w:tc>
        <w:tc>
          <w:tcPr>
            <w:tcW w:w="1407" w:type="dxa"/>
            <w:gridSpan w:val="3"/>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-4</w:t>
            </w:r>
          </w:p>
        </w:tc>
        <w:tc>
          <w:tcPr>
            <w:tcW w:w="1945" w:type="dxa"/>
            <w:gridSpan w:val="3"/>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爆炸上限(v%)</w:t>
            </w:r>
          </w:p>
        </w:tc>
        <w:tc>
          <w:tcPr>
            <w:tcW w:w="3002" w:type="dxa"/>
            <w:gridSpan w:val="4"/>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11.5</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55" w:type="dxa"/>
            <w:vMerge w:val="continue"/>
            <w:vAlign w:val="center"/>
          </w:tcPr>
          <w:p>
            <w:pPr>
              <w:widowControl/>
              <w:spacing w:line="360" w:lineRule="auto"/>
              <w:rPr>
                <w:rFonts w:ascii="宋体" w:hAnsi="宋体" w:eastAsia="宋体" w:cs="Arial"/>
                <w:color w:val="auto"/>
                <w:spacing w:val="10"/>
                <w:sz w:val="21"/>
                <w:szCs w:val="21"/>
              </w:rPr>
            </w:pPr>
          </w:p>
        </w:tc>
        <w:tc>
          <w:tcPr>
            <w:tcW w:w="1713" w:type="dxa"/>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引燃温度(℃)</w:t>
            </w:r>
          </w:p>
        </w:tc>
        <w:tc>
          <w:tcPr>
            <w:tcW w:w="1407" w:type="dxa"/>
            <w:gridSpan w:val="3"/>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426</w:t>
            </w:r>
          </w:p>
        </w:tc>
        <w:tc>
          <w:tcPr>
            <w:tcW w:w="1945" w:type="dxa"/>
            <w:gridSpan w:val="3"/>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爆炸下限(v%)</w:t>
            </w:r>
          </w:p>
        </w:tc>
        <w:tc>
          <w:tcPr>
            <w:tcW w:w="3002" w:type="dxa"/>
            <w:gridSpan w:val="4"/>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2.0</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55" w:type="dxa"/>
            <w:vMerge w:val="continue"/>
            <w:vAlign w:val="center"/>
          </w:tcPr>
          <w:p>
            <w:pPr>
              <w:widowControl/>
              <w:spacing w:line="360" w:lineRule="auto"/>
              <w:rPr>
                <w:rFonts w:ascii="宋体" w:hAnsi="宋体" w:eastAsia="宋体" w:cs="Arial"/>
                <w:color w:val="auto"/>
                <w:spacing w:val="10"/>
                <w:sz w:val="21"/>
                <w:szCs w:val="21"/>
              </w:rPr>
            </w:pPr>
          </w:p>
        </w:tc>
        <w:tc>
          <w:tcPr>
            <w:tcW w:w="1713" w:type="dxa"/>
            <w:vAlign w:val="center"/>
          </w:tcPr>
          <w:p>
            <w:pPr>
              <w:spacing w:line="360" w:lineRule="auto"/>
              <w:jc w:val="center"/>
              <w:rPr>
                <w:rFonts w:ascii="宋体" w:hAnsi="宋体" w:eastAsia="宋体"/>
                <w:color w:val="auto"/>
                <w:spacing w:val="10"/>
                <w:sz w:val="21"/>
                <w:szCs w:val="21"/>
              </w:rPr>
            </w:pPr>
            <w:r>
              <w:rPr>
                <w:rFonts w:hint="eastAsia" w:ascii="宋体" w:hAnsi="宋体" w:eastAsia="宋体"/>
                <w:color w:val="auto"/>
                <w:spacing w:val="10"/>
                <w:sz w:val="21"/>
                <w:szCs w:val="21"/>
              </w:rPr>
              <w:t>建规火险分级</w:t>
            </w:r>
          </w:p>
        </w:tc>
        <w:tc>
          <w:tcPr>
            <w:tcW w:w="1407" w:type="dxa"/>
            <w:gridSpan w:val="3"/>
            <w:vAlign w:val="center"/>
          </w:tcPr>
          <w:p>
            <w:pPr>
              <w:spacing w:line="360" w:lineRule="auto"/>
              <w:jc w:val="center"/>
              <w:rPr>
                <w:rFonts w:ascii="宋体" w:hAnsi="宋体" w:eastAsia="宋体"/>
                <w:color w:val="auto"/>
                <w:spacing w:val="10"/>
                <w:sz w:val="21"/>
                <w:szCs w:val="21"/>
              </w:rPr>
            </w:pPr>
            <w:r>
              <w:rPr>
                <w:rFonts w:hint="eastAsia" w:ascii="宋体" w:hAnsi="宋体" w:eastAsia="宋体"/>
                <w:color w:val="auto"/>
                <w:spacing w:val="10"/>
                <w:sz w:val="21"/>
                <w:szCs w:val="21"/>
              </w:rPr>
              <w:t>甲</w:t>
            </w:r>
          </w:p>
        </w:tc>
        <w:tc>
          <w:tcPr>
            <w:tcW w:w="972" w:type="dxa"/>
            <w:vAlign w:val="center"/>
          </w:tcPr>
          <w:p>
            <w:pPr>
              <w:spacing w:line="360" w:lineRule="auto"/>
              <w:jc w:val="center"/>
              <w:rPr>
                <w:rFonts w:ascii="宋体" w:hAnsi="宋体" w:eastAsia="宋体"/>
                <w:color w:val="auto"/>
                <w:spacing w:val="10"/>
                <w:sz w:val="21"/>
                <w:szCs w:val="21"/>
              </w:rPr>
            </w:pPr>
            <w:r>
              <w:rPr>
                <w:rFonts w:hint="eastAsia" w:ascii="宋体" w:hAnsi="宋体" w:eastAsia="宋体"/>
                <w:color w:val="auto"/>
                <w:spacing w:val="10"/>
                <w:sz w:val="21"/>
                <w:szCs w:val="21"/>
              </w:rPr>
              <w:t>稳定性</w:t>
            </w:r>
          </w:p>
        </w:tc>
        <w:tc>
          <w:tcPr>
            <w:tcW w:w="973" w:type="dxa"/>
            <w:gridSpan w:val="2"/>
            <w:vAlign w:val="center"/>
          </w:tcPr>
          <w:p>
            <w:pPr>
              <w:spacing w:line="360" w:lineRule="auto"/>
              <w:jc w:val="center"/>
              <w:rPr>
                <w:rFonts w:ascii="宋体" w:hAnsi="宋体" w:eastAsia="宋体"/>
                <w:color w:val="auto"/>
                <w:spacing w:val="10"/>
                <w:sz w:val="21"/>
                <w:szCs w:val="21"/>
              </w:rPr>
            </w:pPr>
            <w:r>
              <w:rPr>
                <w:rFonts w:hint="eastAsia" w:ascii="宋体" w:hAnsi="宋体" w:eastAsia="宋体"/>
                <w:color w:val="auto"/>
                <w:spacing w:val="10"/>
                <w:sz w:val="21"/>
                <w:szCs w:val="21"/>
              </w:rPr>
              <w:t>稳定</w:t>
            </w:r>
          </w:p>
        </w:tc>
        <w:tc>
          <w:tcPr>
            <w:tcW w:w="1499" w:type="dxa"/>
            <w:gridSpan w:val="2"/>
            <w:vAlign w:val="center"/>
          </w:tcPr>
          <w:p>
            <w:pPr>
              <w:spacing w:line="360" w:lineRule="auto"/>
              <w:jc w:val="center"/>
              <w:rPr>
                <w:rFonts w:ascii="宋体" w:hAnsi="宋体" w:eastAsia="宋体"/>
                <w:color w:val="auto"/>
                <w:spacing w:val="10"/>
                <w:sz w:val="21"/>
                <w:szCs w:val="21"/>
              </w:rPr>
            </w:pPr>
            <w:r>
              <w:rPr>
                <w:rFonts w:hint="eastAsia" w:ascii="宋体" w:hAnsi="宋体" w:eastAsia="宋体"/>
                <w:color w:val="auto"/>
                <w:spacing w:val="10"/>
                <w:sz w:val="21"/>
                <w:szCs w:val="21"/>
              </w:rPr>
              <w:t>聚合危害</w:t>
            </w:r>
          </w:p>
        </w:tc>
        <w:tc>
          <w:tcPr>
            <w:tcW w:w="1503" w:type="dxa"/>
            <w:gridSpan w:val="2"/>
            <w:vAlign w:val="center"/>
          </w:tcPr>
          <w:p>
            <w:pPr>
              <w:spacing w:line="360" w:lineRule="auto"/>
              <w:jc w:val="center"/>
              <w:rPr>
                <w:rFonts w:ascii="宋体" w:hAnsi="宋体" w:eastAsia="宋体"/>
                <w:color w:val="auto"/>
                <w:spacing w:val="10"/>
                <w:sz w:val="21"/>
                <w:szCs w:val="21"/>
              </w:rPr>
            </w:pPr>
            <w:r>
              <w:rPr>
                <w:rFonts w:hint="eastAsia" w:ascii="宋体" w:hAnsi="宋体" w:eastAsia="宋体"/>
                <w:color w:val="auto"/>
                <w:spacing w:val="10"/>
                <w:sz w:val="21"/>
                <w:szCs w:val="21"/>
              </w:rPr>
              <w:t>不聚合</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55" w:type="dxa"/>
            <w:vMerge w:val="continue"/>
            <w:vAlign w:val="center"/>
          </w:tcPr>
          <w:p>
            <w:pPr>
              <w:widowControl/>
              <w:spacing w:line="360" w:lineRule="auto"/>
              <w:rPr>
                <w:rFonts w:ascii="宋体" w:hAnsi="宋体" w:eastAsia="宋体" w:cs="Arial"/>
                <w:color w:val="auto"/>
                <w:spacing w:val="10"/>
                <w:sz w:val="21"/>
                <w:szCs w:val="21"/>
              </w:rPr>
            </w:pPr>
          </w:p>
        </w:tc>
        <w:tc>
          <w:tcPr>
            <w:tcW w:w="1713" w:type="dxa"/>
            <w:vAlign w:val="center"/>
          </w:tcPr>
          <w:p>
            <w:pPr>
              <w:spacing w:line="360" w:lineRule="auto"/>
              <w:jc w:val="center"/>
              <w:rPr>
                <w:rFonts w:ascii="宋体" w:hAnsi="宋体" w:eastAsia="宋体"/>
                <w:color w:val="auto"/>
                <w:spacing w:val="10"/>
                <w:sz w:val="21"/>
                <w:szCs w:val="21"/>
              </w:rPr>
            </w:pPr>
            <w:r>
              <w:rPr>
                <w:rFonts w:hint="eastAsia" w:ascii="宋体" w:hAnsi="宋体" w:eastAsia="宋体"/>
                <w:color w:val="auto"/>
                <w:spacing w:val="10"/>
                <w:sz w:val="21"/>
                <w:szCs w:val="21"/>
              </w:rPr>
              <w:t>禁忌物</w:t>
            </w:r>
          </w:p>
        </w:tc>
        <w:tc>
          <w:tcPr>
            <w:tcW w:w="6354" w:type="dxa"/>
            <w:gridSpan w:val="10"/>
            <w:vAlign w:val="center"/>
          </w:tcPr>
          <w:p>
            <w:pPr>
              <w:spacing w:line="360" w:lineRule="auto"/>
              <w:rPr>
                <w:rFonts w:ascii="宋体" w:hAnsi="宋体" w:eastAsia="宋体"/>
                <w:color w:val="auto"/>
                <w:spacing w:val="10"/>
                <w:sz w:val="21"/>
                <w:szCs w:val="21"/>
              </w:rPr>
            </w:pPr>
            <w:r>
              <w:rPr>
                <w:rFonts w:ascii="宋体" w:hAnsi="宋体" w:eastAsia="宋体"/>
                <w:color w:val="auto"/>
                <w:sz w:val="21"/>
                <w:szCs w:val="21"/>
              </w:rPr>
              <w:t>强氧化剂、碱类、酸类。</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55" w:type="dxa"/>
            <w:vMerge w:val="continue"/>
            <w:vAlign w:val="center"/>
          </w:tcPr>
          <w:p>
            <w:pPr>
              <w:widowControl/>
              <w:spacing w:line="360" w:lineRule="auto"/>
              <w:rPr>
                <w:rFonts w:ascii="宋体" w:hAnsi="宋体" w:eastAsia="宋体" w:cs="Arial"/>
                <w:color w:val="auto"/>
                <w:spacing w:val="10"/>
                <w:sz w:val="21"/>
                <w:szCs w:val="21"/>
              </w:rPr>
            </w:pPr>
          </w:p>
        </w:tc>
        <w:tc>
          <w:tcPr>
            <w:tcW w:w="1713" w:type="dxa"/>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危险特性</w:t>
            </w:r>
          </w:p>
        </w:tc>
        <w:tc>
          <w:tcPr>
            <w:tcW w:w="6354" w:type="dxa"/>
            <w:gridSpan w:val="10"/>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z w:val="21"/>
                <w:szCs w:val="21"/>
              </w:rPr>
              <w:t>易燃，其蒸气与空气可形成爆炸性混合物。遇明火、高热能引起燃烧爆炸。与氧化剂接触会猛烈反应。在火场中，受热的容器有爆炸危险。其蒸气比空气重，能在较低处扩散到相当远的地方，遇明火会引着回燃。</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55" w:type="dxa"/>
            <w:vMerge w:val="continue"/>
            <w:vAlign w:val="center"/>
          </w:tcPr>
          <w:p>
            <w:pPr>
              <w:widowControl/>
              <w:spacing w:line="360" w:lineRule="auto"/>
              <w:rPr>
                <w:rFonts w:ascii="宋体" w:hAnsi="宋体" w:eastAsia="宋体" w:cs="Arial"/>
                <w:color w:val="auto"/>
                <w:spacing w:val="10"/>
                <w:sz w:val="21"/>
                <w:szCs w:val="21"/>
              </w:rPr>
            </w:pPr>
          </w:p>
        </w:tc>
        <w:tc>
          <w:tcPr>
            <w:tcW w:w="1713" w:type="dxa"/>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储运条件</w:t>
            </w:r>
          </w:p>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与泄漏处理</w:t>
            </w:r>
          </w:p>
        </w:tc>
        <w:tc>
          <w:tcPr>
            <w:tcW w:w="6354" w:type="dxa"/>
            <w:gridSpan w:val="10"/>
            <w:vAlign w:val="center"/>
          </w:tcPr>
          <w:p>
            <w:pPr>
              <w:spacing w:line="360" w:lineRule="auto"/>
              <w:rPr>
                <w:rFonts w:ascii="宋体" w:hAnsi="宋体" w:eastAsia="宋体" w:cs="Arial"/>
                <w:color w:val="auto"/>
                <w:spacing w:val="4"/>
                <w:sz w:val="21"/>
                <w:szCs w:val="21"/>
              </w:rPr>
            </w:pPr>
            <w:r>
              <w:rPr>
                <w:rFonts w:ascii="宋体" w:hAnsi="宋体" w:eastAsia="宋体" w:cs="Arial"/>
                <w:b/>
                <w:color w:val="auto"/>
                <w:spacing w:val="4"/>
                <w:sz w:val="21"/>
                <w:szCs w:val="21"/>
              </w:rPr>
              <w:t>储运条件</w:t>
            </w:r>
            <w:r>
              <w:rPr>
                <w:rFonts w:ascii="宋体" w:hAnsi="宋体" w:eastAsia="宋体" w:cs="Arial"/>
                <w:color w:val="auto"/>
                <w:spacing w:val="4"/>
                <w:sz w:val="21"/>
                <w:szCs w:val="21"/>
              </w:rPr>
              <w:t>：储存于阴凉、通风的仓间内，远离火种、热源。保持容器密封；</w:t>
            </w:r>
            <w:r>
              <w:rPr>
                <w:rFonts w:ascii="宋体" w:hAnsi="宋体" w:eastAsia="宋体"/>
                <w:color w:val="auto"/>
                <w:spacing w:val="4"/>
                <w:sz w:val="21"/>
                <w:szCs w:val="21"/>
              </w:rPr>
              <w:t>应与氧化剂、酸类、碱类分开存放，切忌混储。</w:t>
            </w:r>
            <w:r>
              <w:rPr>
                <w:rFonts w:ascii="宋体" w:hAnsi="宋体" w:eastAsia="宋体" w:cs="Arial"/>
                <w:color w:val="auto"/>
                <w:spacing w:val="4"/>
                <w:sz w:val="21"/>
                <w:szCs w:val="21"/>
              </w:rPr>
              <w:t>搬运时应轻装轻卸，防止包装和容器损坏。</w:t>
            </w:r>
            <w:r>
              <w:rPr>
                <w:rFonts w:ascii="宋体" w:hAnsi="宋体" w:eastAsia="宋体"/>
                <w:color w:val="auto"/>
                <w:spacing w:val="4"/>
                <w:sz w:val="21"/>
                <w:szCs w:val="21"/>
              </w:rPr>
              <w:t>运输时所用的槽(罐)车应有接地链，槽内可设孔隔板以减少震荡产生静电。严禁与氧化剂、酸类、碱类、食用化学品等混装混运。装运该物品的车辆排气管必须配备阻火装置，禁止使用易产生火花的机械设备和工具装卸。公路运输时要按规定路线行驶，勿在居民区和人口稠密区停留。铁路运输时要禁止溜放。严禁用木船、水泥船散装运输。</w:t>
            </w:r>
            <w:r>
              <w:rPr>
                <w:rFonts w:ascii="宋体" w:hAnsi="宋体" w:eastAsia="宋体" w:cs="Arial"/>
                <w:b/>
                <w:color w:val="auto"/>
                <w:spacing w:val="4"/>
                <w:sz w:val="21"/>
                <w:szCs w:val="21"/>
              </w:rPr>
              <w:t>泄漏处理</w:t>
            </w:r>
            <w:r>
              <w:rPr>
                <w:rFonts w:ascii="宋体" w:hAnsi="宋体" w:eastAsia="宋体" w:cs="Arial"/>
                <w:color w:val="auto"/>
                <w:spacing w:val="4"/>
                <w:sz w:val="21"/>
                <w:szCs w:val="21"/>
              </w:rPr>
              <w:t>：迅速撤离泄漏污染区人员至安全区，并进行隔离，严格限制出入。切断火源。建议应急处理人员戴自给正压式呼吸器，穿消防防护服。尽可能切断泄漏源，防止进入下水道、排洪沟等限制性空间。小量泄漏：用活性炭或其它惰性材料吸收。也可以用大量水冲洗，洗水稀释后放入废水系统。大量泄漏：构筑围堤或挖坑收容；用泡沫覆盖，降低蒸气灾害。用防爆泵转移至槽车或专用收集器内，回收或运至废物处理场所处置。</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55" w:type="dxa"/>
            <w:vMerge w:val="continue"/>
            <w:vAlign w:val="center"/>
          </w:tcPr>
          <w:p>
            <w:pPr>
              <w:widowControl/>
              <w:spacing w:line="360" w:lineRule="auto"/>
              <w:rPr>
                <w:rFonts w:ascii="宋体" w:hAnsi="宋体" w:eastAsia="宋体" w:cs="Arial"/>
                <w:color w:val="auto"/>
                <w:spacing w:val="10"/>
                <w:sz w:val="21"/>
                <w:szCs w:val="21"/>
              </w:rPr>
            </w:pPr>
          </w:p>
        </w:tc>
        <w:tc>
          <w:tcPr>
            <w:tcW w:w="1713" w:type="dxa"/>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灭火方法</w:t>
            </w:r>
          </w:p>
        </w:tc>
        <w:tc>
          <w:tcPr>
            <w:tcW w:w="6354" w:type="dxa"/>
            <w:gridSpan w:val="10"/>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z w:val="21"/>
                <w:szCs w:val="21"/>
              </w:rPr>
              <w:t>灭火剂：抗溶性泡沫、二氧化碳、干粉、砂土。用水灭火无效，但可用水保持火场中容器冷却。</w:t>
            </w:r>
          </w:p>
        </w:tc>
      </w:tr>
    </w:tbl>
    <w:p>
      <w:pPr>
        <w:spacing w:line="560" w:lineRule="exact"/>
        <w:jc w:val="center"/>
        <w:outlineLvl w:val="2"/>
        <w:rPr>
          <w:rFonts w:ascii="宋体" w:hAnsi="宋体" w:eastAsia="宋体" w:cs="Times New Roman"/>
          <w:b/>
          <w:bCs/>
          <w:color w:val="auto"/>
          <w:kern w:val="2"/>
          <w:lang w:val="en-US" w:eastAsia="zh-CN" w:bidi="ar-SA"/>
        </w:rPr>
      </w:pPr>
      <w:r>
        <w:rPr>
          <w:rFonts w:hint="eastAsia" w:ascii="宋体" w:hAnsi="宋体" w:eastAsia="宋体" w:cs="Times New Roman"/>
          <w:b/>
          <w:bCs/>
          <w:color w:val="auto"/>
          <w:kern w:val="2"/>
          <w:lang w:val="en-US" w:eastAsia="zh-CN" w:bidi="ar-SA"/>
        </w:rPr>
        <w:t>附表1-13醇酸树脂的理化特性表</w:t>
      </w:r>
    </w:p>
    <w:tbl>
      <w:tblPr>
        <w:tblStyle w:val="45"/>
        <w:tblW w:w="5000" w:type="pct"/>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503"/>
        <w:gridCol w:w="1888"/>
        <w:gridCol w:w="931"/>
        <w:gridCol w:w="257"/>
        <w:gridCol w:w="363"/>
        <w:gridCol w:w="1071"/>
        <w:gridCol w:w="325"/>
        <w:gridCol w:w="747"/>
        <w:gridCol w:w="243"/>
        <w:gridCol w:w="1410"/>
        <w:gridCol w:w="726"/>
        <w:gridCol w:w="930"/>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55" w:type="dxa"/>
            <w:vMerge w:val="restart"/>
            <w:vAlign w:val="center"/>
          </w:tcPr>
          <w:p>
            <w:pPr>
              <w:spacing w:line="360" w:lineRule="auto"/>
              <w:jc w:val="center"/>
              <w:rPr>
                <w:rFonts w:ascii="宋体" w:hAnsi="宋体" w:eastAsia="宋体" w:cs="Arial"/>
                <w:color w:val="auto"/>
                <w:spacing w:val="10"/>
                <w:sz w:val="21"/>
                <w:szCs w:val="21"/>
              </w:rPr>
            </w:pPr>
            <w:bookmarkStart w:id="169" w:name="_Toc205020195"/>
            <w:r>
              <w:rPr>
                <w:rFonts w:ascii="宋体" w:hAnsi="宋体" w:eastAsia="宋体" w:cs="Arial"/>
                <w:color w:val="auto"/>
                <w:spacing w:val="10"/>
                <w:sz w:val="21"/>
                <w:szCs w:val="21"/>
              </w:rPr>
              <w:t>标</w:t>
            </w:r>
          </w:p>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识</w:t>
            </w:r>
          </w:p>
        </w:tc>
        <w:tc>
          <w:tcPr>
            <w:tcW w:w="5285" w:type="dxa"/>
            <w:gridSpan w:val="8"/>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中文名：</w:t>
            </w:r>
            <w:r>
              <w:rPr>
                <w:rFonts w:hint="eastAsia" w:ascii="宋体" w:hAnsi="宋体" w:eastAsia="宋体"/>
                <w:color w:val="auto"/>
                <w:sz w:val="21"/>
                <w:szCs w:val="21"/>
              </w:rPr>
              <w:t>醇酸树脂</w:t>
            </w:r>
          </w:p>
        </w:tc>
        <w:tc>
          <w:tcPr>
            <w:tcW w:w="2782" w:type="dxa"/>
            <w:gridSpan w:val="3"/>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危险化学品序号：</w:t>
            </w:r>
            <w:r>
              <w:rPr>
                <w:rFonts w:hint="eastAsia" w:ascii="宋体" w:hAnsi="宋体" w:eastAsia="宋体" w:cs="Arial"/>
                <w:color w:val="auto"/>
                <w:sz w:val="21"/>
                <w:szCs w:val="21"/>
              </w:rPr>
              <w:t>2828</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55" w:type="dxa"/>
            <w:vMerge w:val="continue"/>
            <w:vAlign w:val="center"/>
          </w:tcPr>
          <w:p>
            <w:pPr>
              <w:widowControl/>
              <w:spacing w:line="360" w:lineRule="auto"/>
              <w:rPr>
                <w:rFonts w:ascii="宋体" w:hAnsi="宋体" w:eastAsia="宋体" w:cs="Arial"/>
                <w:color w:val="auto"/>
                <w:spacing w:val="10"/>
                <w:sz w:val="21"/>
                <w:szCs w:val="21"/>
              </w:rPr>
            </w:pPr>
          </w:p>
        </w:tc>
        <w:tc>
          <w:tcPr>
            <w:tcW w:w="5285" w:type="dxa"/>
            <w:gridSpan w:val="8"/>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英文名：Alkyd</w:t>
            </w:r>
            <w:r>
              <w:rPr>
                <w:rFonts w:hint="eastAsia" w:ascii="宋体" w:hAnsi="宋体" w:eastAsia="MS Mincho" w:cs="MS Mincho"/>
                <w:color w:val="auto"/>
                <w:spacing w:val="10"/>
                <w:sz w:val="21"/>
                <w:szCs w:val="21"/>
              </w:rPr>
              <w:t> </w:t>
            </w:r>
            <w:r>
              <w:rPr>
                <w:rFonts w:hint="eastAsia" w:ascii="宋体" w:hAnsi="宋体" w:eastAsia="宋体" w:cs="宋体"/>
                <w:color w:val="auto"/>
                <w:spacing w:val="10"/>
                <w:sz w:val="21"/>
                <w:szCs w:val="21"/>
              </w:rPr>
              <w:t>resin</w:t>
            </w:r>
          </w:p>
        </w:tc>
        <w:tc>
          <w:tcPr>
            <w:tcW w:w="2782" w:type="dxa"/>
            <w:gridSpan w:val="3"/>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UN编号：</w:t>
            </w:r>
            <w:r>
              <w:rPr>
                <w:rFonts w:hint="eastAsia" w:ascii="宋体" w:hAnsi="宋体" w:eastAsia="宋体" w:cs="Arial"/>
                <w:color w:val="auto"/>
                <w:spacing w:val="10"/>
                <w:sz w:val="21"/>
                <w:szCs w:val="21"/>
              </w:rPr>
              <w:t>1866</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55" w:type="dxa"/>
            <w:vMerge w:val="continue"/>
            <w:vAlign w:val="center"/>
          </w:tcPr>
          <w:p>
            <w:pPr>
              <w:widowControl/>
              <w:spacing w:line="360" w:lineRule="auto"/>
              <w:rPr>
                <w:rFonts w:ascii="宋体" w:hAnsi="宋体" w:eastAsia="宋体" w:cs="Arial"/>
                <w:color w:val="auto"/>
                <w:spacing w:val="10"/>
                <w:sz w:val="21"/>
                <w:szCs w:val="21"/>
              </w:rPr>
            </w:pPr>
          </w:p>
        </w:tc>
        <w:tc>
          <w:tcPr>
            <w:tcW w:w="2791" w:type="dxa"/>
            <w:gridSpan w:val="3"/>
            <w:vAlign w:val="center"/>
          </w:tcPr>
          <w:p>
            <w:pPr>
              <w:spacing w:line="360" w:lineRule="auto"/>
              <w:ind w:left="880" w:hanging="920" w:hangingChars="400"/>
              <w:rPr>
                <w:rFonts w:ascii="宋体" w:hAnsi="宋体" w:eastAsia="宋体" w:cs="Arial"/>
                <w:color w:val="auto"/>
                <w:spacing w:val="10"/>
                <w:sz w:val="21"/>
                <w:szCs w:val="21"/>
              </w:rPr>
            </w:pPr>
            <w:r>
              <w:rPr>
                <w:rFonts w:ascii="宋体" w:hAnsi="宋体" w:eastAsia="宋体" w:cs="Arial"/>
                <w:color w:val="auto"/>
                <w:spacing w:val="10"/>
                <w:sz w:val="21"/>
                <w:szCs w:val="21"/>
              </w:rPr>
              <w:t>分子式：</w:t>
            </w:r>
            <w:r>
              <w:rPr>
                <w:rFonts w:hint="eastAsia" w:ascii="宋体" w:hAnsi="宋体" w:eastAsia="宋体" w:cs="Arial"/>
                <w:color w:val="auto"/>
                <w:spacing w:val="10"/>
                <w:sz w:val="21"/>
                <w:szCs w:val="21"/>
              </w:rPr>
              <w:t>/</w:t>
            </w:r>
          </w:p>
        </w:tc>
        <w:tc>
          <w:tcPr>
            <w:tcW w:w="2494" w:type="dxa"/>
            <w:gridSpan w:val="5"/>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分子量：</w:t>
            </w:r>
            <w:r>
              <w:rPr>
                <w:rFonts w:hint="eastAsia" w:ascii="宋体" w:hAnsi="宋体" w:eastAsia="宋体" w:cs="Arial"/>
                <w:color w:val="auto"/>
                <w:spacing w:val="10"/>
                <w:sz w:val="21"/>
                <w:szCs w:val="21"/>
              </w:rPr>
              <w:t>/</w:t>
            </w:r>
          </w:p>
        </w:tc>
        <w:tc>
          <w:tcPr>
            <w:tcW w:w="2782" w:type="dxa"/>
            <w:gridSpan w:val="3"/>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CAS号：</w:t>
            </w:r>
            <w:r>
              <w:rPr>
                <w:rFonts w:hint="eastAsia" w:ascii="宋体" w:hAnsi="宋体" w:eastAsia="宋体" w:cs="Arial"/>
                <w:color w:val="auto"/>
                <w:spacing w:val="10"/>
                <w:sz w:val="21"/>
                <w:szCs w:val="21"/>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55" w:type="dxa"/>
            <w:vMerge w:val="restart"/>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理化性质</w:t>
            </w:r>
          </w:p>
        </w:tc>
        <w:tc>
          <w:tcPr>
            <w:tcW w:w="1713" w:type="dxa"/>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外观与性状</w:t>
            </w:r>
          </w:p>
        </w:tc>
        <w:tc>
          <w:tcPr>
            <w:tcW w:w="6354" w:type="dxa"/>
            <w:gridSpan w:val="10"/>
            <w:vAlign w:val="center"/>
          </w:tcPr>
          <w:p>
            <w:pPr>
              <w:spacing w:line="360" w:lineRule="auto"/>
              <w:rPr>
                <w:rFonts w:ascii="宋体" w:hAnsi="宋体" w:eastAsia="宋体" w:cs="Arial"/>
                <w:color w:val="auto"/>
                <w:spacing w:val="10"/>
                <w:sz w:val="21"/>
                <w:szCs w:val="21"/>
              </w:rPr>
            </w:pPr>
            <w:r>
              <w:rPr>
                <w:rFonts w:hint="eastAsia" w:ascii="宋体" w:hAnsi="宋体" w:eastAsia="宋体" w:cs="Arial"/>
                <w:color w:val="auto"/>
                <w:spacing w:val="10"/>
                <w:sz w:val="21"/>
                <w:szCs w:val="21"/>
              </w:rPr>
              <w:t>油性易燃液体</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55" w:type="dxa"/>
            <w:vMerge w:val="continue"/>
            <w:vAlign w:val="center"/>
          </w:tcPr>
          <w:p>
            <w:pPr>
              <w:widowControl/>
              <w:spacing w:line="360" w:lineRule="auto"/>
              <w:rPr>
                <w:rFonts w:ascii="宋体" w:hAnsi="宋体" w:eastAsia="宋体" w:cs="Arial"/>
                <w:color w:val="auto"/>
                <w:spacing w:val="10"/>
                <w:sz w:val="21"/>
                <w:szCs w:val="21"/>
              </w:rPr>
            </w:pPr>
          </w:p>
        </w:tc>
        <w:tc>
          <w:tcPr>
            <w:tcW w:w="1713" w:type="dxa"/>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熔点(℃)</w:t>
            </w:r>
          </w:p>
        </w:tc>
        <w:tc>
          <w:tcPr>
            <w:tcW w:w="845" w:type="dxa"/>
            <w:vAlign w:val="center"/>
          </w:tcPr>
          <w:p>
            <w:pPr>
              <w:spacing w:line="360" w:lineRule="auto"/>
              <w:jc w:val="center"/>
              <w:rPr>
                <w:rFonts w:ascii="宋体" w:hAnsi="宋体" w:eastAsia="宋体" w:cs="Arial"/>
                <w:color w:val="auto"/>
                <w:spacing w:val="10"/>
                <w:sz w:val="21"/>
                <w:szCs w:val="21"/>
              </w:rPr>
            </w:pPr>
            <w:r>
              <w:rPr>
                <w:rFonts w:hint="eastAsia" w:ascii="宋体" w:hAnsi="宋体" w:eastAsia="宋体" w:cs="Arial"/>
                <w:color w:val="auto"/>
                <w:sz w:val="21"/>
                <w:szCs w:val="21"/>
              </w:rPr>
              <w:t>-25.5</w:t>
            </w:r>
          </w:p>
        </w:tc>
        <w:tc>
          <w:tcPr>
            <w:tcW w:w="1829" w:type="dxa"/>
            <w:gridSpan w:val="4"/>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相对密度(水=1)</w:t>
            </w:r>
          </w:p>
        </w:tc>
        <w:tc>
          <w:tcPr>
            <w:tcW w:w="898" w:type="dxa"/>
            <w:gridSpan w:val="2"/>
            <w:vAlign w:val="center"/>
          </w:tcPr>
          <w:p>
            <w:pPr>
              <w:spacing w:line="360" w:lineRule="auto"/>
              <w:jc w:val="center"/>
              <w:rPr>
                <w:rFonts w:ascii="宋体" w:hAnsi="宋体" w:eastAsia="宋体" w:cs="Arial"/>
                <w:color w:val="auto"/>
                <w:spacing w:val="10"/>
                <w:sz w:val="21"/>
                <w:szCs w:val="21"/>
              </w:rPr>
            </w:pPr>
            <w:r>
              <w:rPr>
                <w:rFonts w:hint="eastAsia" w:ascii="宋体" w:hAnsi="宋体" w:eastAsia="宋体" w:cs="Arial"/>
                <w:color w:val="auto"/>
                <w:spacing w:val="10"/>
                <w:sz w:val="21"/>
                <w:szCs w:val="21"/>
              </w:rPr>
              <w:t>0.88</w:t>
            </w:r>
          </w:p>
        </w:tc>
        <w:tc>
          <w:tcPr>
            <w:tcW w:w="1938" w:type="dxa"/>
            <w:gridSpan w:val="2"/>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相对密度(空气=1)</w:t>
            </w:r>
          </w:p>
        </w:tc>
        <w:tc>
          <w:tcPr>
            <w:tcW w:w="844" w:type="dxa"/>
            <w:vAlign w:val="center"/>
          </w:tcPr>
          <w:p>
            <w:pPr>
              <w:spacing w:line="360" w:lineRule="auto"/>
              <w:jc w:val="center"/>
              <w:rPr>
                <w:rFonts w:ascii="宋体" w:hAnsi="宋体" w:eastAsia="宋体" w:cs="Arial"/>
                <w:color w:val="auto"/>
                <w:spacing w:val="10"/>
                <w:sz w:val="21"/>
                <w:szCs w:val="21"/>
              </w:rPr>
            </w:pPr>
            <w:r>
              <w:rPr>
                <w:rFonts w:hint="eastAsia" w:ascii="宋体" w:hAnsi="宋体" w:eastAsia="宋体" w:cs="Arial"/>
                <w:color w:val="auto"/>
                <w:sz w:val="21"/>
                <w:szCs w:val="21"/>
              </w:rPr>
              <w:t>3.66</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55" w:type="dxa"/>
            <w:vMerge w:val="continue"/>
            <w:vAlign w:val="center"/>
          </w:tcPr>
          <w:p>
            <w:pPr>
              <w:widowControl/>
              <w:spacing w:line="360" w:lineRule="auto"/>
              <w:rPr>
                <w:rFonts w:ascii="宋体" w:hAnsi="宋体" w:eastAsia="宋体" w:cs="Arial"/>
                <w:color w:val="auto"/>
                <w:spacing w:val="10"/>
                <w:sz w:val="21"/>
                <w:szCs w:val="21"/>
              </w:rPr>
            </w:pPr>
          </w:p>
        </w:tc>
        <w:tc>
          <w:tcPr>
            <w:tcW w:w="1713" w:type="dxa"/>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沸点(℃)</w:t>
            </w:r>
          </w:p>
        </w:tc>
        <w:tc>
          <w:tcPr>
            <w:tcW w:w="845" w:type="dxa"/>
            <w:vAlign w:val="center"/>
          </w:tcPr>
          <w:p>
            <w:pPr>
              <w:spacing w:line="360" w:lineRule="auto"/>
              <w:jc w:val="center"/>
              <w:rPr>
                <w:rFonts w:ascii="宋体" w:hAnsi="宋体" w:eastAsia="宋体" w:cs="Arial"/>
                <w:color w:val="auto"/>
                <w:spacing w:val="10"/>
                <w:sz w:val="21"/>
                <w:szCs w:val="21"/>
              </w:rPr>
            </w:pPr>
            <w:r>
              <w:rPr>
                <w:rFonts w:hint="eastAsia" w:ascii="宋体" w:hAnsi="宋体" w:eastAsia="宋体" w:cs="Arial"/>
                <w:color w:val="auto"/>
                <w:spacing w:val="10"/>
                <w:sz w:val="21"/>
                <w:szCs w:val="21"/>
              </w:rPr>
              <w:t>144.4</w:t>
            </w:r>
          </w:p>
        </w:tc>
        <w:tc>
          <w:tcPr>
            <w:tcW w:w="2727" w:type="dxa"/>
            <w:gridSpan w:val="6"/>
            <w:vAlign w:val="center"/>
          </w:tcPr>
          <w:p>
            <w:pPr>
              <w:spacing w:line="360" w:lineRule="auto"/>
              <w:ind w:left="-40"/>
              <w:jc w:val="center"/>
              <w:rPr>
                <w:rFonts w:ascii="宋体" w:hAnsi="宋体" w:eastAsia="宋体" w:cs="Arial"/>
                <w:color w:val="auto"/>
                <w:spacing w:val="10"/>
                <w:sz w:val="21"/>
                <w:szCs w:val="21"/>
              </w:rPr>
            </w:pPr>
            <w:r>
              <w:rPr>
                <w:rFonts w:ascii="宋体" w:hAnsi="宋体" w:eastAsia="宋体" w:cs="Arial"/>
                <w:color w:val="auto"/>
                <w:spacing w:val="10"/>
                <w:sz w:val="21"/>
                <w:szCs w:val="21"/>
              </w:rPr>
              <w:t>饱和蒸气压(kPa)</w:t>
            </w:r>
          </w:p>
        </w:tc>
        <w:tc>
          <w:tcPr>
            <w:tcW w:w="2782" w:type="dxa"/>
            <w:gridSpan w:val="3"/>
            <w:vAlign w:val="center"/>
          </w:tcPr>
          <w:p>
            <w:pPr>
              <w:spacing w:line="360" w:lineRule="auto"/>
              <w:jc w:val="center"/>
              <w:rPr>
                <w:rFonts w:ascii="宋体" w:hAnsi="宋体" w:eastAsia="宋体" w:cs="Arial"/>
                <w:color w:val="auto"/>
                <w:spacing w:val="10"/>
                <w:sz w:val="21"/>
                <w:szCs w:val="21"/>
              </w:rPr>
            </w:pPr>
            <w:r>
              <w:rPr>
                <w:rFonts w:hint="eastAsia" w:ascii="宋体" w:hAnsi="宋体" w:eastAsia="宋体" w:cs="Arial"/>
                <w:color w:val="auto"/>
                <w:spacing w:val="10"/>
                <w:sz w:val="21"/>
                <w:szCs w:val="21"/>
              </w:rPr>
              <w:t>3.66℃</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89" w:hRule="atLeast"/>
          <w:jc w:val="center"/>
        </w:trPr>
        <w:tc>
          <w:tcPr>
            <w:tcW w:w="455" w:type="dxa"/>
            <w:vMerge w:val="continue"/>
            <w:vAlign w:val="center"/>
          </w:tcPr>
          <w:p>
            <w:pPr>
              <w:widowControl/>
              <w:spacing w:line="360" w:lineRule="auto"/>
              <w:rPr>
                <w:rFonts w:ascii="宋体" w:hAnsi="宋体" w:eastAsia="宋体" w:cs="Arial"/>
                <w:color w:val="auto"/>
                <w:spacing w:val="10"/>
                <w:sz w:val="21"/>
                <w:szCs w:val="21"/>
              </w:rPr>
            </w:pPr>
          </w:p>
        </w:tc>
        <w:tc>
          <w:tcPr>
            <w:tcW w:w="1713" w:type="dxa"/>
            <w:tcBorders>
              <w:bottom w:val="single" w:color="auto" w:sz="4" w:space="0"/>
            </w:tcBorders>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溶解性</w:t>
            </w:r>
          </w:p>
        </w:tc>
        <w:tc>
          <w:tcPr>
            <w:tcW w:w="6354" w:type="dxa"/>
            <w:gridSpan w:val="10"/>
            <w:tcBorders>
              <w:bottom w:val="single" w:color="auto" w:sz="4" w:space="0"/>
            </w:tcBorders>
            <w:vAlign w:val="center"/>
          </w:tcPr>
          <w:p>
            <w:pPr>
              <w:spacing w:line="360" w:lineRule="auto"/>
              <w:rPr>
                <w:rFonts w:ascii="宋体" w:hAnsi="宋体" w:eastAsia="宋体" w:cs="Arial"/>
                <w:color w:val="auto"/>
                <w:spacing w:val="10"/>
                <w:sz w:val="21"/>
                <w:szCs w:val="21"/>
              </w:rPr>
            </w:pPr>
            <w:r>
              <w:rPr>
                <w:rFonts w:hint="eastAsia" w:ascii="宋体" w:hAnsi="宋体" w:eastAsia="宋体"/>
                <w:color w:val="auto"/>
                <w:sz w:val="21"/>
                <w:szCs w:val="21"/>
              </w:rPr>
              <w:t>能溶于酮类、酯类、苯类、醚类等有机溶剂，不溶于水。</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07" w:hRule="atLeast"/>
          <w:jc w:val="center"/>
        </w:trPr>
        <w:tc>
          <w:tcPr>
            <w:tcW w:w="455" w:type="dxa"/>
            <w:vMerge w:val="continue"/>
            <w:vAlign w:val="center"/>
          </w:tcPr>
          <w:p>
            <w:pPr>
              <w:widowControl/>
              <w:spacing w:line="360" w:lineRule="auto"/>
              <w:rPr>
                <w:rFonts w:ascii="宋体" w:hAnsi="宋体" w:eastAsia="宋体" w:cs="Arial"/>
                <w:color w:val="auto"/>
                <w:spacing w:val="10"/>
                <w:sz w:val="21"/>
                <w:szCs w:val="21"/>
              </w:rPr>
            </w:pPr>
          </w:p>
        </w:tc>
        <w:tc>
          <w:tcPr>
            <w:tcW w:w="1713" w:type="dxa"/>
            <w:tcBorders>
              <w:top w:val="single" w:color="auto" w:sz="4" w:space="0"/>
            </w:tcBorders>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危害性类别</w:t>
            </w:r>
          </w:p>
        </w:tc>
        <w:tc>
          <w:tcPr>
            <w:tcW w:w="6354" w:type="dxa"/>
            <w:gridSpan w:val="10"/>
            <w:tcBorders>
              <w:top w:val="single" w:color="auto" w:sz="4" w:space="0"/>
            </w:tcBorders>
            <w:vAlign w:val="center"/>
          </w:tcPr>
          <w:p>
            <w:pPr>
              <w:widowControl/>
              <w:spacing w:line="360" w:lineRule="auto"/>
              <w:rPr>
                <w:rFonts w:ascii="宋体" w:hAnsi="宋体" w:eastAsia="宋体" w:cs="宋体"/>
                <w:color w:val="auto"/>
                <w:sz w:val="21"/>
                <w:szCs w:val="21"/>
              </w:rPr>
            </w:pPr>
            <w:r>
              <w:rPr>
                <w:rFonts w:ascii="宋体" w:hAnsi="宋体" w:eastAsia="宋体" w:cs="宋体"/>
                <w:color w:val="auto"/>
                <w:sz w:val="21"/>
                <w:szCs w:val="21"/>
              </w:rPr>
              <w:t>23℃≤闪点≤60℃：</w:t>
            </w:r>
          </w:p>
          <w:p>
            <w:pPr>
              <w:widowControl/>
              <w:spacing w:line="360" w:lineRule="auto"/>
              <w:rPr>
                <w:rFonts w:ascii="宋体" w:hAnsi="宋体" w:eastAsia="宋体" w:cs="宋体"/>
                <w:color w:val="auto"/>
                <w:sz w:val="21"/>
                <w:szCs w:val="21"/>
              </w:rPr>
            </w:pPr>
            <w:r>
              <w:rPr>
                <w:rFonts w:ascii="宋体" w:hAnsi="宋体" w:eastAsia="宋体" w:cs="宋体"/>
                <w:color w:val="auto"/>
                <w:sz w:val="21"/>
                <w:szCs w:val="21"/>
              </w:rPr>
              <w:t>易燃液体，类别3</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55" w:type="dxa"/>
            <w:vMerge w:val="restart"/>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毒性及健康危害</w:t>
            </w:r>
          </w:p>
        </w:tc>
        <w:tc>
          <w:tcPr>
            <w:tcW w:w="1713" w:type="dxa"/>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侵入途径</w:t>
            </w:r>
          </w:p>
        </w:tc>
        <w:tc>
          <w:tcPr>
            <w:tcW w:w="6354" w:type="dxa"/>
            <w:gridSpan w:val="10"/>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吸入、食入、经皮吸收。</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55" w:type="dxa"/>
            <w:vMerge w:val="continue"/>
            <w:vAlign w:val="center"/>
          </w:tcPr>
          <w:p>
            <w:pPr>
              <w:widowControl/>
              <w:spacing w:line="360" w:lineRule="auto"/>
              <w:rPr>
                <w:rFonts w:ascii="宋体" w:hAnsi="宋体" w:eastAsia="宋体" w:cs="Arial"/>
                <w:color w:val="auto"/>
                <w:spacing w:val="10"/>
                <w:sz w:val="21"/>
                <w:szCs w:val="21"/>
              </w:rPr>
            </w:pPr>
          </w:p>
        </w:tc>
        <w:tc>
          <w:tcPr>
            <w:tcW w:w="1713" w:type="dxa"/>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毒性</w:t>
            </w:r>
          </w:p>
        </w:tc>
        <w:tc>
          <w:tcPr>
            <w:tcW w:w="6354" w:type="dxa"/>
            <w:gridSpan w:val="10"/>
            <w:vAlign w:val="center"/>
          </w:tcPr>
          <w:p>
            <w:pPr>
              <w:spacing w:line="360" w:lineRule="auto"/>
              <w:rPr>
                <w:rFonts w:ascii="宋体" w:hAnsi="宋体" w:eastAsia="宋体" w:cs="Arial"/>
                <w:color w:val="auto"/>
                <w:sz w:val="21"/>
                <w:szCs w:val="21"/>
              </w:rPr>
            </w:pPr>
            <w:r>
              <w:rPr>
                <w:rFonts w:ascii="宋体" w:hAnsi="宋体" w:eastAsia="宋体" w:cs="Arial"/>
                <w:color w:val="auto"/>
                <w:spacing w:val="10"/>
                <w:sz w:val="21"/>
                <w:szCs w:val="21"/>
              </w:rPr>
              <w:t>LD</w:t>
            </w:r>
            <w:r>
              <w:rPr>
                <w:rFonts w:ascii="宋体" w:hAnsi="宋体" w:eastAsia="宋体" w:cs="Arial"/>
                <w:color w:val="auto"/>
                <w:spacing w:val="10"/>
                <w:sz w:val="21"/>
                <w:szCs w:val="21"/>
                <w:vertAlign w:val="subscript"/>
              </w:rPr>
              <w:t>50</w:t>
            </w:r>
            <w:r>
              <w:rPr>
                <w:rFonts w:ascii="宋体" w:hAnsi="宋体" w:eastAsia="宋体" w:cs="Arial"/>
                <w:color w:val="auto"/>
                <w:spacing w:val="10"/>
                <w:sz w:val="21"/>
                <w:szCs w:val="21"/>
              </w:rPr>
              <w:t>：</w:t>
            </w:r>
            <w:r>
              <w:rPr>
                <w:rFonts w:hint="eastAsia" w:ascii="宋体" w:hAnsi="宋体" w:eastAsia="宋体" w:cs="Arial"/>
                <w:color w:val="auto"/>
                <w:spacing w:val="10"/>
                <w:sz w:val="21"/>
                <w:szCs w:val="21"/>
              </w:rPr>
              <w:t>/</w:t>
            </w:r>
          </w:p>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LC</w:t>
            </w:r>
            <w:r>
              <w:rPr>
                <w:rFonts w:ascii="宋体" w:hAnsi="宋体" w:eastAsia="宋体" w:cs="Arial"/>
                <w:color w:val="auto"/>
                <w:spacing w:val="10"/>
                <w:sz w:val="21"/>
                <w:szCs w:val="21"/>
                <w:vertAlign w:val="subscript"/>
              </w:rPr>
              <w:t>50</w:t>
            </w:r>
            <w:r>
              <w:rPr>
                <w:rFonts w:ascii="宋体" w:hAnsi="宋体" w:eastAsia="宋体" w:cs="Arial"/>
                <w:color w:val="auto"/>
                <w:spacing w:val="10"/>
                <w:sz w:val="21"/>
                <w:szCs w:val="21"/>
              </w:rPr>
              <w:t>：</w:t>
            </w:r>
            <w:r>
              <w:rPr>
                <w:rFonts w:hint="eastAsia" w:ascii="宋体" w:hAnsi="宋体" w:eastAsia="宋体" w:cs="Arial"/>
                <w:color w:val="auto"/>
                <w:spacing w:val="10"/>
                <w:sz w:val="21"/>
                <w:szCs w:val="21"/>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55" w:type="dxa"/>
            <w:vMerge w:val="continue"/>
            <w:vAlign w:val="center"/>
          </w:tcPr>
          <w:p>
            <w:pPr>
              <w:widowControl/>
              <w:spacing w:line="360" w:lineRule="auto"/>
              <w:rPr>
                <w:rFonts w:ascii="宋体" w:hAnsi="宋体" w:eastAsia="宋体" w:cs="Arial"/>
                <w:color w:val="auto"/>
                <w:spacing w:val="10"/>
                <w:sz w:val="21"/>
                <w:szCs w:val="21"/>
              </w:rPr>
            </w:pPr>
          </w:p>
        </w:tc>
        <w:tc>
          <w:tcPr>
            <w:tcW w:w="1713" w:type="dxa"/>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健康危害</w:t>
            </w:r>
          </w:p>
        </w:tc>
        <w:tc>
          <w:tcPr>
            <w:tcW w:w="6354" w:type="dxa"/>
            <w:gridSpan w:val="10"/>
            <w:vAlign w:val="center"/>
          </w:tcPr>
          <w:p>
            <w:pPr>
              <w:spacing w:line="360" w:lineRule="auto"/>
              <w:rPr>
                <w:rFonts w:ascii="宋体" w:hAnsi="宋体" w:eastAsia="宋体" w:cs="Arial"/>
                <w:color w:val="auto"/>
                <w:spacing w:val="6"/>
                <w:sz w:val="21"/>
                <w:szCs w:val="21"/>
              </w:rPr>
            </w:pPr>
            <w:r>
              <w:rPr>
                <w:rFonts w:hint="eastAsia" w:ascii="宋体" w:hAnsi="宋体" w:eastAsia="宋体"/>
                <w:color w:val="auto"/>
                <w:sz w:val="21"/>
                <w:szCs w:val="21"/>
              </w:rPr>
              <w:t>对眼及上呼吸道明显的刺激作用。急性中毒：短期内吸入高浓度本品可出现眼及上呼吸道明显的刺激症状、角膜炎，角膜上皮有空泡形成、眼结膜及咽充血、头晕、头痛、恶心、呕吐、胸闷、四肢无力。慢性影响：长期接触有神经衰弱综合症，女工有月经异常，工作常发生皮肤干燥、皲裂、皮炎。</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55" w:type="dxa"/>
            <w:vMerge w:val="continue"/>
            <w:vAlign w:val="center"/>
          </w:tcPr>
          <w:p>
            <w:pPr>
              <w:widowControl/>
              <w:spacing w:line="360" w:lineRule="auto"/>
              <w:rPr>
                <w:rFonts w:ascii="宋体" w:hAnsi="宋体" w:eastAsia="宋体" w:cs="Arial"/>
                <w:color w:val="auto"/>
                <w:spacing w:val="10"/>
                <w:sz w:val="21"/>
                <w:szCs w:val="21"/>
              </w:rPr>
            </w:pPr>
          </w:p>
        </w:tc>
        <w:tc>
          <w:tcPr>
            <w:tcW w:w="1713" w:type="dxa"/>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急救方法</w:t>
            </w:r>
          </w:p>
        </w:tc>
        <w:tc>
          <w:tcPr>
            <w:tcW w:w="6354" w:type="dxa"/>
            <w:gridSpan w:val="10"/>
            <w:vAlign w:val="center"/>
          </w:tcPr>
          <w:p>
            <w:pPr>
              <w:spacing w:line="360" w:lineRule="auto"/>
              <w:rPr>
                <w:rFonts w:ascii="宋体" w:hAnsi="宋体" w:eastAsia="宋体" w:cs="Arial"/>
                <w:color w:val="auto"/>
                <w:spacing w:val="10"/>
                <w:sz w:val="21"/>
                <w:szCs w:val="21"/>
              </w:rPr>
            </w:pPr>
            <w:r>
              <w:rPr>
                <w:rFonts w:hint="eastAsia" w:ascii="宋体" w:hAnsi="宋体" w:eastAsia="宋体"/>
                <w:color w:val="auto"/>
                <w:sz w:val="21"/>
                <w:szCs w:val="21"/>
              </w:rPr>
              <w:t>皮肤接触：脱去污染的衣着，用肥皂水和清水彻底冲洗皮肤。眼睛接触：提起眼睑，用流动清水或生理盐水冲洗。就医。吸入：迅速脱离现场至空气新鲜处。保持呼吸道通畅，如呼吸困难，给输氧。如呼吸停止，立即进行人工呼吸。就医。食入：饮足量温水，催吐。就医。</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55" w:type="dxa"/>
            <w:vMerge w:val="restart"/>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燃烧爆炸危险性</w:t>
            </w:r>
          </w:p>
        </w:tc>
        <w:tc>
          <w:tcPr>
            <w:tcW w:w="1713" w:type="dxa"/>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燃烧性</w:t>
            </w:r>
          </w:p>
        </w:tc>
        <w:tc>
          <w:tcPr>
            <w:tcW w:w="1407" w:type="dxa"/>
            <w:gridSpan w:val="3"/>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易燃</w:t>
            </w:r>
          </w:p>
        </w:tc>
        <w:tc>
          <w:tcPr>
            <w:tcW w:w="1945" w:type="dxa"/>
            <w:gridSpan w:val="3"/>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燃烧分解物</w:t>
            </w:r>
          </w:p>
        </w:tc>
        <w:tc>
          <w:tcPr>
            <w:tcW w:w="3002" w:type="dxa"/>
            <w:gridSpan w:val="4"/>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z w:val="21"/>
                <w:szCs w:val="21"/>
              </w:rPr>
              <w:t>一氧化碳、二氧化碳。</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55" w:type="dxa"/>
            <w:vMerge w:val="continue"/>
            <w:vAlign w:val="center"/>
          </w:tcPr>
          <w:p>
            <w:pPr>
              <w:widowControl/>
              <w:spacing w:line="360" w:lineRule="auto"/>
              <w:rPr>
                <w:rFonts w:ascii="宋体" w:hAnsi="宋体" w:eastAsia="宋体" w:cs="Arial"/>
                <w:color w:val="auto"/>
                <w:spacing w:val="10"/>
                <w:sz w:val="21"/>
                <w:szCs w:val="21"/>
              </w:rPr>
            </w:pPr>
          </w:p>
        </w:tc>
        <w:tc>
          <w:tcPr>
            <w:tcW w:w="1713" w:type="dxa"/>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闪点(℃)</w:t>
            </w:r>
          </w:p>
        </w:tc>
        <w:tc>
          <w:tcPr>
            <w:tcW w:w="1407" w:type="dxa"/>
            <w:gridSpan w:val="3"/>
            <w:vAlign w:val="center"/>
          </w:tcPr>
          <w:p>
            <w:pPr>
              <w:spacing w:line="360" w:lineRule="auto"/>
              <w:jc w:val="center"/>
              <w:rPr>
                <w:rFonts w:ascii="宋体" w:hAnsi="宋体" w:eastAsia="宋体" w:cs="Arial"/>
                <w:color w:val="auto"/>
                <w:spacing w:val="10"/>
                <w:sz w:val="21"/>
                <w:szCs w:val="21"/>
              </w:rPr>
            </w:pPr>
            <w:r>
              <w:rPr>
                <w:rFonts w:hint="eastAsia" w:ascii="宋体" w:hAnsi="宋体" w:eastAsia="宋体" w:cs="Arial"/>
                <w:color w:val="auto"/>
                <w:spacing w:val="10"/>
                <w:sz w:val="21"/>
                <w:szCs w:val="21"/>
              </w:rPr>
              <w:t>30</w:t>
            </w:r>
          </w:p>
        </w:tc>
        <w:tc>
          <w:tcPr>
            <w:tcW w:w="1945" w:type="dxa"/>
            <w:gridSpan w:val="3"/>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爆炸上限(v%)</w:t>
            </w:r>
          </w:p>
        </w:tc>
        <w:tc>
          <w:tcPr>
            <w:tcW w:w="3002" w:type="dxa"/>
            <w:gridSpan w:val="4"/>
            <w:vAlign w:val="center"/>
          </w:tcPr>
          <w:p>
            <w:pPr>
              <w:spacing w:line="360" w:lineRule="auto"/>
              <w:jc w:val="center"/>
              <w:rPr>
                <w:rFonts w:ascii="宋体" w:hAnsi="宋体" w:eastAsia="宋体" w:cs="Arial"/>
                <w:color w:val="auto"/>
                <w:spacing w:val="10"/>
                <w:sz w:val="21"/>
                <w:szCs w:val="21"/>
              </w:rPr>
            </w:pPr>
            <w:r>
              <w:rPr>
                <w:rFonts w:hint="eastAsia" w:ascii="宋体" w:hAnsi="宋体" w:eastAsia="宋体" w:cs="Arial"/>
                <w:color w:val="auto"/>
                <w:spacing w:val="10"/>
                <w:sz w:val="21"/>
                <w:szCs w:val="21"/>
              </w:rPr>
              <w:t>7</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55" w:type="dxa"/>
            <w:vMerge w:val="continue"/>
            <w:vAlign w:val="center"/>
          </w:tcPr>
          <w:p>
            <w:pPr>
              <w:widowControl/>
              <w:spacing w:line="360" w:lineRule="auto"/>
              <w:rPr>
                <w:rFonts w:ascii="宋体" w:hAnsi="宋体" w:eastAsia="宋体" w:cs="Arial"/>
                <w:color w:val="auto"/>
                <w:spacing w:val="10"/>
                <w:sz w:val="21"/>
                <w:szCs w:val="21"/>
              </w:rPr>
            </w:pPr>
          </w:p>
        </w:tc>
        <w:tc>
          <w:tcPr>
            <w:tcW w:w="1713" w:type="dxa"/>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引燃温度(℃)</w:t>
            </w:r>
          </w:p>
        </w:tc>
        <w:tc>
          <w:tcPr>
            <w:tcW w:w="1407" w:type="dxa"/>
            <w:gridSpan w:val="3"/>
            <w:vAlign w:val="center"/>
          </w:tcPr>
          <w:p>
            <w:pPr>
              <w:spacing w:line="360" w:lineRule="auto"/>
              <w:jc w:val="center"/>
              <w:rPr>
                <w:rFonts w:ascii="宋体" w:hAnsi="宋体" w:eastAsia="宋体" w:cs="Arial"/>
                <w:color w:val="auto"/>
                <w:spacing w:val="10"/>
                <w:sz w:val="21"/>
                <w:szCs w:val="21"/>
              </w:rPr>
            </w:pPr>
            <w:r>
              <w:rPr>
                <w:rFonts w:hint="eastAsia" w:ascii="宋体" w:hAnsi="宋体" w:eastAsia="宋体" w:cs="Arial"/>
                <w:color w:val="auto"/>
                <w:spacing w:val="10"/>
                <w:sz w:val="21"/>
                <w:szCs w:val="21"/>
              </w:rPr>
              <w:t>463</w:t>
            </w:r>
          </w:p>
        </w:tc>
        <w:tc>
          <w:tcPr>
            <w:tcW w:w="1945" w:type="dxa"/>
            <w:gridSpan w:val="3"/>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爆炸下限(v%)</w:t>
            </w:r>
          </w:p>
        </w:tc>
        <w:tc>
          <w:tcPr>
            <w:tcW w:w="3002" w:type="dxa"/>
            <w:gridSpan w:val="4"/>
            <w:vAlign w:val="center"/>
          </w:tcPr>
          <w:p>
            <w:pPr>
              <w:spacing w:line="360" w:lineRule="auto"/>
              <w:jc w:val="center"/>
              <w:rPr>
                <w:rFonts w:ascii="宋体" w:hAnsi="宋体" w:eastAsia="宋体" w:cs="Arial"/>
                <w:color w:val="auto"/>
                <w:spacing w:val="10"/>
                <w:sz w:val="21"/>
                <w:szCs w:val="21"/>
              </w:rPr>
            </w:pPr>
            <w:r>
              <w:rPr>
                <w:rFonts w:hint="eastAsia" w:ascii="宋体" w:hAnsi="宋体" w:eastAsia="宋体" w:cs="Arial"/>
                <w:color w:val="auto"/>
                <w:spacing w:val="10"/>
                <w:sz w:val="21"/>
                <w:szCs w:val="21"/>
              </w:rPr>
              <w:t>1</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55" w:type="dxa"/>
            <w:vMerge w:val="continue"/>
            <w:vAlign w:val="center"/>
          </w:tcPr>
          <w:p>
            <w:pPr>
              <w:widowControl/>
              <w:spacing w:line="360" w:lineRule="auto"/>
              <w:rPr>
                <w:rFonts w:ascii="宋体" w:hAnsi="宋体" w:eastAsia="宋体" w:cs="Arial"/>
                <w:color w:val="auto"/>
                <w:spacing w:val="10"/>
                <w:sz w:val="21"/>
                <w:szCs w:val="21"/>
              </w:rPr>
            </w:pPr>
          </w:p>
        </w:tc>
        <w:tc>
          <w:tcPr>
            <w:tcW w:w="1713" w:type="dxa"/>
            <w:vAlign w:val="center"/>
          </w:tcPr>
          <w:p>
            <w:pPr>
              <w:spacing w:line="360" w:lineRule="auto"/>
              <w:jc w:val="center"/>
              <w:rPr>
                <w:rFonts w:ascii="宋体" w:hAnsi="宋体" w:eastAsia="宋体"/>
                <w:color w:val="auto"/>
                <w:spacing w:val="10"/>
                <w:sz w:val="21"/>
                <w:szCs w:val="21"/>
              </w:rPr>
            </w:pPr>
            <w:r>
              <w:rPr>
                <w:rFonts w:hint="eastAsia" w:ascii="宋体" w:hAnsi="宋体" w:eastAsia="宋体"/>
                <w:color w:val="auto"/>
                <w:spacing w:val="10"/>
                <w:sz w:val="21"/>
                <w:szCs w:val="21"/>
              </w:rPr>
              <w:t>建规火险分级</w:t>
            </w:r>
          </w:p>
        </w:tc>
        <w:tc>
          <w:tcPr>
            <w:tcW w:w="1407" w:type="dxa"/>
            <w:gridSpan w:val="3"/>
            <w:vAlign w:val="center"/>
          </w:tcPr>
          <w:p>
            <w:pPr>
              <w:spacing w:line="360" w:lineRule="auto"/>
              <w:jc w:val="center"/>
              <w:rPr>
                <w:rFonts w:ascii="宋体" w:hAnsi="宋体" w:eastAsia="宋体"/>
                <w:color w:val="auto"/>
                <w:spacing w:val="10"/>
                <w:sz w:val="21"/>
                <w:szCs w:val="21"/>
              </w:rPr>
            </w:pPr>
            <w:r>
              <w:rPr>
                <w:rFonts w:hint="eastAsia" w:ascii="宋体" w:hAnsi="宋体" w:eastAsia="宋体"/>
                <w:color w:val="auto"/>
                <w:spacing w:val="10"/>
                <w:sz w:val="21"/>
                <w:szCs w:val="21"/>
              </w:rPr>
              <w:t>乙</w:t>
            </w:r>
          </w:p>
        </w:tc>
        <w:tc>
          <w:tcPr>
            <w:tcW w:w="972" w:type="dxa"/>
            <w:vAlign w:val="center"/>
          </w:tcPr>
          <w:p>
            <w:pPr>
              <w:spacing w:line="360" w:lineRule="auto"/>
              <w:jc w:val="center"/>
              <w:rPr>
                <w:rFonts w:ascii="宋体" w:hAnsi="宋体" w:eastAsia="宋体"/>
                <w:color w:val="auto"/>
                <w:spacing w:val="10"/>
                <w:sz w:val="21"/>
                <w:szCs w:val="21"/>
              </w:rPr>
            </w:pPr>
            <w:r>
              <w:rPr>
                <w:rFonts w:hint="eastAsia" w:ascii="宋体" w:hAnsi="宋体" w:eastAsia="宋体"/>
                <w:color w:val="auto"/>
                <w:spacing w:val="10"/>
                <w:sz w:val="21"/>
                <w:szCs w:val="21"/>
              </w:rPr>
              <w:t>稳定性</w:t>
            </w:r>
          </w:p>
        </w:tc>
        <w:tc>
          <w:tcPr>
            <w:tcW w:w="973" w:type="dxa"/>
            <w:gridSpan w:val="2"/>
            <w:vAlign w:val="center"/>
          </w:tcPr>
          <w:p>
            <w:pPr>
              <w:spacing w:line="360" w:lineRule="auto"/>
              <w:jc w:val="center"/>
              <w:rPr>
                <w:rFonts w:ascii="宋体" w:hAnsi="宋体" w:eastAsia="宋体"/>
                <w:color w:val="auto"/>
                <w:spacing w:val="10"/>
                <w:sz w:val="21"/>
                <w:szCs w:val="21"/>
              </w:rPr>
            </w:pPr>
            <w:r>
              <w:rPr>
                <w:rFonts w:hint="eastAsia" w:ascii="宋体" w:hAnsi="宋体" w:eastAsia="宋体"/>
                <w:color w:val="auto"/>
                <w:spacing w:val="10"/>
                <w:sz w:val="21"/>
                <w:szCs w:val="21"/>
              </w:rPr>
              <w:t>稳定</w:t>
            </w:r>
          </w:p>
        </w:tc>
        <w:tc>
          <w:tcPr>
            <w:tcW w:w="1499" w:type="dxa"/>
            <w:gridSpan w:val="2"/>
            <w:vAlign w:val="center"/>
          </w:tcPr>
          <w:p>
            <w:pPr>
              <w:spacing w:line="360" w:lineRule="auto"/>
              <w:jc w:val="center"/>
              <w:rPr>
                <w:rFonts w:ascii="宋体" w:hAnsi="宋体" w:eastAsia="宋体"/>
                <w:color w:val="auto"/>
                <w:spacing w:val="10"/>
                <w:sz w:val="21"/>
                <w:szCs w:val="21"/>
              </w:rPr>
            </w:pPr>
            <w:r>
              <w:rPr>
                <w:rFonts w:hint="eastAsia" w:ascii="宋体" w:hAnsi="宋体" w:eastAsia="宋体"/>
                <w:color w:val="auto"/>
                <w:spacing w:val="10"/>
                <w:sz w:val="21"/>
                <w:szCs w:val="21"/>
              </w:rPr>
              <w:t>聚合危害</w:t>
            </w:r>
          </w:p>
        </w:tc>
        <w:tc>
          <w:tcPr>
            <w:tcW w:w="1503" w:type="dxa"/>
            <w:gridSpan w:val="2"/>
            <w:vAlign w:val="center"/>
          </w:tcPr>
          <w:p>
            <w:pPr>
              <w:spacing w:line="360" w:lineRule="auto"/>
              <w:jc w:val="center"/>
              <w:rPr>
                <w:rFonts w:ascii="宋体" w:hAnsi="宋体" w:eastAsia="宋体"/>
                <w:color w:val="auto"/>
                <w:spacing w:val="10"/>
                <w:sz w:val="21"/>
                <w:szCs w:val="21"/>
              </w:rPr>
            </w:pPr>
            <w:r>
              <w:rPr>
                <w:rFonts w:hint="eastAsia" w:ascii="宋体" w:hAnsi="宋体" w:eastAsia="宋体"/>
                <w:color w:val="auto"/>
                <w:spacing w:val="10"/>
                <w:sz w:val="21"/>
                <w:szCs w:val="21"/>
              </w:rPr>
              <w:t>不聚合</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55" w:type="dxa"/>
            <w:vMerge w:val="continue"/>
            <w:vAlign w:val="center"/>
          </w:tcPr>
          <w:p>
            <w:pPr>
              <w:widowControl/>
              <w:spacing w:line="360" w:lineRule="auto"/>
              <w:rPr>
                <w:rFonts w:ascii="宋体" w:hAnsi="宋体" w:eastAsia="宋体" w:cs="Arial"/>
                <w:color w:val="auto"/>
                <w:spacing w:val="10"/>
                <w:sz w:val="21"/>
                <w:szCs w:val="21"/>
              </w:rPr>
            </w:pPr>
          </w:p>
        </w:tc>
        <w:tc>
          <w:tcPr>
            <w:tcW w:w="1713" w:type="dxa"/>
            <w:vAlign w:val="center"/>
          </w:tcPr>
          <w:p>
            <w:pPr>
              <w:spacing w:line="360" w:lineRule="auto"/>
              <w:jc w:val="center"/>
              <w:rPr>
                <w:rFonts w:ascii="宋体" w:hAnsi="宋体" w:eastAsia="宋体"/>
                <w:color w:val="auto"/>
                <w:spacing w:val="10"/>
                <w:sz w:val="21"/>
                <w:szCs w:val="21"/>
              </w:rPr>
            </w:pPr>
            <w:r>
              <w:rPr>
                <w:rFonts w:hint="eastAsia" w:ascii="宋体" w:hAnsi="宋体" w:eastAsia="宋体"/>
                <w:color w:val="auto"/>
                <w:spacing w:val="10"/>
                <w:sz w:val="21"/>
                <w:szCs w:val="21"/>
              </w:rPr>
              <w:t>禁忌物</w:t>
            </w:r>
          </w:p>
        </w:tc>
        <w:tc>
          <w:tcPr>
            <w:tcW w:w="6354" w:type="dxa"/>
            <w:gridSpan w:val="10"/>
            <w:vAlign w:val="center"/>
          </w:tcPr>
          <w:p>
            <w:pPr>
              <w:spacing w:line="360" w:lineRule="auto"/>
              <w:rPr>
                <w:rFonts w:ascii="宋体" w:hAnsi="宋体" w:eastAsia="宋体"/>
                <w:color w:val="auto"/>
                <w:spacing w:val="10"/>
                <w:sz w:val="21"/>
                <w:szCs w:val="21"/>
              </w:rPr>
            </w:pPr>
            <w:r>
              <w:rPr>
                <w:rFonts w:ascii="宋体" w:hAnsi="宋体" w:eastAsia="宋体"/>
                <w:color w:val="auto"/>
                <w:sz w:val="21"/>
                <w:szCs w:val="21"/>
              </w:rPr>
              <w:t>强氧化剂</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55" w:type="dxa"/>
            <w:vMerge w:val="continue"/>
            <w:vAlign w:val="center"/>
          </w:tcPr>
          <w:p>
            <w:pPr>
              <w:widowControl/>
              <w:spacing w:line="360" w:lineRule="auto"/>
              <w:rPr>
                <w:rFonts w:ascii="宋体" w:hAnsi="宋体" w:eastAsia="宋体" w:cs="Arial"/>
                <w:color w:val="auto"/>
                <w:spacing w:val="10"/>
                <w:sz w:val="21"/>
                <w:szCs w:val="21"/>
              </w:rPr>
            </w:pPr>
          </w:p>
        </w:tc>
        <w:tc>
          <w:tcPr>
            <w:tcW w:w="1713" w:type="dxa"/>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危险特性</w:t>
            </w:r>
          </w:p>
        </w:tc>
        <w:tc>
          <w:tcPr>
            <w:tcW w:w="6354" w:type="dxa"/>
            <w:gridSpan w:val="10"/>
            <w:vAlign w:val="center"/>
          </w:tcPr>
          <w:p>
            <w:pPr>
              <w:spacing w:line="360" w:lineRule="auto"/>
              <w:rPr>
                <w:rFonts w:ascii="宋体" w:hAnsi="宋体" w:eastAsia="宋体" w:cs="Arial"/>
                <w:color w:val="auto"/>
                <w:spacing w:val="10"/>
                <w:sz w:val="21"/>
                <w:szCs w:val="21"/>
              </w:rPr>
            </w:pPr>
            <w:r>
              <w:rPr>
                <w:rFonts w:hint="eastAsia" w:ascii="宋体" w:hAnsi="宋体" w:eastAsia="宋体"/>
                <w:color w:val="auto"/>
                <w:sz w:val="21"/>
                <w:szCs w:val="21"/>
              </w:rPr>
              <w:t>易燃，其蒸气与空气可形成爆炸性混合物，遇明火、高热能引起燃烧爆炸。与氧化剂能发生强烈反应。其蒸气比空气重，能在较低处扩散到相当元的地方，遇火源会着火回燃。</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55" w:type="dxa"/>
            <w:vMerge w:val="continue"/>
            <w:vAlign w:val="center"/>
          </w:tcPr>
          <w:p>
            <w:pPr>
              <w:widowControl/>
              <w:spacing w:line="360" w:lineRule="auto"/>
              <w:rPr>
                <w:rFonts w:ascii="宋体" w:hAnsi="宋体" w:eastAsia="宋体" w:cs="Arial"/>
                <w:color w:val="auto"/>
                <w:spacing w:val="10"/>
                <w:sz w:val="21"/>
                <w:szCs w:val="21"/>
              </w:rPr>
            </w:pPr>
          </w:p>
        </w:tc>
        <w:tc>
          <w:tcPr>
            <w:tcW w:w="1713" w:type="dxa"/>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储运条件</w:t>
            </w:r>
          </w:p>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与泄漏处理</w:t>
            </w:r>
          </w:p>
        </w:tc>
        <w:tc>
          <w:tcPr>
            <w:tcW w:w="6354" w:type="dxa"/>
            <w:gridSpan w:val="10"/>
            <w:vAlign w:val="center"/>
          </w:tcPr>
          <w:p>
            <w:pPr>
              <w:spacing w:line="360" w:lineRule="auto"/>
              <w:rPr>
                <w:rFonts w:ascii="宋体" w:hAnsi="宋体" w:eastAsia="宋体"/>
                <w:color w:val="auto"/>
                <w:sz w:val="21"/>
                <w:szCs w:val="21"/>
              </w:rPr>
            </w:pPr>
            <w:r>
              <w:rPr>
                <w:rFonts w:ascii="宋体" w:hAnsi="宋体" w:eastAsia="宋体" w:cs="Arial"/>
                <w:b/>
                <w:color w:val="auto"/>
                <w:spacing w:val="4"/>
                <w:sz w:val="21"/>
                <w:szCs w:val="21"/>
              </w:rPr>
              <w:t>储运条件</w:t>
            </w:r>
            <w:r>
              <w:rPr>
                <w:rFonts w:ascii="宋体" w:hAnsi="宋体" w:eastAsia="宋体" w:cs="Arial"/>
                <w:color w:val="auto"/>
                <w:spacing w:val="4"/>
                <w:sz w:val="21"/>
                <w:szCs w:val="21"/>
              </w:rPr>
              <w:t>：</w:t>
            </w:r>
            <w:r>
              <w:rPr>
                <w:rFonts w:hint="eastAsia" w:ascii="宋体" w:hAnsi="宋体" w:eastAsia="宋体"/>
                <w:color w:val="auto"/>
                <w:sz w:val="21"/>
                <w:szCs w:val="21"/>
              </w:rPr>
              <w:t>宜贮存于阴凉通风，干燥的库房内，远离热源或火源。库温不宜超过30℃，保持容器密封。应与氧化剂分开存放，切忌混储。采用防爆型照明、通风设施。禁止使用易产生火花的机械设备和工具。储区应备有泄漏应急处理设备和合适的收容材料。</w:t>
            </w:r>
          </w:p>
          <w:p>
            <w:pPr>
              <w:spacing w:line="360" w:lineRule="auto"/>
              <w:rPr>
                <w:rFonts w:ascii="宋体" w:hAnsi="宋体" w:eastAsia="宋体" w:cs="Arial"/>
                <w:color w:val="auto"/>
                <w:spacing w:val="4"/>
                <w:sz w:val="21"/>
                <w:szCs w:val="21"/>
              </w:rPr>
            </w:pPr>
            <w:r>
              <w:rPr>
                <w:rFonts w:ascii="宋体" w:hAnsi="宋体" w:eastAsia="宋体" w:cs="Arial"/>
                <w:b/>
                <w:color w:val="auto"/>
                <w:spacing w:val="4"/>
                <w:sz w:val="21"/>
                <w:szCs w:val="21"/>
              </w:rPr>
              <w:t>泄漏处理</w:t>
            </w:r>
            <w:r>
              <w:rPr>
                <w:rFonts w:ascii="宋体" w:hAnsi="宋体" w:eastAsia="宋体" w:cs="Arial"/>
                <w:color w:val="auto"/>
                <w:spacing w:val="4"/>
                <w:sz w:val="21"/>
                <w:szCs w:val="21"/>
              </w:rPr>
              <w:t>：</w:t>
            </w:r>
            <w:r>
              <w:rPr>
                <w:rFonts w:hint="eastAsia" w:ascii="宋体" w:hAnsi="宋体" w:eastAsia="宋体"/>
                <w:color w:val="auto"/>
                <w:sz w:val="21"/>
                <w:szCs w:val="21"/>
              </w:rPr>
              <w:t>迅速撤离泄漏污染区人员至安全区，并进行隔离，严格限制出入。切断火源。建议应急处理人员戴自给正压式呼吸器，穿防毒服。尽可能切断泄漏源。防止流入下水道、排洪沟等限制性空间。小量泄漏：用沙土或其它不燃材料吸收。大量泄漏：构筑围堤或挖坑收容。用防爆泵转移至槽车或专用收集器内，回收或运至废物处理所处置。</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55" w:type="dxa"/>
            <w:vMerge w:val="continue"/>
            <w:vAlign w:val="center"/>
          </w:tcPr>
          <w:p>
            <w:pPr>
              <w:widowControl/>
              <w:spacing w:line="360" w:lineRule="auto"/>
              <w:rPr>
                <w:rFonts w:ascii="宋体" w:hAnsi="宋体" w:eastAsia="宋体" w:cs="Arial"/>
                <w:color w:val="auto"/>
                <w:spacing w:val="10"/>
                <w:sz w:val="21"/>
                <w:szCs w:val="21"/>
              </w:rPr>
            </w:pPr>
          </w:p>
        </w:tc>
        <w:tc>
          <w:tcPr>
            <w:tcW w:w="1713" w:type="dxa"/>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灭火方法</w:t>
            </w:r>
          </w:p>
        </w:tc>
        <w:tc>
          <w:tcPr>
            <w:tcW w:w="6354" w:type="dxa"/>
            <w:gridSpan w:val="10"/>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z w:val="21"/>
                <w:szCs w:val="21"/>
              </w:rPr>
              <w:t>灭火剂：抗溶性泡沫、二氧化碳、干粉、砂土。用水灭火无效，但可用水保持火场中容器冷却。</w:t>
            </w:r>
          </w:p>
        </w:tc>
      </w:tr>
    </w:tbl>
    <w:p>
      <w:pPr>
        <w:spacing w:line="560" w:lineRule="exact"/>
        <w:jc w:val="center"/>
        <w:outlineLvl w:val="2"/>
        <w:rPr>
          <w:rFonts w:ascii="宋体" w:hAnsi="宋体" w:eastAsia="宋体" w:cs="Times New Roman"/>
          <w:b/>
          <w:bCs/>
          <w:color w:val="auto"/>
          <w:kern w:val="2"/>
          <w:lang w:val="en-US" w:eastAsia="zh-CN" w:bidi="ar-SA"/>
        </w:rPr>
      </w:pPr>
      <w:r>
        <w:rPr>
          <w:rFonts w:hint="eastAsia" w:ascii="宋体" w:hAnsi="宋体" w:eastAsia="宋体" w:cs="Times New Roman"/>
          <w:b/>
          <w:bCs/>
          <w:color w:val="auto"/>
          <w:kern w:val="2"/>
          <w:lang w:val="en-US" w:eastAsia="zh-CN" w:bidi="ar-SA"/>
        </w:rPr>
        <w:t>附表1-14硝化纤维素溶液</w:t>
      </w:r>
      <w:r>
        <w:rPr>
          <w:rFonts w:ascii="宋体" w:hAnsi="宋体" w:eastAsia="宋体" w:cs="Times New Roman"/>
          <w:b/>
          <w:bCs/>
          <w:color w:val="auto"/>
          <w:kern w:val="2"/>
          <w:lang w:val="en-US" w:eastAsia="zh-CN" w:bidi="ar-SA"/>
        </w:rPr>
        <w:t>的理化性质及危险特性</w:t>
      </w:r>
      <w:bookmarkEnd w:id="169"/>
    </w:p>
    <w:tbl>
      <w:tblPr>
        <w:tblStyle w:val="45"/>
        <w:tblW w:w="5000" w:type="pct"/>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503"/>
        <w:gridCol w:w="1888"/>
        <w:gridCol w:w="931"/>
        <w:gridCol w:w="257"/>
        <w:gridCol w:w="363"/>
        <w:gridCol w:w="1071"/>
        <w:gridCol w:w="325"/>
        <w:gridCol w:w="747"/>
        <w:gridCol w:w="243"/>
        <w:gridCol w:w="1410"/>
        <w:gridCol w:w="726"/>
        <w:gridCol w:w="930"/>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rPr>
          <w:trHeight w:val="510" w:hRule="atLeast"/>
          <w:jc w:val="center"/>
        </w:trPr>
        <w:tc>
          <w:tcPr>
            <w:tcW w:w="455" w:type="dxa"/>
            <w:vMerge w:val="restart"/>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标</w:t>
            </w:r>
          </w:p>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识</w:t>
            </w:r>
          </w:p>
        </w:tc>
        <w:tc>
          <w:tcPr>
            <w:tcW w:w="5285" w:type="dxa"/>
            <w:gridSpan w:val="8"/>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中文名：</w:t>
            </w:r>
            <w:r>
              <w:rPr>
                <w:rStyle w:val="245"/>
                <w:rFonts w:hint="default"/>
                <w:color w:val="auto"/>
                <w:sz w:val="21"/>
                <w:szCs w:val="21"/>
              </w:rPr>
              <w:t>硝化纤维素溶液（含氮量≤12.6%，含硝化纤维素≤55%），硝化棉溶液</w:t>
            </w:r>
          </w:p>
        </w:tc>
        <w:tc>
          <w:tcPr>
            <w:tcW w:w="2782" w:type="dxa"/>
            <w:gridSpan w:val="3"/>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危险化学品序号：</w:t>
            </w:r>
            <w:r>
              <w:rPr>
                <w:rFonts w:hint="eastAsia" w:ascii="宋体" w:hAnsi="宋体" w:eastAsia="宋体" w:cs="Arial"/>
                <w:color w:val="auto"/>
                <w:sz w:val="21"/>
                <w:szCs w:val="21"/>
              </w:rPr>
              <w:t>2208</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55" w:type="dxa"/>
            <w:vMerge w:val="continue"/>
            <w:vAlign w:val="center"/>
          </w:tcPr>
          <w:p>
            <w:pPr>
              <w:widowControl/>
              <w:spacing w:line="360" w:lineRule="auto"/>
              <w:rPr>
                <w:rFonts w:ascii="宋体" w:hAnsi="宋体" w:eastAsia="宋体" w:cs="Arial"/>
                <w:color w:val="auto"/>
                <w:spacing w:val="10"/>
                <w:sz w:val="21"/>
                <w:szCs w:val="21"/>
              </w:rPr>
            </w:pPr>
          </w:p>
        </w:tc>
        <w:tc>
          <w:tcPr>
            <w:tcW w:w="5285" w:type="dxa"/>
            <w:gridSpan w:val="8"/>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英文名：</w:t>
            </w:r>
            <w:r>
              <w:rPr>
                <w:rStyle w:val="245"/>
                <w:rFonts w:hint="default"/>
                <w:color w:val="auto"/>
                <w:sz w:val="21"/>
                <w:szCs w:val="21"/>
              </w:rPr>
              <w:t>Nitrocellulose；Cellulose nitrate</w:t>
            </w:r>
          </w:p>
        </w:tc>
        <w:tc>
          <w:tcPr>
            <w:tcW w:w="2782" w:type="dxa"/>
            <w:gridSpan w:val="3"/>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UN编号：</w:t>
            </w:r>
            <w:r>
              <w:rPr>
                <w:rFonts w:hint="eastAsia" w:ascii="宋体" w:hAnsi="宋体" w:eastAsia="宋体" w:cs="Arial"/>
                <w:color w:val="auto"/>
                <w:spacing w:val="10"/>
                <w:sz w:val="21"/>
                <w:szCs w:val="21"/>
              </w:rPr>
              <w:t>2557</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rPr>
          <w:trHeight w:val="510" w:hRule="atLeast"/>
          <w:jc w:val="center"/>
        </w:trPr>
        <w:tc>
          <w:tcPr>
            <w:tcW w:w="455" w:type="dxa"/>
            <w:vMerge w:val="continue"/>
            <w:vAlign w:val="center"/>
          </w:tcPr>
          <w:p>
            <w:pPr>
              <w:widowControl/>
              <w:spacing w:line="360" w:lineRule="auto"/>
              <w:rPr>
                <w:rFonts w:ascii="宋体" w:hAnsi="宋体" w:eastAsia="宋体" w:cs="Arial"/>
                <w:color w:val="auto"/>
                <w:spacing w:val="10"/>
                <w:sz w:val="21"/>
                <w:szCs w:val="21"/>
              </w:rPr>
            </w:pPr>
          </w:p>
        </w:tc>
        <w:tc>
          <w:tcPr>
            <w:tcW w:w="2791" w:type="dxa"/>
            <w:gridSpan w:val="3"/>
            <w:vAlign w:val="center"/>
          </w:tcPr>
          <w:p>
            <w:pPr>
              <w:spacing w:line="360" w:lineRule="auto"/>
              <w:ind w:left="880" w:hanging="920" w:hangingChars="400"/>
              <w:rPr>
                <w:rFonts w:ascii="宋体" w:hAnsi="宋体" w:eastAsia="宋体" w:cs="Arial"/>
                <w:color w:val="auto"/>
                <w:spacing w:val="10"/>
                <w:sz w:val="21"/>
                <w:szCs w:val="21"/>
              </w:rPr>
            </w:pPr>
            <w:r>
              <w:rPr>
                <w:rFonts w:ascii="宋体" w:hAnsi="宋体" w:eastAsia="宋体" w:cs="Arial"/>
                <w:color w:val="auto"/>
                <w:spacing w:val="10"/>
                <w:sz w:val="21"/>
                <w:szCs w:val="21"/>
              </w:rPr>
              <w:t>分子式：</w:t>
            </w:r>
            <w:r>
              <w:rPr>
                <w:rFonts w:hint="eastAsia" w:ascii="宋体" w:hAnsi="宋体" w:eastAsia="宋体" w:cs="Arial"/>
                <w:color w:val="auto"/>
                <w:spacing w:val="10"/>
                <w:sz w:val="21"/>
                <w:szCs w:val="21"/>
              </w:rPr>
              <w:t>/</w:t>
            </w:r>
          </w:p>
        </w:tc>
        <w:tc>
          <w:tcPr>
            <w:tcW w:w="2494" w:type="dxa"/>
            <w:gridSpan w:val="5"/>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分子量：</w:t>
            </w:r>
            <w:r>
              <w:rPr>
                <w:rFonts w:hint="eastAsia" w:ascii="宋体" w:hAnsi="宋体" w:eastAsia="宋体" w:cs="Arial"/>
                <w:color w:val="auto"/>
                <w:spacing w:val="10"/>
                <w:sz w:val="21"/>
                <w:szCs w:val="21"/>
              </w:rPr>
              <w:t>/</w:t>
            </w:r>
          </w:p>
        </w:tc>
        <w:tc>
          <w:tcPr>
            <w:tcW w:w="2782" w:type="dxa"/>
            <w:gridSpan w:val="3"/>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CAS号：</w:t>
            </w:r>
            <w:r>
              <w:rPr>
                <w:rFonts w:hint="eastAsia" w:ascii="宋体" w:hAnsi="宋体" w:eastAsia="宋体" w:cs="Arial"/>
                <w:color w:val="auto"/>
                <w:spacing w:val="10"/>
                <w:sz w:val="21"/>
                <w:szCs w:val="21"/>
              </w:rPr>
              <w:t>9004-70-0</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55" w:type="dxa"/>
            <w:vMerge w:val="restart"/>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理化性质</w:t>
            </w:r>
          </w:p>
        </w:tc>
        <w:tc>
          <w:tcPr>
            <w:tcW w:w="1713" w:type="dxa"/>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外观与性状</w:t>
            </w:r>
          </w:p>
        </w:tc>
        <w:tc>
          <w:tcPr>
            <w:tcW w:w="6354" w:type="dxa"/>
            <w:gridSpan w:val="10"/>
            <w:vAlign w:val="center"/>
          </w:tcPr>
          <w:p>
            <w:pPr>
              <w:spacing w:line="360" w:lineRule="auto"/>
              <w:rPr>
                <w:rFonts w:ascii="宋体" w:hAnsi="宋体" w:eastAsia="宋体" w:cs="Arial"/>
                <w:color w:val="auto"/>
                <w:spacing w:val="10"/>
                <w:sz w:val="21"/>
                <w:szCs w:val="21"/>
              </w:rPr>
            </w:pPr>
            <w:r>
              <w:rPr>
                <w:rStyle w:val="245"/>
                <w:rFonts w:hint="default"/>
                <w:color w:val="auto"/>
                <w:sz w:val="21"/>
                <w:szCs w:val="21"/>
              </w:rPr>
              <w:t>无色至淡黄色糖浆状液体。有乙醚的气味。为硝化纤维素溶于醚和乙醇的混合物。</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55" w:type="dxa"/>
            <w:vMerge w:val="continue"/>
            <w:vAlign w:val="center"/>
          </w:tcPr>
          <w:p>
            <w:pPr>
              <w:widowControl/>
              <w:spacing w:line="360" w:lineRule="auto"/>
              <w:rPr>
                <w:rFonts w:ascii="宋体" w:hAnsi="宋体" w:eastAsia="宋体" w:cs="Arial"/>
                <w:color w:val="auto"/>
                <w:spacing w:val="10"/>
                <w:sz w:val="21"/>
                <w:szCs w:val="21"/>
              </w:rPr>
            </w:pPr>
          </w:p>
        </w:tc>
        <w:tc>
          <w:tcPr>
            <w:tcW w:w="1713" w:type="dxa"/>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熔点(℃)</w:t>
            </w:r>
          </w:p>
        </w:tc>
        <w:tc>
          <w:tcPr>
            <w:tcW w:w="845" w:type="dxa"/>
            <w:vAlign w:val="center"/>
          </w:tcPr>
          <w:p>
            <w:pPr>
              <w:spacing w:line="360" w:lineRule="auto"/>
              <w:jc w:val="center"/>
              <w:rPr>
                <w:rFonts w:ascii="宋体" w:hAnsi="宋体" w:eastAsia="宋体" w:cs="Arial"/>
                <w:color w:val="auto"/>
                <w:spacing w:val="10"/>
                <w:sz w:val="21"/>
                <w:szCs w:val="21"/>
              </w:rPr>
            </w:pPr>
            <w:r>
              <w:rPr>
                <w:rFonts w:hint="eastAsia" w:ascii="宋体" w:hAnsi="宋体" w:eastAsia="宋体" w:cs="Arial"/>
                <w:color w:val="auto"/>
                <w:sz w:val="21"/>
                <w:szCs w:val="21"/>
              </w:rPr>
              <w:t>/</w:t>
            </w:r>
          </w:p>
        </w:tc>
        <w:tc>
          <w:tcPr>
            <w:tcW w:w="1829" w:type="dxa"/>
            <w:gridSpan w:val="4"/>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相对密度(水=1)</w:t>
            </w:r>
          </w:p>
        </w:tc>
        <w:tc>
          <w:tcPr>
            <w:tcW w:w="898" w:type="dxa"/>
            <w:gridSpan w:val="2"/>
            <w:vAlign w:val="center"/>
          </w:tcPr>
          <w:p>
            <w:pPr>
              <w:spacing w:line="360" w:lineRule="auto"/>
              <w:jc w:val="center"/>
              <w:rPr>
                <w:rFonts w:ascii="宋体" w:hAnsi="宋体" w:eastAsia="宋体" w:cs="Arial"/>
                <w:color w:val="auto"/>
                <w:spacing w:val="10"/>
                <w:sz w:val="21"/>
                <w:szCs w:val="21"/>
              </w:rPr>
            </w:pPr>
            <w:r>
              <w:rPr>
                <w:rFonts w:hint="eastAsia" w:ascii="宋体" w:hAnsi="宋体" w:eastAsia="宋体" w:cs="Arial"/>
                <w:color w:val="auto"/>
                <w:spacing w:val="10"/>
                <w:sz w:val="21"/>
                <w:szCs w:val="21"/>
              </w:rPr>
              <w:t>/</w:t>
            </w:r>
          </w:p>
        </w:tc>
        <w:tc>
          <w:tcPr>
            <w:tcW w:w="1938" w:type="dxa"/>
            <w:gridSpan w:val="2"/>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相对密度(空气=1)</w:t>
            </w:r>
          </w:p>
        </w:tc>
        <w:tc>
          <w:tcPr>
            <w:tcW w:w="844" w:type="dxa"/>
            <w:vAlign w:val="center"/>
          </w:tcPr>
          <w:p>
            <w:pPr>
              <w:spacing w:line="360" w:lineRule="auto"/>
              <w:jc w:val="center"/>
              <w:rPr>
                <w:rFonts w:ascii="宋体" w:hAnsi="宋体" w:eastAsia="宋体" w:cs="Arial"/>
                <w:color w:val="auto"/>
                <w:spacing w:val="10"/>
                <w:sz w:val="21"/>
                <w:szCs w:val="21"/>
              </w:rPr>
            </w:pPr>
            <w:r>
              <w:rPr>
                <w:rFonts w:hint="eastAsia" w:ascii="宋体" w:hAnsi="宋体" w:eastAsia="宋体" w:cs="Arial"/>
                <w:color w:val="auto"/>
                <w:sz w:val="21"/>
                <w:szCs w:val="21"/>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55" w:type="dxa"/>
            <w:vMerge w:val="continue"/>
            <w:vAlign w:val="center"/>
          </w:tcPr>
          <w:p>
            <w:pPr>
              <w:widowControl/>
              <w:spacing w:line="360" w:lineRule="auto"/>
              <w:rPr>
                <w:rFonts w:ascii="宋体" w:hAnsi="宋体" w:eastAsia="宋体" w:cs="Arial"/>
                <w:color w:val="auto"/>
                <w:spacing w:val="10"/>
                <w:sz w:val="21"/>
                <w:szCs w:val="21"/>
              </w:rPr>
            </w:pPr>
          </w:p>
        </w:tc>
        <w:tc>
          <w:tcPr>
            <w:tcW w:w="1713" w:type="dxa"/>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沸点(℃)</w:t>
            </w:r>
          </w:p>
        </w:tc>
        <w:tc>
          <w:tcPr>
            <w:tcW w:w="845" w:type="dxa"/>
            <w:vAlign w:val="center"/>
          </w:tcPr>
          <w:p>
            <w:pPr>
              <w:spacing w:line="360" w:lineRule="auto"/>
              <w:jc w:val="center"/>
              <w:rPr>
                <w:rFonts w:ascii="宋体" w:hAnsi="宋体" w:eastAsia="宋体" w:cs="Arial"/>
                <w:color w:val="auto"/>
                <w:spacing w:val="10"/>
                <w:sz w:val="21"/>
                <w:szCs w:val="21"/>
              </w:rPr>
            </w:pPr>
            <w:r>
              <w:rPr>
                <w:rFonts w:hint="eastAsia" w:ascii="宋体" w:hAnsi="宋体" w:eastAsia="宋体" w:cs="Arial"/>
                <w:color w:val="auto"/>
                <w:spacing w:val="10"/>
                <w:sz w:val="21"/>
                <w:szCs w:val="21"/>
              </w:rPr>
              <w:t>/</w:t>
            </w:r>
          </w:p>
        </w:tc>
        <w:tc>
          <w:tcPr>
            <w:tcW w:w="2727" w:type="dxa"/>
            <w:gridSpan w:val="6"/>
            <w:vAlign w:val="center"/>
          </w:tcPr>
          <w:p>
            <w:pPr>
              <w:spacing w:line="360" w:lineRule="auto"/>
              <w:ind w:left="-40"/>
              <w:jc w:val="center"/>
              <w:rPr>
                <w:rFonts w:ascii="宋体" w:hAnsi="宋体" w:eastAsia="宋体" w:cs="Arial"/>
                <w:color w:val="auto"/>
                <w:spacing w:val="10"/>
                <w:sz w:val="21"/>
                <w:szCs w:val="21"/>
              </w:rPr>
            </w:pPr>
            <w:r>
              <w:rPr>
                <w:rFonts w:ascii="宋体" w:hAnsi="宋体" w:eastAsia="宋体" w:cs="Arial"/>
                <w:color w:val="auto"/>
                <w:spacing w:val="10"/>
                <w:sz w:val="21"/>
                <w:szCs w:val="21"/>
              </w:rPr>
              <w:t>饱和蒸气压(kPa)</w:t>
            </w:r>
          </w:p>
        </w:tc>
        <w:tc>
          <w:tcPr>
            <w:tcW w:w="2782" w:type="dxa"/>
            <w:gridSpan w:val="3"/>
            <w:vAlign w:val="center"/>
          </w:tcPr>
          <w:p>
            <w:pPr>
              <w:spacing w:line="360" w:lineRule="auto"/>
              <w:jc w:val="center"/>
              <w:rPr>
                <w:rFonts w:ascii="宋体" w:hAnsi="宋体" w:eastAsia="宋体" w:cs="Arial"/>
                <w:color w:val="auto"/>
                <w:spacing w:val="10"/>
                <w:sz w:val="21"/>
                <w:szCs w:val="21"/>
              </w:rPr>
            </w:pPr>
            <w:r>
              <w:rPr>
                <w:rFonts w:hint="eastAsia" w:ascii="宋体" w:hAnsi="宋体" w:eastAsia="宋体" w:cs="Arial"/>
                <w:color w:val="auto"/>
                <w:spacing w:val="10"/>
                <w:sz w:val="21"/>
                <w:szCs w:val="21"/>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89" w:hRule="atLeast"/>
          <w:jc w:val="center"/>
        </w:trPr>
        <w:tc>
          <w:tcPr>
            <w:tcW w:w="455" w:type="dxa"/>
            <w:vMerge w:val="continue"/>
            <w:vAlign w:val="center"/>
          </w:tcPr>
          <w:p>
            <w:pPr>
              <w:widowControl/>
              <w:spacing w:line="360" w:lineRule="auto"/>
              <w:rPr>
                <w:rFonts w:ascii="宋体" w:hAnsi="宋体" w:eastAsia="宋体" w:cs="Arial"/>
                <w:color w:val="auto"/>
                <w:spacing w:val="10"/>
                <w:sz w:val="21"/>
                <w:szCs w:val="21"/>
              </w:rPr>
            </w:pPr>
          </w:p>
        </w:tc>
        <w:tc>
          <w:tcPr>
            <w:tcW w:w="1713" w:type="dxa"/>
            <w:tcBorders>
              <w:bottom w:val="single" w:color="auto" w:sz="4" w:space="0"/>
            </w:tcBorders>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溶解性</w:t>
            </w:r>
          </w:p>
        </w:tc>
        <w:tc>
          <w:tcPr>
            <w:tcW w:w="6354" w:type="dxa"/>
            <w:gridSpan w:val="10"/>
            <w:tcBorders>
              <w:bottom w:val="single" w:color="auto" w:sz="4" w:space="0"/>
            </w:tcBorders>
            <w:vAlign w:val="center"/>
          </w:tcPr>
          <w:p>
            <w:pPr>
              <w:spacing w:line="360" w:lineRule="auto"/>
              <w:rPr>
                <w:rFonts w:ascii="宋体" w:hAnsi="宋体" w:eastAsia="宋体" w:cs="Arial"/>
                <w:color w:val="auto"/>
                <w:spacing w:val="10"/>
                <w:sz w:val="21"/>
                <w:szCs w:val="21"/>
              </w:rPr>
            </w:pPr>
            <w:r>
              <w:rPr>
                <w:rStyle w:val="245"/>
                <w:rFonts w:hint="default"/>
                <w:color w:val="auto"/>
                <w:sz w:val="21"/>
                <w:szCs w:val="21"/>
              </w:rPr>
              <w:t>硝化纤维素含量不超过55%。不溶于水。易溶于醇、醚、酯及丙酮。</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07" w:hRule="atLeast"/>
          <w:jc w:val="center"/>
        </w:trPr>
        <w:tc>
          <w:tcPr>
            <w:tcW w:w="455" w:type="dxa"/>
            <w:vMerge w:val="continue"/>
            <w:vAlign w:val="center"/>
          </w:tcPr>
          <w:p>
            <w:pPr>
              <w:widowControl/>
              <w:spacing w:line="360" w:lineRule="auto"/>
              <w:rPr>
                <w:rFonts w:ascii="宋体" w:hAnsi="宋体" w:eastAsia="宋体" w:cs="Arial"/>
                <w:color w:val="auto"/>
                <w:spacing w:val="10"/>
                <w:sz w:val="21"/>
                <w:szCs w:val="21"/>
              </w:rPr>
            </w:pPr>
          </w:p>
        </w:tc>
        <w:tc>
          <w:tcPr>
            <w:tcW w:w="1713" w:type="dxa"/>
            <w:tcBorders>
              <w:top w:val="single" w:color="auto" w:sz="4" w:space="0"/>
            </w:tcBorders>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危害性类别</w:t>
            </w:r>
          </w:p>
        </w:tc>
        <w:tc>
          <w:tcPr>
            <w:tcW w:w="6354" w:type="dxa"/>
            <w:gridSpan w:val="10"/>
            <w:tcBorders>
              <w:top w:val="single" w:color="auto" w:sz="4" w:space="0"/>
            </w:tcBorders>
            <w:vAlign w:val="center"/>
          </w:tcPr>
          <w:p>
            <w:pPr>
              <w:widowControl/>
              <w:spacing w:line="360" w:lineRule="auto"/>
              <w:rPr>
                <w:rFonts w:ascii="宋体" w:hAnsi="宋体" w:eastAsia="宋体" w:cs="宋体"/>
                <w:color w:val="auto"/>
                <w:sz w:val="21"/>
                <w:szCs w:val="21"/>
              </w:rPr>
            </w:pPr>
            <w:r>
              <w:rPr>
                <w:rFonts w:ascii="宋体" w:hAnsi="宋体" w:eastAsia="宋体" w:cs="宋体"/>
                <w:color w:val="auto"/>
                <w:sz w:val="21"/>
                <w:szCs w:val="21"/>
              </w:rPr>
              <w:t>易燃液体,类别2</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55" w:type="dxa"/>
            <w:vMerge w:val="restart"/>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毒性及健康危害</w:t>
            </w:r>
          </w:p>
        </w:tc>
        <w:tc>
          <w:tcPr>
            <w:tcW w:w="1713" w:type="dxa"/>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侵入途径</w:t>
            </w:r>
          </w:p>
        </w:tc>
        <w:tc>
          <w:tcPr>
            <w:tcW w:w="6354" w:type="dxa"/>
            <w:gridSpan w:val="10"/>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吸入、食入、经皮吸收。</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rPr>
          <w:trHeight w:val="510" w:hRule="atLeast"/>
          <w:jc w:val="center"/>
        </w:trPr>
        <w:tc>
          <w:tcPr>
            <w:tcW w:w="455" w:type="dxa"/>
            <w:vMerge w:val="continue"/>
            <w:vAlign w:val="center"/>
          </w:tcPr>
          <w:p>
            <w:pPr>
              <w:widowControl/>
              <w:spacing w:line="360" w:lineRule="auto"/>
              <w:rPr>
                <w:rFonts w:ascii="宋体" w:hAnsi="宋体" w:eastAsia="宋体" w:cs="Arial"/>
                <w:color w:val="auto"/>
                <w:spacing w:val="10"/>
                <w:sz w:val="21"/>
                <w:szCs w:val="21"/>
              </w:rPr>
            </w:pPr>
          </w:p>
        </w:tc>
        <w:tc>
          <w:tcPr>
            <w:tcW w:w="1713" w:type="dxa"/>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毒性</w:t>
            </w:r>
          </w:p>
        </w:tc>
        <w:tc>
          <w:tcPr>
            <w:tcW w:w="6354" w:type="dxa"/>
            <w:gridSpan w:val="10"/>
            <w:vAlign w:val="center"/>
          </w:tcPr>
          <w:p>
            <w:pPr>
              <w:spacing w:line="360" w:lineRule="auto"/>
              <w:rPr>
                <w:rFonts w:ascii="宋体" w:hAnsi="宋体" w:eastAsia="宋体" w:cs="Arial"/>
                <w:color w:val="auto"/>
                <w:sz w:val="21"/>
                <w:szCs w:val="21"/>
              </w:rPr>
            </w:pPr>
            <w:r>
              <w:rPr>
                <w:rFonts w:ascii="宋体" w:hAnsi="宋体" w:eastAsia="宋体" w:cs="Arial"/>
                <w:color w:val="auto"/>
                <w:spacing w:val="10"/>
                <w:sz w:val="21"/>
                <w:szCs w:val="21"/>
              </w:rPr>
              <w:t>LD</w:t>
            </w:r>
            <w:r>
              <w:rPr>
                <w:rFonts w:ascii="宋体" w:hAnsi="宋体" w:eastAsia="宋体" w:cs="Arial"/>
                <w:color w:val="auto"/>
                <w:spacing w:val="10"/>
                <w:sz w:val="21"/>
                <w:szCs w:val="21"/>
                <w:vertAlign w:val="subscript"/>
              </w:rPr>
              <w:t>50</w:t>
            </w:r>
            <w:r>
              <w:rPr>
                <w:rFonts w:ascii="宋体" w:hAnsi="宋体" w:eastAsia="宋体" w:cs="Arial"/>
                <w:color w:val="auto"/>
                <w:spacing w:val="10"/>
                <w:sz w:val="21"/>
                <w:szCs w:val="21"/>
              </w:rPr>
              <w:t>：</w:t>
            </w:r>
            <w:r>
              <w:rPr>
                <w:rFonts w:hint="eastAsia" w:ascii="宋体" w:hAnsi="宋体" w:eastAsia="宋体" w:cs="Arial"/>
                <w:color w:val="auto"/>
                <w:spacing w:val="10"/>
                <w:sz w:val="21"/>
                <w:szCs w:val="21"/>
              </w:rPr>
              <w:t>/</w:t>
            </w:r>
          </w:p>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LC</w:t>
            </w:r>
            <w:r>
              <w:rPr>
                <w:rFonts w:ascii="宋体" w:hAnsi="宋体" w:eastAsia="宋体" w:cs="Arial"/>
                <w:color w:val="auto"/>
                <w:spacing w:val="10"/>
                <w:sz w:val="21"/>
                <w:szCs w:val="21"/>
                <w:vertAlign w:val="subscript"/>
              </w:rPr>
              <w:t>50</w:t>
            </w:r>
            <w:r>
              <w:rPr>
                <w:rFonts w:ascii="宋体" w:hAnsi="宋体" w:eastAsia="宋体" w:cs="Arial"/>
                <w:color w:val="auto"/>
                <w:spacing w:val="10"/>
                <w:sz w:val="21"/>
                <w:szCs w:val="21"/>
              </w:rPr>
              <w:t>：</w:t>
            </w:r>
            <w:r>
              <w:rPr>
                <w:rFonts w:hint="eastAsia" w:ascii="宋体" w:hAnsi="宋体" w:eastAsia="宋体" w:cs="Arial"/>
                <w:color w:val="auto"/>
                <w:spacing w:val="10"/>
                <w:sz w:val="21"/>
                <w:szCs w:val="21"/>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55" w:type="dxa"/>
            <w:vMerge w:val="continue"/>
            <w:vAlign w:val="center"/>
          </w:tcPr>
          <w:p>
            <w:pPr>
              <w:widowControl/>
              <w:spacing w:line="360" w:lineRule="auto"/>
              <w:rPr>
                <w:rFonts w:ascii="宋体" w:hAnsi="宋体" w:eastAsia="宋体" w:cs="Arial"/>
                <w:color w:val="auto"/>
                <w:spacing w:val="10"/>
                <w:sz w:val="21"/>
                <w:szCs w:val="21"/>
              </w:rPr>
            </w:pPr>
          </w:p>
        </w:tc>
        <w:tc>
          <w:tcPr>
            <w:tcW w:w="1713" w:type="dxa"/>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健康危害</w:t>
            </w:r>
          </w:p>
        </w:tc>
        <w:tc>
          <w:tcPr>
            <w:tcW w:w="6354" w:type="dxa"/>
            <w:gridSpan w:val="10"/>
            <w:vAlign w:val="center"/>
          </w:tcPr>
          <w:p>
            <w:pPr>
              <w:spacing w:line="360" w:lineRule="auto"/>
              <w:rPr>
                <w:rFonts w:ascii="宋体" w:hAnsi="宋体" w:eastAsia="宋体" w:cs="Arial"/>
                <w:color w:val="auto"/>
                <w:spacing w:val="6"/>
                <w:sz w:val="21"/>
                <w:szCs w:val="21"/>
              </w:rPr>
            </w:pPr>
            <w:r>
              <w:rPr>
                <w:rFonts w:hint="eastAsia" w:ascii="宋体" w:hAnsi="宋体" w:eastAsia="宋体"/>
                <w:color w:val="auto"/>
                <w:sz w:val="21"/>
                <w:szCs w:val="21"/>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55" w:type="dxa"/>
            <w:vMerge w:val="continue"/>
            <w:vAlign w:val="center"/>
          </w:tcPr>
          <w:p>
            <w:pPr>
              <w:widowControl/>
              <w:spacing w:line="360" w:lineRule="auto"/>
              <w:rPr>
                <w:rFonts w:ascii="宋体" w:hAnsi="宋体" w:eastAsia="宋体" w:cs="Arial"/>
                <w:color w:val="auto"/>
                <w:spacing w:val="10"/>
                <w:sz w:val="21"/>
                <w:szCs w:val="21"/>
              </w:rPr>
            </w:pPr>
          </w:p>
        </w:tc>
        <w:tc>
          <w:tcPr>
            <w:tcW w:w="1713" w:type="dxa"/>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急救方法</w:t>
            </w:r>
          </w:p>
        </w:tc>
        <w:tc>
          <w:tcPr>
            <w:tcW w:w="6354" w:type="dxa"/>
            <w:gridSpan w:val="10"/>
            <w:vAlign w:val="center"/>
          </w:tcPr>
          <w:p>
            <w:pPr>
              <w:widowControl/>
              <w:spacing w:line="360" w:lineRule="auto"/>
              <w:rPr>
                <w:rStyle w:val="246"/>
                <w:rFonts w:hint="default" w:ascii="宋体" w:hAnsi="宋体" w:eastAsia="宋体"/>
                <w:color w:val="auto"/>
                <w:sz w:val="21"/>
                <w:szCs w:val="21"/>
              </w:rPr>
            </w:pPr>
            <w:r>
              <w:rPr>
                <w:rStyle w:val="246"/>
                <w:rFonts w:hint="default" w:ascii="宋体" w:hAnsi="宋体" w:eastAsia="宋体"/>
                <w:color w:val="auto"/>
                <w:sz w:val="21"/>
                <w:szCs w:val="21"/>
              </w:rPr>
              <w:t>皮肤接触：脱去污染的衣着，用流动清水冲洗。如有不适感，就医。</w:t>
            </w:r>
          </w:p>
          <w:p>
            <w:pPr>
              <w:widowControl/>
              <w:spacing w:line="360" w:lineRule="auto"/>
              <w:rPr>
                <w:rStyle w:val="246"/>
                <w:rFonts w:hint="default" w:ascii="宋体" w:hAnsi="宋体" w:eastAsia="宋体"/>
                <w:color w:val="auto"/>
                <w:sz w:val="21"/>
                <w:szCs w:val="21"/>
              </w:rPr>
            </w:pPr>
            <w:r>
              <w:rPr>
                <w:rStyle w:val="246"/>
                <w:rFonts w:hint="default" w:ascii="宋体" w:hAnsi="宋体" w:eastAsia="宋体"/>
                <w:color w:val="auto"/>
                <w:sz w:val="21"/>
                <w:szCs w:val="21"/>
              </w:rPr>
              <w:t>眼睛接触：提起眼睑，用流动清水或生理盐水冲洗。如有不适感，就医。</w:t>
            </w:r>
          </w:p>
          <w:p>
            <w:pPr>
              <w:widowControl/>
              <w:spacing w:line="360" w:lineRule="auto"/>
              <w:rPr>
                <w:rStyle w:val="246"/>
                <w:rFonts w:hint="default" w:ascii="宋体" w:hAnsi="宋体" w:eastAsia="宋体"/>
                <w:color w:val="auto"/>
                <w:sz w:val="21"/>
                <w:szCs w:val="21"/>
              </w:rPr>
            </w:pPr>
            <w:r>
              <w:rPr>
                <w:rStyle w:val="246"/>
                <w:rFonts w:hint="default" w:ascii="宋体" w:hAnsi="宋体" w:eastAsia="宋体"/>
                <w:color w:val="auto"/>
                <w:sz w:val="21"/>
                <w:szCs w:val="21"/>
              </w:rPr>
              <w:t>吸入：脱离现场至空气新鲜处。如有不适感，就医。</w:t>
            </w:r>
          </w:p>
          <w:p>
            <w:pPr>
              <w:spacing w:line="360" w:lineRule="auto"/>
              <w:rPr>
                <w:rFonts w:ascii="宋体" w:hAnsi="宋体" w:eastAsia="宋体" w:cs="Arial"/>
                <w:color w:val="auto"/>
                <w:spacing w:val="10"/>
                <w:sz w:val="21"/>
                <w:szCs w:val="21"/>
              </w:rPr>
            </w:pPr>
            <w:r>
              <w:rPr>
                <w:rStyle w:val="246"/>
                <w:rFonts w:hint="default" w:ascii="宋体" w:hAnsi="宋体" w:eastAsia="宋体"/>
                <w:color w:val="auto"/>
                <w:sz w:val="21"/>
                <w:szCs w:val="21"/>
              </w:rPr>
              <w:t>食入：饮足量温水，催吐。就医。</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rPr>
          <w:trHeight w:val="510" w:hRule="atLeast"/>
          <w:jc w:val="center"/>
        </w:trPr>
        <w:tc>
          <w:tcPr>
            <w:tcW w:w="455" w:type="dxa"/>
            <w:vMerge w:val="restart"/>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燃烧爆炸危险性</w:t>
            </w:r>
          </w:p>
        </w:tc>
        <w:tc>
          <w:tcPr>
            <w:tcW w:w="1713" w:type="dxa"/>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燃烧性</w:t>
            </w:r>
          </w:p>
        </w:tc>
        <w:tc>
          <w:tcPr>
            <w:tcW w:w="1407" w:type="dxa"/>
            <w:gridSpan w:val="3"/>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易燃</w:t>
            </w:r>
          </w:p>
        </w:tc>
        <w:tc>
          <w:tcPr>
            <w:tcW w:w="1945" w:type="dxa"/>
            <w:gridSpan w:val="3"/>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燃烧分解物</w:t>
            </w:r>
          </w:p>
        </w:tc>
        <w:tc>
          <w:tcPr>
            <w:tcW w:w="3002" w:type="dxa"/>
            <w:gridSpan w:val="4"/>
            <w:vAlign w:val="center"/>
          </w:tcPr>
          <w:p>
            <w:pPr>
              <w:spacing w:line="360" w:lineRule="auto"/>
              <w:jc w:val="center"/>
              <w:rPr>
                <w:rFonts w:ascii="宋体" w:hAnsi="宋体" w:eastAsia="宋体" w:cs="Arial"/>
                <w:color w:val="auto"/>
                <w:spacing w:val="10"/>
                <w:sz w:val="21"/>
                <w:szCs w:val="21"/>
              </w:rPr>
            </w:pPr>
            <w:r>
              <w:rPr>
                <w:rFonts w:hint="eastAsia" w:ascii="宋体" w:hAnsi="宋体" w:eastAsia="宋体" w:cs="Arial"/>
                <w:color w:val="auto"/>
                <w:sz w:val="21"/>
                <w:szCs w:val="21"/>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rPr>
          <w:trHeight w:val="510" w:hRule="atLeast"/>
          <w:jc w:val="center"/>
        </w:trPr>
        <w:tc>
          <w:tcPr>
            <w:tcW w:w="455" w:type="dxa"/>
            <w:vMerge w:val="continue"/>
            <w:vAlign w:val="center"/>
          </w:tcPr>
          <w:p>
            <w:pPr>
              <w:widowControl/>
              <w:spacing w:line="360" w:lineRule="auto"/>
              <w:rPr>
                <w:rFonts w:ascii="宋体" w:hAnsi="宋体" w:eastAsia="宋体" w:cs="Arial"/>
                <w:color w:val="auto"/>
                <w:spacing w:val="10"/>
                <w:sz w:val="21"/>
                <w:szCs w:val="21"/>
              </w:rPr>
            </w:pPr>
          </w:p>
        </w:tc>
        <w:tc>
          <w:tcPr>
            <w:tcW w:w="1713" w:type="dxa"/>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闪点(℃)</w:t>
            </w:r>
          </w:p>
        </w:tc>
        <w:tc>
          <w:tcPr>
            <w:tcW w:w="1407" w:type="dxa"/>
            <w:gridSpan w:val="3"/>
            <w:vAlign w:val="center"/>
          </w:tcPr>
          <w:p>
            <w:pPr>
              <w:spacing w:line="360" w:lineRule="auto"/>
              <w:jc w:val="center"/>
              <w:rPr>
                <w:rFonts w:ascii="宋体" w:hAnsi="宋体" w:eastAsia="宋体" w:cs="Arial"/>
                <w:color w:val="auto"/>
                <w:spacing w:val="10"/>
                <w:sz w:val="21"/>
                <w:szCs w:val="21"/>
              </w:rPr>
            </w:pPr>
            <w:r>
              <w:rPr>
                <w:rFonts w:hint="eastAsia" w:ascii="宋体" w:hAnsi="宋体" w:eastAsia="宋体" w:cs="Arial"/>
                <w:color w:val="auto"/>
                <w:spacing w:val="10"/>
                <w:sz w:val="21"/>
                <w:szCs w:val="21"/>
              </w:rPr>
              <w:t>〈-17.8</w:t>
            </w:r>
          </w:p>
        </w:tc>
        <w:tc>
          <w:tcPr>
            <w:tcW w:w="1945" w:type="dxa"/>
            <w:gridSpan w:val="3"/>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爆炸上限(v%)</w:t>
            </w:r>
          </w:p>
        </w:tc>
        <w:tc>
          <w:tcPr>
            <w:tcW w:w="3002" w:type="dxa"/>
            <w:gridSpan w:val="4"/>
            <w:vAlign w:val="center"/>
          </w:tcPr>
          <w:p>
            <w:pPr>
              <w:spacing w:line="360" w:lineRule="auto"/>
              <w:jc w:val="center"/>
              <w:rPr>
                <w:rFonts w:ascii="宋体" w:hAnsi="宋体" w:eastAsia="宋体" w:cs="Arial"/>
                <w:color w:val="auto"/>
                <w:spacing w:val="10"/>
                <w:sz w:val="21"/>
                <w:szCs w:val="21"/>
              </w:rPr>
            </w:pPr>
            <w:r>
              <w:rPr>
                <w:rFonts w:hint="eastAsia" w:ascii="宋体" w:hAnsi="宋体" w:eastAsia="宋体" w:cs="Arial"/>
                <w:color w:val="auto"/>
                <w:spacing w:val="10"/>
                <w:sz w:val="21"/>
                <w:szCs w:val="21"/>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rPr>
          <w:trHeight w:val="510" w:hRule="atLeast"/>
          <w:jc w:val="center"/>
        </w:trPr>
        <w:tc>
          <w:tcPr>
            <w:tcW w:w="455" w:type="dxa"/>
            <w:vMerge w:val="continue"/>
            <w:vAlign w:val="center"/>
          </w:tcPr>
          <w:p>
            <w:pPr>
              <w:widowControl/>
              <w:spacing w:line="360" w:lineRule="auto"/>
              <w:rPr>
                <w:rFonts w:ascii="宋体" w:hAnsi="宋体" w:eastAsia="宋体" w:cs="Arial"/>
                <w:color w:val="auto"/>
                <w:spacing w:val="10"/>
                <w:sz w:val="21"/>
                <w:szCs w:val="21"/>
              </w:rPr>
            </w:pPr>
          </w:p>
        </w:tc>
        <w:tc>
          <w:tcPr>
            <w:tcW w:w="1713" w:type="dxa"/>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引燃温度(℃)</w:t>
            </w:r>
          </w:p>
        </w:tc>
        <w:tc>
          <w:tcPr>
            <w:tcW w:w="1407" w:type="dxa"/>
            <w:gridSpan w:val="3"/>
            <w:vAlign w:val="center"/>
          </w:tcPr>
          <w:p>
            <w:pPr>
              <w:spacing w:line="360" w:lineRule="auto"/>
              <w:jc w:val="center"/>
              <w:rPr>
                <w:rFonts w:ascii="宋体" w:hAnsi="宋体" w:eastAsia="宋体" w:cs="Arial"/>
                <w:color w:val="auto"/>
                <w:spacing w:val="10"/>
                <w:sz w:val="21"/>
                <w:szCs w:val="21"/>
              </w:rPr>
            </w:pPr>
            <w:r>
              <w:rPr>
                <w:rFonts w:hint="eastAsia" w:ascii="宋体" w:hAnsi="宋体" w:eastAsia="宋体" w:cs="Arial"/>
                <w:color w:val="auto"/>
                <w:spacing w:val="10"/>
                <w:sz w:val="21"/>
                <w:szCs w:val="21"/>
              </w:rPr>
              <w:t>/</w:t>
            </w:r>
          </w:p>
        </w:tc>
        <w:tc>
          <w:tcPr>
            <w:tcW w:w="1945" w:type="dxa"/>
            <w:gridSpan w:val="3"/>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爆炸下限(v%)</w:t>
            </w:r>
          </w:p>
        </w:tc>
        <w:tc>
          <w:tcPr>
            <w:tcW w:w="3002" w:type="dxa"/>
            <w:gridSpan w:val="4"/>
            <w:vAlign w:val="center"/>
          </w:tcPr>
          <w:p>
            <w:pPr>
              <w:spacing w:line="360" w:lineRule="auto"/>
              <w:jc w:val="center"/>
              <w:rPr>
                <w:rFonts w:ascii="宋体" w:hAnsi="宋体" w:eastAsia="宋体" w:cs="Arial"/>
                <w:color w:val="auto"/>
                <w:spacing w:val="10"/>
                <w:sz w:val="21"/>
                <w:szCs w:val="21"/>
              </w:rPr>
            </w:pPr>
            <w:r>
              <w:rPr>
                <w:rFonts w:hint="eastAsia" w:ascii="宋体" w:hAnsi="宋体" w:eastAsia="宋体" w:cs="Arial"/>
                <w:color w:val="auto"/>
                <w:spacing w:val="10"/>
                <w:sz w:val="21"/>
                <w:szCs w:val="21"/>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55" w:type="dxa"/>
            <w:vMerge w:val="continue"/>
            <w:vAlign w:val="center"/>
          </w:tcPr>
          <w:p>
            <w:pPr>
              <w:widowControl/>
              <w:spacing w:line="360" w:lineRule="auto"/>
              <w:rPr>
                <w:rFonts w:ascii="宋体" w:hAnsi="宋体" w:eastAsia="宋体" w:cs="Arial"/>
                <w:color w:val="auto"/>
                <w:spacing w:val="10"/>
                <w:sz w:val="21"/>
                <w:szCs w:val="21"/>
              </w:rPr>
            </w:pPr>
          </w:p>
        </w:tc>
        <w:tc>
          <w:tcPr>
            <w:tcW w:w="1713" w:type="dxa"/>
            <w:vAlign w:val="center"/>
          </w:tcPr>
          <w:p>
            <w:pPr>
              <w:spacing w:line="360" w:lineRule="auto"/>
              <w:jc w:val="center"/>
              <w:rPr>
                <w:rFonts w:ascii="宋体" w:hAnsi="宋体" w:eastAsia="宋体"/>
                <w:color w:val="auto"/>
                <w:spacing w:val="10"/>
                <w:sz w:val="21"/>
                <w:szCs w:val="21"/>
              </w:rPr>
            </w:pPr>
            <w:r>
              <w:rPr>
                <w:rFonts w:hint="eastAsia" w:ascii="宋体" w:hAnsi="宋体" w:eastAsia="宋体"/>
                <w:color w:val="auto"/>
                <w:spacing w:val="10"/>
                <w:sz w:val="21"/>
                <w:szCs w:val="21"/>
              </w:rPr>
              <w:t>建规火险分级</w:t>
            </w:r>
          </w:p>
        </w:tc>
        <w:tc>
          <w:tcPr>
            <w:tcW w:w="1407" w:type="dxa"/>
            <w:gridSpan w:val="3"/>
            <w:vAlign w:val="center"/>
          </w:tcPr>
          <w:p>
            <w:pPr>
              <w:spacing w:line="360" w:lineRule="auto"/>
              <w:jc w:val="center"/>
              <w:rPr>
                <w:rFonts w:ascii="宋体" w:hAnsi="宋体" w:eastAsia="宋体"/>
                <w:color w:val="auto"/>
                <w:spacing w:val="10"/>
                <w:sz w:val="21"/>
                <w:szCs w:val="21"/>
              </w:rPr>
            </w:pPr>
            <w:r>
              <w:rPr>
                <w:rFonts w:hint="eastAsia" w:ascii="宋体" w:hAnsi="宋体" w:eastAsia="宋体"/>
                <w:color w:val="auto"/>
                <w:spacing w:val="10"/>
                <w:sz w:val="21"/>
                <w:szCs w:val="21"/>
              </w:rPr>
              <w:t>甲</w:t>
            </w:r>
          </w:p>
        </w:tc>
        <w:tc>
          <w:tcPr>
            <w:tcW w:w="972" w:type="dxa"/>
            <w:vAlign w:val="center"/>
          </w:tcPr>
          <w:p>
            <w:pPr>
              <w:spacing w:line="360" w:lineRule="auto"/>
              <w:jc w:val="center"/>
              <w:rPr>
                <w:rFonts w:ascii="宋体" w:hAnsi="宋体" w:eastAsia="宋体"/>
                <w:color w:val="auto"/>
                <w:spacing w:val="10"/>
                <w:sz w:val="21"/>
                <w:szCs w:val="21"/>
              </w:rPr>
            </w:pPr>
            <w:r>
              <w:rPr>
                <w:rFonts w:hint="eastAsia" w:ascii="宋体" w:hAnsi="宋体" w:eastAsia="宋体"/>
                <w:color w:val="auto"/>
                <w:spacing w:val="10"/>
                <w:sz w:val="21"/>
                <w:szCs w:val="21"/>
              </w:rPr>
              <w:t>稳定性</w:t>
            </w:r>
          </w:p>
        </w:tc>
        <w:tc>
          <w:tcPr>
            <w:tcW w:w="973" w:type="dxa"/>
            <w:gridSpan w:val="2"/>
            <w:vAlign w:val="center"/>
          </w:tcPr>
          <w:p>
            <w:pPr>
              <w:spacing w:line="360" w:lineRule="auto"/>
              <w:jc w:val="center"/>
              <w:rPr>
                <w:rFonts w:ascii="宋体" w:hAnsi="宋体" w:eastAsia="宋体"/>
                <w:color w:val="auto"/>
                <w:spacing w:val="10"/>
                <w:sz w:val="21"/>
                <w:szCs w:val="21"/>
              </w:rPr>
            </w:pPr>
            <w:r>
              <w:rPr>
                <w:rFonts w:hint="eastAsia" w:ascii="宋体" w:hAnsi="宋体" w:eastAsia="宋体"/>
                <w:color w:val="auto"/>
                <w:spacing w:val="10"/>
                <w:sz w:val="21"/>
                <w:szCs w:val="21"/>
              </w:rPr>
              <w:t>稳定</w:t>
            </w:r>
          </w:p>
        </w:tc>
        <w:tc>
          <w:tcPr>
            <w:tcW w:w="1499" w:type="dxa"/>
            <w:gridSpan w:val="2"/>
            <w:vAlign w:val="center"/>
          </w:tcPr>
          <w:p>
            <w:pPr>
              <w:spacing w:line="360" w:lineRule="auto"/>
              <w:jc w:val="center"/>
              <w:rPr>
                <w:rFonts w:ascii="宋体" w:hAnsi="宋体" w:eastAsia="宋体"/>
                <w:color w:val="auto"/>
                <w:spacing w:val="10"/>
                <w:sz w:val="21"/>
                <w:szCs w:val="21"/>
              </w:rPr>
            </w:pPr>
            <w:r>
              <w:rPr>
                <w:rFonts w:hint="eastAsia" w:ascii="宋体" w:hAnsi="宋体" w:eastAsia="宋体"/>
                <w:color w:val="auto"/>
                <w:spacing w:val="10"/>
                <w:sz w:val="21"/>
                <w:szCs w:val="21"/>
              </w:rPr>
              <w:t>聚合危害</w:t>
            </w:r>
          </w:p>
        </w:tc>
        <w:tc>
          <w:tcPr>
            <w:tcW w:w="1503" w:type="dxa"/>
            <w:gridSpan w:val="2"/>
            <w:vAlign w:val="center"/>
          </w:tcPr>
          <w:p>
            <w:pPr>
              <w:spacing w:line="360" w:lineRule="auto"/>
              <w:jc w:val="center"/>
              <w:rPr>
                <w:rFonts w:ascii="宋体" w:hAnsi="宋体" w:eastAsia="宋体"/>
                <w:color w:val="auto"/>
                <w:spacing w:val="10"/>
                <w:sz w:val="21"/>
                <w:szCs w:val="21"/>
              </w:rPr>
            </w:pPr>
            <w:r>
              <w:rPr>
                <w:rFonts w:hint="eastAsia" w:ascii="宋体" w:hAnsi="宋体" w:eastAsia="宋体"/>
                <w:color w:val="auto"/>
                <w:spacing w:val="10"/>
                <w:sz w:val="21"/>
                <w:szCs w:val="21"/>
              </w:rPr>
              <w:t>不聚合</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rPr>
          <w:trHeight w:val="510" w:hRule="atLeast"/>
          <w:jc w:val="center"/>
        </w:trPr>
        <w:tc>
          <w:tcPr>
            <w:tcW w:w="455" w:type="dxa"/>
            <w:vMerge w:val="continue"/>
            <w:vAlign w:val="center"/>
          </w:tcPr>
          <w:p>
            <w:pPr>
              <w:widowControl/>
              <w:spacing w:line="360" w:lineRule="auto"/>
              <w:rPr>
                <w:rFonts w:ascii="宋体" w:hAnsi="宋体" w:eastAsia="宋体" w:cs="Arial"/>
                <w:color w:val="auto"/>
                <w:spacing w:val="10"/>
                <w:sz w:val="21"/>
                <w:szCs w:val="21"/>
              </w:rPr>
            </w:pPr>
          </w:p>
        </w:tc>
        <w:tc>
          <w:tcPr>
            <w:tcW w:w="1713" w:type="dxa"/>
            <w:vAlign w:val="center"/>
          </w:tcPr>
          <w:p>
            <w:pPr>
              <w:spacing w:line="360" w:lineRule="auto"/>
              <w:jc w:val="center"/>
              <w:rPr>
                <w:rFonts w:ascii="宋体" w:hAnsi="宋体" w:eastAsia="宋体"/>
                <w:color w:val="auto"/>
                <w:spacing w:val="10"/>
                <w:sz w:val="21"/>
                <w:szCs w:val="21"/>
              </w:rPr>
            </w:pPr>
            <w:r>
              <w:rPr>
                <w:rFonts w:hint="eastAsia" w:ascii="宋体" w:hAnsi="宋体" w:eastAsia="宋体"/>
                <w:color w:val="auto"/>
                <w:spacing w:val="10"/>
                <w:sz w:val="21"/>
                <w:szCs w:val="21"/>
              </w:rPr>
              <w:t>禁忌物</w:t>
            </w:r>
          </w:p>
        </w:tc>
        <w:tc>
          <w:tcPr>
            <w:tcW w:w="6354" w:type="dxa"/>
            <w:gridSpan w:val="10"/>
            <w:vAlign w:val="center"/>
          </w:tcPr>
          <w:p>
            <w:pPr>
              <w:spacing w:line="360" w:lineRule="auto"/>
              <w:rPr>
                <w:rFonts w:ascii="宋体" w:hAnsi="宋体" w:eastAsia="宋体"/>
                <w:color w:val="auto"/>
                <w:spacing w:val="10"/>
                <w:sz w:val="21"/>
                <w:szCs w:val="21"/>
              </w:rPr>
            </w:pPr>
            <w:r>
              <w:rPr>
                <w:rFonts w:ascii="宋体" w:hAnsi="宋体" w:eastAsia="宋体"/>
                <w:color w:val="auto"/>
                <w:sz w:val="21"/>
                <w:szCs w:val="21"/>
              </w:rPr>
              <w:t>强氧化剂</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55" w:type="dxa"/>
            <w:vMerge w:val="continue"/>
            <w:vAlign w:val="center"/>
          </w:tcPr>
          <w:p>
            <w:pPr>
              <w:widowControl/>
              <w:spacing w:line="360" w:lineRule="auto"/>
              <w:rPr>
                <w:rFonts w:ascii="宋体" w:hAnsi="宋体" w:eastAsia="宋体" w:cs="Arial"/>
                <w:color w:val="auto"/>
                <w:spacing w:val="10"/>
                <w:sz w:val="21"/>
                <w:szCs w:val="21"/>
              </w:rPr>
            </w:pPr>
          </w:p>
        </w:tc>
        <w:tc>
          <w:tcPr>
            <w:tcW w:w="1713" w:type="dxa"/>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危险特性</w:t>
            </w:r>
          </w:p>
        </w:tc>
        <w:tc>
          <w:tcPr>
            <w:tcW w:w="6354" w:type="dxa"/>
            <w:gridSpan w:val="10"/>
            <w:vAlign w:val="center"/>
          </w:tcPr>
          <w:p>
            <w:pPr>
              <w:spacing w:line="360" w:lineRule="auto"/>
              <w:rPr>
                <w:rFonts w:ascii="宋体" w:hAnsi="宋体" w:eastAsia="宋体" w:cs="Arial"/>
                <w:color w:val="auto"/>
                <w:spacing w:val="10"/>
                <w:sz w:val="21"/>
                <w:szCs w:val="21"/>
              </w:rPr>
            </w:pPr>
            <w:r>
              <w:rPr>
                <w:rStyle w:val="245"/>
                <w:rFonts w:hint="default"/>
                <w:color w:val="auto"/>
                <w:sz w:val="21"/>
                <w:szCs w:val="21"/>
              </w:rPr>
              <w:t>第3.2类 中闪点易燃液体；溶剂蒸气能与空气形成爆炸性混合物。遇明火、高热极易着火爆炸。与氧化剂混合易引起着火爆炸。硝化纤维素卷入火内时会放出有毒烟雾。</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rPr>
          <w:trHeight w:val="510" w:hRule="atLeast"/>
          <w:jc w:val="center"/>
        </w:trPr>
        <w:tc>
          <w:tcPr>
            <w:tcW w:w="455" w:type="dxa"/>
            <w:vMerge w:val="continue"/>
            <w:vAlign w:val="center"/>
          </w:tcPr>
          <w:p>
            <w:pPr>
              <w:widowControl/>
              <w:spacing w:line="360" w:lineRule="auto"/>
              <w:rPr>
                <w:rFonts w:ascii="宋体" w:hAnsi="宋体" w:eastAsia="宋体" w:cs="Arial"/>
                <w:color w:val="auto"/>
                <w:spacing w:val="10"/>
                <w:sz w:val="21"/>
                <w:szCs w:val="21"/>
              </w:rPr>
            </w:pPr>
          </w:p>
        </w:tc>
        <w:tc>
          <w:tcPr>
            <w:tcW w:w="1713" w:type="dxa"/>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储运条件</w:t>
            </w:r>
          </w:p>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与泄漏处理</w:t>
            </w:r>
          </w:p>
        </w:tc>
        <w:tc>
          <w:tcPr>
            <w:tcW w:w="6354" w:type="dxa"/>
            <w:gridSpan w:val="10"/>
            <w:vAlign w:val="center"/>
          </w:tcPr>
          <w:p>
            <w:pPr>
              <w:spacing w:line="360" w:lineRule="auto"/>
              <w:rPr>
                <w:rFonts w:ascii="宋体" w:hAnsi="宋体" w:eastAsia="宋体"/>
                <w:color w:val="auto"/>
                <w:sz w:val="21"/>
                <w:szCs w:val="21"/>
              </w:rPr>
            </w:pPr>
            <w:r>
              <w:rPr>
                <w:rFonts w:ascii="宋体" w:hAnsi="宋体" w:eastAsia="宋体" w:cs="Arial"/>
                <w:b/>
                <w:color w:val="auto"/>
                <w:spacing w:val="4"/>
                <w:sz w:val="21"/>
                <w:szCs w:val="21"/>
              </w:rPr>
              <w:t>储运条件</w:t>
            </w:r>
            <w:r>
              <w:rPr>
                <w:rFonts w:ascii="宋体" w:hAnsi="宋体" w:eastAsia="宋体" w:cs="Arial"/>
                <w:color w:val="auto"/>
                <w:spacing w:val="4"/>
                <w:sz w:val="21"/>
                <w:szCs w:val="21"/>
              </w:rPr>
              <w:t>：</w:t>
            </w:r>
            <w:r>
              <w:rPr>
                <w:rStyle w:val="245"/>
                <w:rFonts w:hint="default"/>
                <w:color w:val="auto"/>
                <w:sz w:val="21"/>
                <w:szCs w:val="21"/>
              </w:rPr>
              <w:t>储存于阴凉、通风的仓新间内。远离热源、火种，避免阳光直射。包装严密封口，防止挥发固化。搬运时轻装轻卸，防止容器受损。</w:t>
            </w:r>
          </w:p>
          <w:p>
            <w:pPr>
              <w:spacing w:line="360" w:lineRule="auto"/>
              <w:rPr>
                <w:rFonts w:ascii="宋体" w:hAnsi="宋体" w:eastAsia="宋体" w:cs="Arial"/>
                <w:color w:val="auto"/>
                <w:spacing w:val="4"/>
                <w:sz w:val="21"/>
                <w:szCs w:val="21"/>
              </w:rPr>
            </w:pPr>
            <w:r>
              <w:rPr>
                <w:rFonts w:ascii="宋体" w:hAnsi="宋体" w:eastAsia="宋体" w:cs="Arial"/>
                <w:b/>
                <w:color w:val="auto"/>
                <w:spacing w:val="4"/>
                <w:sz w:val="21"/>
                <w:szCs w:val="21"/>
              </w:rPr>
              <w:t>泄漏处理</w:t>
            </w:r>
            <w:r>
              <w:rPr>
                <w:rFonts w:ascii="宋体" w:hAnsi="宋体" w:eastAsia="宋体" w:cs="Arial"/>
                <w:color w:val="auto"/>
                <w:spacing w:val="4"/>
                <w:sz w:val="21"/>
                <w:szCs w:val="21"/>
              </w:rPr>
              <w:t>：</w:t>
            </w:r>
            <w:r>
              <w:rPr>
                <w:rStyle w:val="245"/>
                <w:rFonts w:hint="default"/>
                <w:color w:val="auto"/>
                <w:sz w:val="21"/>
                <w:szCs w:val="21"/>
              </w:rPr>
              <w:t>消除所有点火源。隔离泄漏污染区，限制出入。建议应急处理人员戴防尘口罩，穿消防防护服。作业时使用的所有设备应接地。禁止接触或跨越泄漏物。小量泄漏：用大量水冲洗，洗水稀释后放入废水系统。大量泄漏：用水润湿，并筑堤收容。通过慢慢加入大量水保持泄漏物湿润。</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55" w:type="dxa"/>
            <w:vMerge w:val="continue"/>
            <w:vAlign w:val="center"/>
          </w:tcPr>
          <w:p>
            <w:pPr>
              <w:widowControl/>
              <w:spacing w:line="360" w:lineRule="auto"/>
              <w:rPr>
                <w:rFonts w:ascii="宋体" w:hAnsi="宋体" w:eastAsia="宋体" w:cs="Arial"/>
                <w:color w:val="auto"/>
                <w:spacing w:val="10"/>
                <w:sz w:val="21"/>
                <w:szCs w:val="21"/>
              </w:rPr>
            </w:pPr>
          </w:p>
        </w:tc>
        <w:tc>
          <w:tcPr>
            <w:tcW w:w="1713" w:type="dxa"/>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灭火方法</w:t>
            </w:r>
          </w:p>
        </w:tc>
        <w:tc>
          <w:tcPr>
            <w:tcW w:w="6354" w:type="dxa"/>
            <w:gridSpan w:val="10"/>
            <w:vAlign w:val="center"/>
          </w:tcPr>
          <w:p>
            <w:pPr>
              <w:spacing w:line="360" w:lineRule="auto"/>
              <w:rPr>
                <w:rFonts w:ascii="宋体" w:hAnsi="宋体" w:eastAsia="宋体" w:cs="Arial"/>
                <w:color w:val="auto"/>
                <w:spacing w:val="10"/>
                <w:sz w:val="21"/>
                <w:szCs w:val="21"/>
              </w:rPr>
            </w:pPr>
            <w:r>
              <w:rPr>
                <w:rStyle w:val="245"/>
                <w:rFonts w:hint="default"/>
                <w:color w:val="auto"/>
                <w:sz w:val="21"/>
                <w:szCs w:val="21"/>
              </w:rPr>
              <w:t>消防人员戴好氧气防毒面具，并须特别小心，不可轻易接近。火势漫延时，只能靠远距离操纵的消防设施救火，并须在上风方向操作，以免中毒。迅速用大量泡沫喷射，使物品表面全部覆盖，是最有效的施救方法。</w:t>
            </w:r>
          </w:p>
        </w:tc>
      </w:tr>
    </w:tbl>
    <w:p>
      <w:pPr>
        <w:spacing w:line="560" w:lineRule="exact"/>
        <w:jc w:val="center"/>
        <w:outlineLvl w:val="2"/>
        <w:rPr>
          <w:rFonts w:ascii="宋体" w:hAnsi="宋体" w:eastAsia="宋体" w:cs="Times New Roman"/>
          <w:b/>
          <w:bCs/>
          <w:color w:val="auto"/>
          <w:kern w:val="2"/>
          <w:lang w:val="en-US" w:eastAsia="zh-CN" w:bidi="ar-SA"/>
        </w:rPr>
      </w:pPr>
      <w:r>
        <w:rPr>
          <w:rFonts w:hint="eastAsia" w:ascii="宋体" w:hAnsi="宋体" w:eastAsia="宋体" w:cs="Times New Roman"/>
          <w:b/>
          <w:bCs/>
          <w:color w:val="auto"/>
          <w:kern w:val="2"/>
          <w:lang w:val="en-US" w:eastAsia="zh-CN" w:bidi="ar-SA"/>
        </w:rPr>
        <w:t>附表1-15不饱和聚酯树脂</w:t>
      </w:r>
      <w:r>
        <w:rPr>
          <w:rFonts w:ascii="宋体" w:hAnsi="宋体" w:eastAsia="宋体" w:cs="Times New Roman"/>
          <w:b/>
          <w:bCs/>
          <w:color w:val="auto"/>
          <w:kern w:val="2"/>
          <w:lang w:val="en-US" w:eastAsia="zh-CN" w:bidi="ar-SA"/>
        </w:rPr>
        <w:t>的理化性质及危险特性</w:t>
      </w:r>
    </w:p>
    <w:tbl>
      <w:tblPr>
        <w:tblStyle w:val="45"/>
        <w:tblW w:w="5000" w:type="pct"/>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503"/>
        <w:gridCol w:w="1888"/>
        <w:gridCol w:w="931"/>
        <w:gridCol w:w="257"/>
        <w:gridCol w:w="363"/>
        <w:gridCol w:w="1071"/>
        <w:gridCol w:w="325"/>
        <w:gridCol w:w="747"/>
        <w:gridCol w:w="243"/>
        <w:gridCol w:w="1410"/>
        <w:gridCol w:w="726"/>
        <w:gridCol w:w="930"/>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55" w:type="dxa"/>
            <w:vMerge w:val="restart"/>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标</w:t>
            </w:r>
          </w:p>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识</w:t>
            </w:r>
          </w:p>
        </w:tc>
        <w:tc>
          <w:tcPr>
            <w:tcW w:w="5285" w:type="dxa"/>
            <w:gridSpan w:val="8"/>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中文名：</w:t>
            </w:r>
            <w:r>
              <w:rPr>
                <w:rFonts w:hint="eastAsia" w:ascii="宋体" w:hAnsi="宋体" w:eastAsia="宋体"/>
                <w:color w:val="auto"/>
                <w:spacing w:val="10"/>
                <w:sz w:val="21"/>
                <w:szCs w:val="21"/>
              </w:rPr>
              <w:t>不饱和聚酯树酯；氨基树酯；聚氨基树酯</w:t>
            </w:r>
          </w:p>
        </w:tc>
        <w:tc>
          <w:tcPr>
            <w:tcW w:w="2782" w:type="dxa"/>
            <w:gridSpan w:val="3"/>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危险化学品序号：</w:t>
            </w:r>
            <w:r>
              <w:rPr>
                <w:rFonts w:hint="eastAsia" w:ascii="宋体" w:hAnsi="宋体" w:eastAsia="宋体" w:cs="Arial"/>
                <w:color w:val="auto"/>
                <w:sz w:val="21"/>
                <w:szCs w:val="21"/>
              </w:rPr>
              <w:t>2828</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55" w:type="dxa"/>
            <w:vMerge w:val="continue"/>
            <w:vAlign w:val="center"/>
          </w:tcPr>
          <w:p>
            <w:pPr>
              <w:widowControl/>
              <w:spacing w:line="360" w:lineRule="auto"/>
              <w:rPr>
                <w:rFonts w:ascii="宋体" w:hAnsi="宋体" w:eastAsia="宋体" w:cs="Arial"/>
                <w:color w:val="auto"/>
                <w:spacing w:val="10"/>
                <w:sz w:val="21"/>
                <w:szCs w:val="21"/>
              </w:rPr>
            </w:pPr>
          </w:p>
        </w:tc>
        <w:tc>
          <w:tcPr>
            <w:tcW w:w="5285" w:type="dxa"/>
            <w:gridSpan w:val="8"/>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英文名：</w:t>
            </w:r>
            <w:r>
              <w:rPr>
                <w:rFonts w:hint="eastAsia" w:ascii="宋体" w:hAnsi="宋体" w:eastAsia="宋体"/>
                <w:color w:val="auto"/>
                <w:sz w:val="21"/>
                <w:szCs w:val="21"/>
              </w:rPr>
              <w:t>Unsaturated polyester resin</w:t>
            </w:r>
          </w:p>
        </w:tc>
        <w:tc>
          <w:tcPr>
            <w:tcW w:w="2782" w:type="dxa"/>
            <w:gridSpan w:val="3"/>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UN编号：</w:t>
            </w:r>
            <w:r>
              <w:rPr>
                <w:rFonts w:hint="eastAsia" w:ascii="宋体" w:hAnsi="宋体" w:eastAsia="宋体" w:cs="Arial"/>
                <w:color w:val="auto"/>
                <w:spacing w:val="10"/>
                <w:sz w:val="21"/>
                <w:szCs w:val="21"/>
              </w:rPr>
              <w:t>1866</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55" w:type="dxa"/>
            <w:vMerge w:val="continue"/>
            <w:vAlign w:val="center"/>
          </w:tcPr>
          <w:p>
            <w:pPr>
              <w:widowControl/>
              <w:spacing w:line="360" w:lineRule="auto"/>
              <w:rPr>
                <w:rFonts w:ascii="宋体" w:hAnsi="宋体" w:eastAsia="宋体" w:cs="Arial"/>
                <w:color w:val="auto"/>
                <w:spacing w:val="10"/>
                <w:sz w:val="21"/>
                <w:szCs w:val="21"/>
              </w:rPr>
            </w:pPr>
          </w:p>
        </w:tc>
        <w:tc>
          <w:tcPr>
            <w:tcW w:w="2791" w:type="dxa"/>
            <w:gridSpan w:val="3"/>
            <w:vAlign w:val="center"/>
          </w:tcPr>
          <w:p>
            <w:pPr>
              <w:spacing w:line="360" w:lineRule="auto"/>
              <w:ind w:left="880" w:hanging="920" w:hangingChars="400"/>
              <w:rPr>
                <w:rFonts w:ascii="宋体" w:hAnsi="宋体" w:eastAsia="宋体" w:cs="Arial"/>
                <w:color w:val="auto"/>
                <w:spacing w:val="10"/>
                <w:sz w:val="21"/>
                <w:szCs w:val="21"/>
              </w:rPr>
            </w:pPr>
            <w:r>
              <w:rPr>
                <w:rFonts w:ascii="宋体" w:hAnsi="宋体" w:eastAsia="宋体" w:cs="Arial"/>
                <w:color w:val="auto"/>
                <w:spacing w:val="10"/>
                <w:sz w:val="21"/>
                <w:szCs w:val="21"/>
              </w:rPr>
              <w:t>分子式：</w:t>
            </w:r>
            <w:r>
              <w:rPr>
                <w:rFonts w:hint="eastAsia" w:ascii="宋体" w:hAnsi="宋体" w:eastAsia="宋体" w:cs="Arial"/>
                <w:color w:val="auto"/>
                <w:spacing w:val="10"/>
                <w:sz w:val="21"/>
                <w:szCs w:val="21"/>
              </w:rPr>
              <w:t>/</w:t>
            </w:r>
          </w:p>
        </w:tc>
        <w:tc>
          <w:tcPr>
            <w:tcW w:w="2494" w:type="dxa"/>
            <w:gridSpan w:val="5"/>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分子量：</w:t>
            </w:r>
            <w:r>
              <w:rPr>
                <w:rFonts w:hint="eastAsia" w:ascii="宋体" w:hAnsi="宋体" w:eastAsia="宋体" w:cs="Arial"/>
                <w:color w:val="auto"/>
                <w:spacing w:val="10"/>
                <w:sz w:val="21"/>
                <w:szCs w:val="21"/>
              </w:rPr>
              <w:t>/</w:t>
            </w:r>
          </w:p>
        </w:tc>
        <w:tc>
          <w:tcPr>
            <w:tcW w:w="2782" w:type="dxa"/>
            <w:gridSpan w:val="3"/>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CAS号：</w:t>
            </w:r>
            <w:r>
              <w:rPr>
                <w:rFonts w:hint="eastAsia" w:ascii="宋体" w:hAnsi="宋体" w:eastAsia="宋体" w:cs="Arial"/>
                <w:color w:val="auto"/>
                <w:spacing w:val="10"/>
                <w:sz w:val="21"/>
                <w:szCs w:val="21"/>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55" w:type="dxa"/>
            <w:vMerge w:val="restart"/>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理化性质</w:t>
            </w:r>
          </w:p>
        </w:tc>
        <w:tc>
          <w:tcPr>
            <w:tcW w:w="1713" w:type="dxa"/>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外观与性状</w:t>
            </w:r>
          </w:p>
        </w:tc>
        <w:tc>
          <w:tcPr>
            <w:tcW w:w="6354" w:type="dxa"/>
            <w:gridSpan w:val="10"/>
            <w:vAlign w:val="center"/>
          </w:tcPr>
          <w:p>
            <w:pPr>
              <w:spacing w:line="360" w:lineRule="auto"/>
              <w:rPr>
                <w:rFonts w:ascii="宋体" w:hAnsi="宋体" w:eastAsia="宋体" w:cs="Arial"/>
                <w:color w:val="auto"/>
                <w:spacing w:val="10"/>
                <w:sz w:val="21"/>
                <w:szCs w:val="21"/>
              </w:rPr>
            </w:pPr>
            <w:r>
              <w:rPr>
                <w:rFonts w:hint="eastAsia" w:ascii="宋体" w:hAnsi="宋体" w:eastAsia="宋体"/>
                <w:color w:val="auto"/>
                <w:sz w:val="21"/>
                <w:szCs w:val="21"/>
              </w:rPr>
              <w:t>其物态可从无臭、无味、黄色透明液体至固态。</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55" w:type="dxa"/>
            <w:vMerge w:val="continue"/>
            <w:vAlign w:val="center"/>
          </w:tcPr>
          <w:p>
            <w:pPr>
              <w:widowControl/>
              <w:spacing w:line="360" w:lineRule="auto"/>
              <w:rPr>
                <w:rFonts w:ascii="宋体" w:hAnsi="宋体" w:eastAsia="宋体" w:cs="Arial"/>
                <w:color w:val="auto"/>
                <w:spacing w:val="10"/>
                <w:sz w:val="21"/>
                <w:szCs w:val="21"/>
              </w:rPr>
            </w:pPr>
          </w:p>
        </w:tc>
        <w:tc>
          <w:tcPr>
            <w:tcW w:w="1713" w:type="dxa"/>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熔点(℃)</w:t>
            </w:r>
          </w:p>
        </w:tc>
        <w:tc>
          <w:tcPr>
            <w:tcW w:w="845" w:type="dxa"/>
            <w:vAlign w:val="center"/>
          </w:tcPr>
          <w:p>
            <w:pPr>
              <w:spacing w:line="360" w:lineRule="auto"/>
              <w:jc w:val="center"/>
              <w:rPr>
                <w:rFonts w:ascii="宋体" w:hAnsi="宋体" w:eastAsia="宋体" w:cs="Arial"/>
                <w:color w:val="auto"/>
                <w:spacing w:val="10"/>
                <w:sz w:val="21"/>
                <w:szCs w:val="21"/>
              </w:rPr>
            </w:pPr>
            <w:r>
              <w:rPr>
                <w:rFonts w:hint="eastAsia" w:ascii="宋体" w:hAnsi="宋体" w:eastAsia="宋体" w:cs="Arial"/>
                <w:color w:val="auto"/>
                <w:sz w:val="21"/>
                <w:szCs w:val="21"/>
              </w:rPr>
              <w:t>150</w:t>
            </w:r>
          </w:p>
        </w:tc>
        <w:tc>
          <w:tcPr>
            <w:tcW w:w="1829" w:type="dxa"/>
            <w:gridSpan w:val="4"/>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相对密度(水=1)</w:t>
            </w:r>
          </w:p>
        </w:tc>
        <w:tc>
          <w:tcPr>
            <w:tcW w:w="898" w:type="dxa"/>
            <w:gridSpan w:val="2"/>
            <w:vAlign w:val="center"/>
          </w:tcPr>
          <w:p>
            <w:pPr>
              <w:spacing w:line="360" w:lineRule="auto"/>
              <w:jc w:val="center"/>
              <w:rPr>
                <w:rFonts w:ascii="宋体" w:hAnsi="宋体" w:eastAsia="宋体" w:cs="Arial"/>
                <w:color w:val="auto"/>
                <w:spacing w:val="10"/>
                <w:sz w:val="21"/>
                <w:szCs w:val="21"/>
              </w:rPr>
            </w:pPr>
            <w:r>
              <w:rPr>
                <w:rFonts w:hint="eastAsia" w:ascii="宋体" w:hAnsi="宋体" w:eastAsia="宋体" w:cs="Arial"/>
                <w:color w:val="auto"/>
                <w:spacing w:val="10"/>
                <w:sz w:val="21"/>
                <w:szCs w:val="21"/>
              </w:rPr>
              <w:t>/</w:t>
            </w:r>
          </w:p>
        </w:tc>
        <w:tc>
          <w:tcPr>
            <w:tcW w:w="1938" w:type="dxa"/>
            <w:gridSpan w:val="2"/>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相对密度(空气=1)</w:t>
            </w:r>
          </w:p>
        </w:tc>
        <w:tc>
          <w:tcPr>
            <w:tcW w:w="844" w:type="dxa"/>
            <w:vAlign w:val="center"/>
          </w:tcPr>
          <w:p>
            <w:pPr>
              <w:spacing w:line="360" w:lineRule="auto"/>
              <w:jc w:val="center"/>
              <w:rPr>
                <w:rFonts w:ascii="宋体" w:hAnsi="宋体" w:eastAsia="宋体" w:cs="Arial"/>
                <w:color w:val="auto"/>
                <w:spacing w:val="10"/>
                <w:sz w:val="21"/>
                <w:szCs w:val="21"/>
              </w:rPr>
            </w:pPr>
            <w:r>
              <w:rPr>
                <w:rFonts w:hint="eastAsia" w:ascii="宋体" w:hAnsi="宋体" w:eastAsia="宋体" w:cs="Arial"/>
                <w:color w:val="auto"/>
                <w:sz w:val="21"/>
                <w:szCs w:val="21"/>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55" w:type="dxa"/>
            <w:vMerge w:val="continue"/>
            <w:vAlign w:val="center"/>
          </w:tcPr>
          <w:p>
            <w:pPr>
              <w:widowControl/>
              <w:spacing w:line="360" w:lineRule="auto"/>
              <w:rPr>
                <w:rFonts w:ascii="宋体" w:hAnsi="宋体" w:eastAsia="宋体" w:cs="Arial"/>
                <w:color w:val="auto"/>
                <w:spacing w:val="10"/>
                <w:sz w:val="21"/>
                <w:szCs w:val="21"/>
              </w:rPr>
            </w:pPr>
          </w:p>
        </w:tc>
        <w:tc>
          <w:tcPr>
            <w:tcW w:w="1713" w:type="dxa"/>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沸点(℃)</w:t>
            </w:r>
          </w:p>
        </w:tc>
        <w:tc>
          <w:tcPr>
            <w:tcW w:w="845" w:type="dxa"/>
            <w:vAlign w:val="center"/>
          </w:tcPr>
          <w:p>
            <w:pPr>
              <w:spacing w:line="360" w:lineRule="auto"/>
              <w:jc w:val="center"/>
              <w:rPr>
                <w:rFonts w:ascii="宋体" w:hAnsi="宋体" w:eastAsia="宋体" w:cs="Arial"/>
                <w:color w:val="auto"/>
                <w:spacing w:val="10"/>
                <w:sz w:val="21"/>
                <w:szCs w:val="21"/>
              </w:rPr>
            </w:pPr>
            <w:r>
              <w:rPr>
                <w:rFonts w:hint="eastAsia" w:ascii="宋体" w:hAnsi="宋体" w:eastAsia="宋体" w:cs="Arial"/>
                <w:color w:val="auto"/>
                <w:spacing w:val="10"/>
                <w:sz w:val="21"/>
                <w:szCs w:val="21"/>
              </w:rPr>
              <w:t>/</w:t>
            </w:r>
          </w:p>
        </w:tc>
        <w:tc>
          <w:tcPr>
            <w:tcW w:w="2727" w:type="dxa"/>
            <w:gridSpan w:val="6"/>
            <w:vAlign w:val="center"/>
          </w:tcPr>
          <w:p>
            <w:pPr>
              <w:spacing w:line="360" w:lineRule="auto"/>
              <w:ind w:left="-40"/>
              <w:jc w:val="center"/>
              <w:rPr>
                <w:rFonts w:ascii="宋体" w:hAnsi="宋体" w:eastAsia="宋体" w:cs="Arial"/>
                <w:color w:val="auto"/>
                <w:spacing w:val="10"/>
                <w:sz w:val="21"/>
                <w:szCs w:val="21"/>
              </w:rPr>
            </w:pPr>
            <w:r>
              <w:rPr>
                <w:rFonts w:ascii="宋体" w:hAnsi="宋体" w:eastAsia="宋体" w:cs="Arial"/>
                <w:color w:val="auto"/>
                <w:spacing w:val="10"/>
                <w:sz w:val="21"/>
                <w:szCs w:val="21"/>
              </w:rPr>
              <w:t>饱和蒸气压(kPa)</w:t>
            </w:r>
          </w:p>
        </w:tc>
        <w:tc>
          <w:tcPr>
            <w:tcW w:w="2782" w:type="dxa"/>
            <w:gridSpan w:val="3"/>
            <w:vAlign w:val="center"/>
          </w:tcPr>
          <w:p>
            <w:pPr>
              <w:spacing w:line="360" w:lineRule="auto"/>
              <w:jc w:val="center"/>
              <w:rPr>
                <w:rFonts w:ascii="宋体" w:hAnsi="宋体" w:eastAsia="宋体" w:cs="Arial"/>
                <w:color w:val="auto"/>
                <w:spacing w:val="10"/>
                <w:sz w:val="21"/>
                <w:szCs w:val="21"/>
              </w:rPr>
            </w:pPr>
            <w:r>
              <w:rPr>
                <w:rFonts w:hint="eastAsia" w:ascii="宋体" w:hAnsi="宋体" w:eastAsia="宋体" w:cs="Arial"/>
                <w:color w:val="auto"/>
                <w:spacing w:val="10"/>
                <w:sz w:val="21"/>
                <w:szCs w:val="21"/>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89" w:hRule="atLeast"/>
          <w:jc w:val="center"/>
        </w:trPr>
        <w:tc>
          <w:tcPr>
            <w:tcW w:w="455" w:type="dxa"/>
            <w:vMerge w:val="continue"/>
            <w:vAlign w:val="center"/>
          </w:tcPr>
          <w:p>
            <w:pPr>
              <w:widowControl/>
              <w:spacing w:line="360" w:lineRule="auto"/>
              <w:rPr>
                <w:rFonts w:ascii="宋体" w:hAnsi="宋体" w:eastAsia="宋体" w:cs="Arial"/>
                <w:color w:val="auto"/>
                <w:spacing w:val="10"/>
                <w:sz w:val="21"/>
                <w:szCs w:val="21"/>
              </w:rPr>
            </w:pPr>
          </w:p>
        </w:tc>
        <w:tc>
          <w:tcPr>
            <w:tcW w:w="1713" w:type="dxa"/>
            <w:tcBorders>
              <w:bottom w:val="single" w:color="auto" w:sz="4" w:space="0"/>
            </w:tcBorders>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溶解性</w:t>
            </w:r>
          </w:p>
        </w:tc>
        <w:tc>
          <w:tcPr>
            <w:tcW w:w="6354" w:type="dxa"/>
            <w:gridSpan w:val="10"/>
            <w:tcBorders>
              <w:bottom w:val="single" w:color="auto" w:sz="4" w:space="0"/>
            </w:tcBorders>
            <w:vAlign w:val="center"/>
          </w:tcPr>
          <w:p>
            <w:pPr>
              <w:spacing w:line="360" w:lineRule="auto"/>
              <w:rPr>
                <w:rFonts w:ascii="宋体" w:hAnsi="宋体" w:eastAsia="宋体" w:cs="Arial"/>
                <w:color w:val="auto"/>
                <w:spacing w:val="10"/>
                <w:sz w:val="21"/>
                <w:szCs w:val="21"/>
              </w:rPr>
            </w:pPr>
            <w:r>
              <w:rPr>
                <w:rFonts w:hint="eastAsia" w:ascii="宋体" w:hAnsi="宋体" w:eastAsia="宋体"/>
                <w:color w:val="auto"/>
                <w:sz w:val="21"/>
                <w:szCs w:val="21"/>
              </w:rPr>
              <w:t>溶于丙酮、乙二醇、甲苯等。</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07" w:hRule="atLeast"/>
          <w:jc w:val="center"/>
        </w:trPr>
        <w:tc>
          <w:tcPr>
            <w:tcW w:w="455" w:type="dxa"/>
            <w:vMerge w:val="continue"/>
            <w:vAlign w:val="center"/>
          </w:tcPr>
          <w:p>
            <w:pPr>
              <w:widowControl/>
              <w:spacing w:line="360" w:lineRule="auto"/>
              <w:rPr>
                <w:rFonts w:ascii="宋体" w:hAnsi="宋体" w:eastAsia="宋体" w:cs="Arial"/>
                <w:color w:val="auto"/>
                <w:spacing w:val="10"/>
                <w:sz w:val="21"/>
                <w:szCs w:val="21"/>
              </w:rPr>
            </w:pPr>
          </w:p>
        </w:tc>
        <w:tc>
          <w:tcPr>
            <w:tcW w:w="1713" w:type="dxa"/>
            <w:tcBorders>
              <w:top w:val="single" w:color="auto" w:sz="4" w:space="0"/>
            </w:tcBorders>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危害性类别</w:t>
            </w:r>
          </w:p>
        </w:tc>
        <w:tc>
          <w:tcPr>
            <w:tcW w:w="6354" w:type="dxa"/>
            <w:gridSpan w:val="10"/>
            <w:tcBorders>
              <w:top w:val="single" w:color="auto" w:sz="4" w:space="0"/>
            </w:tcBorders>
            <w:vAlign w:val="center"/>
          </w:tcPr>
          <w:p>
            <w:pPr>
              <w:widowControl/>
              <w:spacing w:line="360" w:lineRule="auto"/>
              <w:rPr>
                <w:rFonts w:ascii="宋体" w:hAnsi="宋体" w:eastAsia="宋体" w:cs="宋体"/>
                <w:color w:val="auto"/>
                <w:sz w:val="21"/>
                <w:szCs w:val="21"/>
              </w:rPr>
            </w:pPr>
            <w:r>
              <w:rPr>
                <w:rFonts w:ascii="宋体" w:hAnsi="宋体" w:eastAsia="宋体" w:cs="宋体"/>
                <w:color w:val="auto"/>
                <w:sz w:val="21"/>
                <w:szCs w:val="21"/>
              </w:rPr>
              <w:t>23℃≤闪点≤60℃：</w:t>
            </w:r>
          </w:p>
          <w:p>
            <w:pPr>
              <w:widowControl/>
              <w:spacing w:line="360" w:lineRule="auto"/>
              <w:rPr>
                <w:rFonts w:ascii="宋体" w:hAnsi="宋体" w:eastAsia="宋体" w:cs="宋体"/>
                <w:color w:val="auto"/>
                <w:sz w:val="21"/>
                <w:szCs w:val="21"/>
                <w:lang w:eastAsia="zh-CN"/>
              </w:rPr>
            </w:pPr>
            <w:r>
              <w:rPr>
                <w:rFonts w:ascii="宋体" w:hAnsi="宋体" w:eastAsia="宋体" w:cs="宋体"/>
                <w:color w:val="auto"/>
                <w:sz w:val="21"/>
                <w:szCs w:val="21"/>
              </w:rPr>
              <w:t>易燃液体，类别3</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55" w:type="dxa"/>
            <w:vMerge w:val="restart"/>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毒性及健康危害</w:t>
            </w:r>
          </w:p>
        </w:tc>
        <w:tc>
          <w:tcPr>
            <w:tcW w:w="1713" w:type="dxa"/>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侵入途径</w:t>
            </w:r>
          </w:p>
        </w:tc>
        <w:tc>
          <w:tcPr>
            <w:tcW w:w="6354" w:type="dxa"/>
            <w:gridSpan w:val="10"/>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吸入、食入、经皮吸收。</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55" w:type="dxa"/>
            <w:vMerge w:val="continue"/>
            <w:vAlign w:val="center"/>
          </w:tcPr>
          <w:p>
            <w:pPr>
              <w:widowControl/>
              <w:spacing w:line="360" w:lineRule="auto"/>
              <w:rPr>
                <w:rFonts w:ascii="宋体" w:hAnsi="宋体" w:eastAsia="宋体" w:cs="Arial"/>
                <w:color w:val="auto"/>
                <w:spacing w:val="10"/>
                <w:sz w:val="21"/>
                <w:szCs w:val="21"/>
              </w:rPr>
            </w:pPr>
          </w:p>
        </w:tc>
        <w:tc>
          <w:tcPr>
            <w:tcW w:w="1713" w:type="dxa"/>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毒性</w:t>
            </w:r>
          </w:p>
        </w:tc>
        <w:tc>
          <w:tcPr>
            <w:tcW w:w="6354" w:type="dxa"/>
            <w:gridSpan w:val="10"/>
            <w:vAlign w:val="center"/>
          </w:tcPr>
          <w:p>
            <w:pPr>
              <w:spacing w:line="360" w:lineRule="auto"/>
              <w:rPr>
                <w:rFonts w:ascii="宋体" w:hAnsi="宋体" w:eastAsia="宋体" w:cs="Arial"/>
                <w:color w:val="auto"/>
                <w:sz w:val="21"/>
                <w:szCs w:val="21"/>
              </w:rPr>
            </w:pPr>
            <w:r>
              <w:rPr>
                <w:rFonts w:ascii="宋体" w:hAnsi="宋体" w:eastAsia="宋体" w:cs="Arial"/>
                <w:color w:val="auto"/>
                <w:spacing w:val="10"/>
                <w:sz w:val="21"/>
                <w:szCs w:val="21"/>
              </w:rPr>
              <w:t>LD</w:t>
            </w:r>
            <w:r>
              <w:rPr>
                <w:rFonts w:ascii="宋体" w:hAnsi="宋体" w:eastAsia="宋体" w:cs="Arial"/>
                <w:color w:val="auto"/>
                <w:spacing w:val="10"/>
                <w:sz w:val="21"/>
                <w:szCs w:val="21"/>
                <w:vertAlign w:val="subscript"/>
              </w:rPr>
              <w:t>50</w:t>
            </w:r>
            <w:r>
              <w:rPr>
                <w:rFonts w:ascii="宋体" w:hAnsi="宋体" w:eastAsia="宋体" w:cs="Arial"/>
                <w:color w:val="auto"/>
                <w:spacing w:val="10"/>
                <w:sz w:val="21"/>
                <w:szCs w:val="21"/>
              </w:rPr>
              <w:t>：</w:t>
            </w:r>
            <w:r>
              <w:rPr>
                <w:rFonts w:hint="eastAsia" w:ascii="宋体" w:hAnsi="宋体" w:eastAsia="宋体" w:cs="Arial"/>
                <w:color w:val="auto"/>
                <w:spacing w:val="10"/>
                <w:sz w:val="21"/>
                <w:szCs w:val="21"/>
              </w:rPr>
              <w:t>/</w:t>
            </w:r>
          </w:p>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LC</w:t>
            </w:r>
            <w:r>
              <w:rPr>
                <w:rFonts w:ascii="宋体" w:hAnsi="宋体" w:eastAsia="宋体" w:cs="Arial"/>
                <w:color w:val="auto"/>
                <w:spacing w:val="10"/>
                <w:sz w:val="21"/>
                <w:szCs w:val="21"/>
                <w:vertAlign w:val="subscript"/>
              </w:rPr>
              <w:t>50</w:t>
            </w:r>
            <w:r>
              <w:rPr>
                <w:rFonts w:ascii="宋体" w:hAnsi="宋体" w:eastAsia="宋体" w:cs="Arial"/>
                <w:color w:val="auto"/>
                <w:spacing w:val="10"/>
                <w:sz w:val="21"/>
                <w:szCs w:val="21"/>
              </w:rPr>
              <w:t>：</w:t>
            </w:r>
            <w:r>
              <w:rPr>
                <w:rFonts w:hint="eastAsia" w:ascii="宋体" w:hAnsi="宋体" w:eastAsia="宋体" w:cs="Arial"/>
                <w:color w:val="auto"/>
                <w:spacing w:val="10"/>
                <w:sz w:val="21"/>
                <w:szCs w:val="21"/>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55" w:type="dxa"/>
            <w:vMerge w:val="continue"/>
            <w:vAlign w:val="center"/>
          </w:tcPr>
          <w:p>
            <w:pPr>
              <w:widowControl/>
              <w:spacing w:line="360" w:lineRule="auto"/>
              <w:rPr>
                <w:rFonts w:ascii="宋体" w:hAnsi="宋体" w:eastAsia="宋体" w:cs="Arial"/>
                <w:color w:val="auto"/>
                <w:spacing w:val="10"/>
                <w:sz w:val="21"/>
                <w:szCs w:val="21"/>
              </w:rPr>
            </w:pPr>
          </w:p>
        </w:tc>
        <w:tc>
          <w:tcPr>
            <w:tcW w:w="1713" w:type="dxa"/>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健康危害</w:t>
            </w:r>
          </w:p>
        </w:tc>
        <w:tc>
          <w:tcPr>
            <w:tcW w:w="6354" w:type="dxa"/>
            <w:gridSpan w:val="10"/>
            <w:vAlign w:val="center"/>
          </w:tcPr>
          <w:p>
            <w:pPr>
              <w:spacing w:line="360" w:lineRule="auto"/>
              <w:rPr>
                <w:rFonts w:ascii="宋体" w:hAnsi="宋体" w:eastAsia="宋体" w:cs="Arial"/>
                <w:color w:val="auto"/>
                <w:spacing w:val="6"/>
                <w:sz w:val="21"/>
                <w:szCs w:val="21"/>
              </w:rPr>
            </w:pPr>
            <w:r>
              <w:rPr>
                <w:rFonts w:hint="eastAsia" w:ascii="宋体" w:hAnsi="宋体" w:eastAsia="宋体"/>
                <w:color w:val="auto"/>
                <w:sz w:val="21"/>
                <w:szCs w:val="21"/>
              </w:rPr>
              <w:t>接触本品主要危害为过敏而出现皮肤疾病。皮炎有时伴有眼睛和上呼吸道的刺激，制备和使用树脂的工人，可有头痛、恶心、食欲不振、眼灼痛、眼睑水肿，上呼吸道刺激，皮肤病症等。</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55" w:type="dxa"/>
            <w:vMerge w:val="continue"/>
            <w:vAlign w:val="center"/>
          </w:tcPr>
          <w:p>
            <w:pPr>
              <w:widowControl/>
              <w:spacing w:line="360" w:lineRule="auto"/>
              <w:rPr>
                <w:rFonts w:ascii="宋体" w:hAnsi="宋体" w:eastAsia="宋体" w:cs="Arial"/>
                <w:color w:val="auto"/>
                <w:spacing w:val="10"/>
                <w:sz w:val="21"/>
                <w:szCs w:val="21"/>
              </w:rPr>
            </w:pPr>
          </w:p>
        </w:tc>
        <w:tc>
          <w:tcPr>
            <w:tcW w:w="1713" w:type="dxa"/>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急救方法</w:t>
            </w:r>
          </w:p>
        </w:tc>
        <w:tc>
          <w:tcPr>
            <w:tcW w:w="6354" w:type="dxa"/>
            <w:gridSpan w:val="10"/>
            <w:vAlign w:val="center"/>
          </w:tcPr>
          <w:p>
            <w:pPr>
              <w:spacing w:line="360" w:lineRule="auto"/>
              <w:rPr>
                <w:rFonts w:ascii="宋体" w:hAnsi="宋体" w:eastAsia="宋体" w:cs="Arial"/>
                <w:color w:val="auto"/>
                <w:spacing w:val="10"/>
                <w:sz w:val="21"/>
                <w:szCs w:val="21"/>
              </w:rPr>
            </w:pPr>
            <w:r>
              <w:rPr>
                <w:rFonts w:hint="eastAsia" w:ascii="宋体" w:hAnsi="宋体" w:eastAsia="宋体"/>
                <w:color w:val="auto"/>
                <w:sz w:val="21"/>
                <w:szCs w:val="21"/>
              </w:rPr>
              <w:t>皮肤接触：脱去污染的衣着，用肥皂水及清水彻底冲洗。眼睛接触：立即翻开上下眼睑，立即用流动清水彻底冲洗。就医。吸入：脱离现场至空气新鲜处。就医。食入：误服者给饮足量温水，催吐，就医。</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55" w:type="dxa"/>
            <w:vMerge w:val="restart"/>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燃烧爆炸危险性</w:t>
            </w:r>
          </w:p>
        </w:tc>
        <w:tc>
          <w:tcPr>
            <w:tcW w:w="1713" w:type="dxa"/>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燃烧性</w:t>
            </w:r>
          </w:p>
        </w:tc>
        <w:tc>
          <w:tcPr>
            <w:tcW w:w="1407" w:type="dxa"/>
            <w:gridSpan w:val="3"/>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易燃</w:t>
            </w:r>
          </w:p>
        </w:tc>
        <w:tc>
          <w:tcPr>
            <w:tcW w:w="1945" w:type="dxa"/>
            <w:gridSpan w:val="3"/>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燃烧分解物</w:t>
            </w:r>
          </w:p>
        </w:tc>
        <w:tc>
          <w:tcPr>
            <w:tcW w:w="3002" w:type="dxa"/>
            <w:gridSpan w:val="4"/>
            <w:vAlign w:val="center"/>
          </w:tcPr>
          <w:p>
            <w:pPr>
              <w:spacing w:line="360" w:lineRule="auto"/>
              <w:jc w:val="center"/>
              <w:rPr>
                <w:rFonts w:ascii="宋体" w:hAnsi="宋体" w:eastAsia="宋体" w:cs="Arial"/>
                <w:color w:val="auto"/>
                <w:spacing w:val="10"/>
                <w:sz w:val="21"/>
                <w:szCs w:val="21"/>
              </w:rPr>
            </w:pPr>
            <w:r>
              <w:rPr>
                <w:rFonts w:hint="eastAsia" w:ascii="宋体" w:hAnsi="宋体" w:eastAsia="宋体"/>
                <w:color w:val="auto"/>
                <w:sz w:val="21"/>
                <w:szCs w:val="21"/>
              </w:rPr>
              <w:t>一氧化碳、二氧化碳</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55" w:type="dxa"/>
            <w:vMerge w:val="continue"/>
            <w:vAlign w:val="center"/>
          </w:tcPr>
          <w:p>
            <w:pPr>
              <w:widowControl/>
              <w:spacing w:line="360" w:lineRule="auto"/>
              <w:rPr>
                <w:rFonts w:ascii="宋体" w:hAnsi="宋体" w:eastAsia="宋体" w:cs="Arial"/>
                <w:color w:val="auto"/>
                <w:spacing w:val="10"/>
                <w:sz w:val="21"/>
                <w:szCs w:val="21"/>
              </w:rPr>
            </w:pPr>
          </w:p>
        </w:tc>
        <w:tc>
          <w:tcPr>
            <w:tcW w:w="1713" w:type="dxa"/>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闪点(℃)</w:t>
            </w:r>
          </w:p>
        </w:tc>
        <w:tc>
          <w:tcPr>
            <w:tcW w:w="1407" w:type="dxa"/>
            <w:gridSpan w:val="3"/>
            <w:vAlign w:val="center"/>
          </w:tcPr>
          <w:p>
            <w:pPr>
              <w:spacing w:line="360" w:lineRule="auto"/>
              <w:jc w:val="center"/>
              <w:rPr>
                <w:rFonts w:ascii="宋体" w:hAnsi="宋体" w:eastAsia="宋体" w:cs="Arial"/>
                <w:color w:val="auto"/>
                <w:spacing w:val="10"/>
                <w:sz w:val="21"/>
                <w:szCs w:val="21"/>
              </w:rPr>
            </w:pPr>
            <w:r>
              <w:rPr>
                <w:rFonts w:hint="eastAsia" w:ascii="宋体" w:hAnsi="宋体" w:eastAsia="宋体" w:cs="Arial"/>
                <w:color w:val="auto"/>
                <w:spacing w:val="10"/>
                <w:sz w:val="21"/>
                <w:szCs w:val="21"/>
              </w:rPr>
              <w:t>23-61</w:t>
            </w:r>
          </w:p>
        </w:tc>
        <w:tc>
          <w:tcPr>
            <w:tcW w:w="1945" w:type="dxa"/>
            <w:gridSpan w:val="3"/>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爆炸上限(v%)</w:t>
            </w:r>
          </w:p>
        </w:tc>
        <w:tc>
          <w:tcPr>
            <w:tcW w:w="3002" w:type="dxa"/>
            <w:gridSpan w:val="4"/>
            <w:vAlign w:val="center"/>
          </w:tcPr>
          <w:p>
            <w:pPr>
              <w:spacing w:line="360" w:lineRule="auto"/>
              <w:jc w:val="center"/>
              <w:rPr>
                <w:rFonts w:ascii="宋体" w:hAnsi="宋体" w:eastAsia="宋体" w:cs="Arial"/>
                <w:color w:val="auto"/>
                <w:spacing w:val="10"/>
                <w:sz w:val="21"/>
                <w:szCs w:val="21"/>
              </w:rPr>
            </w:pPr>
            <w:r>
              <w:rPr>
                <w:rFonts w:hint="eastAsia" w:ascii="宋体" w:hAnsi="宋体" w:eastAsia="宋体" w:cs="Arial"/>
                <w:color w:val="auto"/>
                <w:spacing w:val="10"/>
                <w:sz w:val="21"/>
                <w:szCs w:val="21"/>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55" w:type="dxa"/>
            <w:vMerge w:val="continue"/>
            <w:vAlign w:val="center"/>
          </w:tcPr>
          <w:p>
            <w:pPr>
              <w:widowControl/>
              <w:spacing w:line="360" w:lineRule="auto"/>
              <w:rPr>
                <w:rFonts w:ascii="宋体" w:hAnsi="宋体" w:eastAsia="宋体" w:cs="Arial"/>
                <w:color w:val="auto"/>
                <w:spacing w:val="10"/>
                <w:sz w:val="21"/>
                <w:szCs w:val="21"/>
              </w:rPr>
            </w:pPr>
          </w:p>
        </w:tc>
        <w:tc>
          <w:tcPr>
            <w:tcW w:w="1713" w:type="dxa"/>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引燃温度(℃)</w:t>
            </w:r>
          </w:p>
        </w:tc>
        <w:tc>
          <w:tcPr>
            <w:tcW w:w="1407" w:type="dxa"/>
            <w:gridSpan w:val="3"/>
            <w:vAlign w:val="center"/>
          </w:tcPr>
          <w:p>
            <w:pPr>
              <w:spacing w:line="360" w:lineRule="auto"/>
              <w:jc w:val="center"/>
              <w:rPr>
                <w:rFonts w:ascii="宋体" w:hAnsi="宋体" w:eastAsia="宋体" w:cs="Arial"/>
                <w:color w:val="auto"/>
                <w:spacing w:val="10"/>
                <w:sz w:val="21"/>
                <w:szCs w:val="21"/>
              </w:rPr>
            </w:pPr>
            <w:r>
              <w:rPr>
                <w:rFonts w:hint="eastAsia" w:ascii="宋体" w:hAnsi="宋体" w:eastAsia="宋体" w:cs="Arial"/>
                <w:color w:val="auto"/>
                <w:spacing w:val="10"/>
                <w:sz w:val="21"/>
                <w:szCs w:val="21"/>
              </w:rPr>
              <w:t>/</w:t>
            </w:r>
          </w:p>
        </w:tc>
        <w:tc>
          <w:tcPr>
            <w:tcW w:w="1945" w:type="dxa"/>
            <w:gridSpan w:val="3"/>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爆炸下限(v%)</w:t>
            </w:r>
          </w:p>
        </w:tc>
        <w:tc>
          <w:tcPr>
            <w:tcW w:w="3002" w:type="dxa"/>
            <w:gridSpan w:val="4"/>
            <w:vAlign w:val="center"/>
          </w:tcPr>
          <w:p>
            <w:pPr>
              <w:spacing w:line="360" w:lineRule="auto"/>
              <w:jc w:val="center"/>
              <w:rPr>
                <w:rFonts w:ascii="宋体" w:hAnsi="宋体" w:eastAsia="宋体" w:cs="Arial"/>
                <w:color w:val="auto"/>
                <w:spacing w:val="10"/>
                <w:sz w:val="21"/>
                <w:szCs w:val="21"/>
              </w:rPr>
            </w:pPr>
            <w:r>
              <w:rPr>
                <w:rFonts w:hint="eastAsia" w:ascii="宋体" w:hAnsi="宋体" w:eastAsia="宋体" w:cs="Arial"/>
                <w:color w:val="auto"/>
                <w:spacing w:val="10"/>
                <w:sz w:val="21"/>
                <w:szCs w:val="21"/>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55" w:type="dxa"/>
            <w:vMerge w:val="continue"/>
            <w:vAlign w:val="center"/>
          </w:tcPr>
          <w:p>
            <w:pPr>
              <w:widowControl/>
              <w:spacing w:line="360" w:lineRule="auto"/>
              <w:rPr>
                <w:rFonts w:ascii="宋体" w:hAnsi="宋体" w:eastAsia="宋体" w:cs="Arial"/>
                <w:color w:val="auto"/>
                <w:spacing w:val="10"/>
                <w:sz w:val="21"/>
                <w:szCs w:val="21"/>
              </w:rPr>
            </w:pPr>
          </w:p>
        </w:tc>
        <w:tc>
          <w:tcPr>
            <w:tcW w:w="1713" w:type="dxa"/>
            <w:vAlign w:val="center"/>
          </w:tcPr>
          <w:p>
            <w:pPr>
              <w:spacing w:line="360" w:lineRule="auto"/>
              <w:jc w:val="center"/>
              <w:rPr>
                <w:rFonts w:ascii="宋体" w:hAnsi="宋体" w:eastAsia="宋体"/>
                <w:color w:val="auto"/>
                <w:spacing w:val="10"/>
                <w:sz w:val="21"/>
                <w:szCs w:val="21"/>
              </w:rPr>
            </w:pPr>
            <w:r>
              <w:rPr>
                <w:rFonts w:hint="eastAsia" w:ascii="宋体" w:hAnsi="宋体" w:eastAsia="宋体"/>
                <w:color w:val="auto"/>
                <w:spacing w:val="10"/>
                <w:sz w:val="21"/>
                <w:szCs w:val="21"/>
              </w:rPr>
              <w:t>建规火险分级</w:t>
            </w:r>
          </w:p>
        </w:tc>
        <w:tc>
          <w:tcPr>
            <w:tcW w:w="1407" w:type="dxa"/>
            <w:gridSpan w:val="3"/>
            <w:vAlign w:val="center"/>
          </w:tcPr>
          <w:p>
            <w:pPr>
              <w:spacing w:line="360" w:lineRule="auto"/>
              <w:jc w:val="center"/>
              <w:rPr>
                <w:rFonts w:ascii="宋体" w:hAnsi="宋体" w:eastAsia="宋体"/>
                <w:color w:val="auto"/>
                <w:spacing w:val="10"/>
                <w:sz w:val="21"/>
                <w:szCs w:val="21"/>
              </w:rPr>
            </w:pPr>
            <w:r>
              <w:rPr>
                <w:rFonts w:hint="eastAsia" w:ascii="宋体" w:hAnsi="宋体" w:eastAsia="宋体"/>
                <w:color w:val="auto"/>
                <w:spacing w:val="10"/>
                <w:sz w:val="21"/>
                <w:szCs w:val="21"/>
              </w:rPr>
              <w:t>乙</w:t>
            </w:r>
          </w:p>
        </w:tc>
        <w:tc>
          <w:tcPr>
            <w:tcW w:w="972" w:type="dxa"/>
            <w:vAlign w:val="center"/>
          </w:tcPr>
          <w:p>
            <w:pPr>
              <w:spacing w:line="360" w:lineRule="auto"/>
              <w:jc w:val="center"/>
              <w:rPr>
                <w:rFonts w:ascii="宋体" w:hAnsi="宋体" w:eastAsia="宋体"/>
                <w:color w:val="auto"/>
                <w:spacing w:val="10"/>
                <w:sz w:val="21"/>
                <w:szCs w:val="21"/>
              </w:rPr>
            </w:pPr>
            <w:r>
              <w:rPr>
                <w:rFonts w:hint="eastAsia" w:ascii="宋体" w:hAnsi="宋体" w:eastAsia="宋体"/>
                <w:color w:val="auto"/>
                <w:spacing w:val="10"/>
                <w:sz w:val="21"/>
                <w:szCs w:val="21"/>
              </w:rPr>
              <w:t>稳定性</w:t>
            </w:r>
          </w:p>
        </w:tc>
        <w:tc>
          <w:tcPr>
            <w:tcW w:w="973" w:type="dxa"/>
            <w:gridSpan w:val="2"/>
            <w:vAlign w:val="center"/>
          </w:tcPr>
          <w:p>
            <w:pPr>
              <w:spacing w:line="360" w:lineRule="auto"/>
              <w:jc w:val="center"/>
              <w:rPr>
                <w:rFonts w:ascii="宋体" w:hAnsi="宋体" w:eastAsia="宋体"/>
                <w:color w:val="auto"/>
                <w:spacing w:val="10"/>
                <w:sz w:val="21"/>
                <w:szCs w:val="21"/>
              </w:rPr>
            </w:pPr>
            <w:r>
              <w:rPr>
                <w:rFonts w:hint="eastAsia" w:ascii="宋体" w:hAnsi="宋体" w:eastAsia="宋体"/>
                <w:color w:val="auto"/>
                <w:spacing w:val="10"/>
                <w:sz w:val="21"/>
                <w:szCs w:val="21"/>
              </w:rPr>
              <w:t>稳定</w:t>
            </w:r>
          </w:p>
        </w:tc>
        <w:tc>
          <w:tcPr>
            <w:tcW w:w="1499" w:type="dxa"/>
            <w:gridSpan w:val="2"/>
            <w:vAlign w:val="center"/>
          </w:tcPr>
          <w:p>
            <w:pPr>
              <w:spacing w:line="360" w:lineRule="auto"/>
              <w:jc w:val="center"/>
              <w:rPr>
                <w:rFonts w:ascii="宋体" w:hAnsi="宋体" w:eastAsia="宋体"/>
                <w:color w:val="auto"/>
                <w:spacing w:val="10"/>
                <w:sz w:val="21"/>
                <w:szCs w:val="21"/>
              </w:rPr>
            </w:pPr>
            <w:r>
              <w:rPr>
                <w:rFonts w:hint="eastAsia" w:ascii="宋体" w:hAnsi="宋体" w:eastAsia="宋体"/>
                <w:color w:val="auto"/>
                <w:spacing w:val="10"/>
                <w:sz w:val="21"/>
                <w:szCs w:val="21"/>
              </w:rPr>
              <w:t>聚合危害</w:t>
            </w:r>
          </w:p>
        </w:tc>
        <w:tc>
          <w:tcPr>
            <w:tcW w:w="1503" w:type="dxa"/>
            <w:gridSpan w:val="2"/>
            <w:vAlign w:val="center"/>
          </w:tcPr>
          <w:p>
            <w:pPr>
              <w:spacing w:line="360" w:lineRule="auto"/>
              <w:jc w:val="center"/>
              <w:rPr>
                <w:rFonts w:ascii="宋体" w:hAnsi="宋体" w:eastAsia="宋体"/>
                <w:color w:val="auto"/>
                <w:spacing w:val="10"/>
                <w:sz w:val="21"/>
                <w:szCs w:val="21"/>
              </w:rPr>
            </w:pPr>
            <w:r>
              <w:rPr>
                <w:rFonts w:hint="eastAsia" w:ascii="宋体" w:hAnsi="宋体" w:eastAsia="宋体"/>
                <w:color w:val="auto"/>
                <w:spacing w:val="10"/>
                <w:sz w:val="21"/>
                <w:szCs w:val="21"/>
              </w:rPr>
              <w:t>不聚合</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55" w:type="dxa"/>
            <w:vMerge w:val="continue"/>
            <w:vAlign w:val="center"/>
          </w:tcPr>
          <w:p>
            <w:pPr>
              <w:widowControl/>
              <w:spacing w:line="360" w:lineRule="auto"/>
              <w:rPr>
                <w:rFonts w:ascii="宋体" w:hAnsi="宋体" w:eastAsia="宋体" w:cs="Arial"/>
                <w:color w:val="auto"/>
                <w:spacing w:val="10"/>
                <w:sz w:val="21"/>
                <w:szCs w:val="21"/>
              </w:rPr>
            </w:pPr>
          </w:p>
        </w:tc>
        <w:tc>
          <w:tcPr>
            <w:tcW w:w="1713" w:type="dxa"/>
            <w:vAlign w:val="center"/>
          </w:tcPr>
          <w:p>
            <w:pPr>
              <w:spacing w:line="360" w:lineRule="auto"/>
              <w:jc w:val="center"/>
              <w:rPr>
                <w:rFonts w:ascii="宋体" w:hAnsi="宋体" w:eastAsia="宋体"/>
                <w:color w:val="auto"/>
                <w:spacing w:val="10"/>
                <w:sz w:val="21"/>
                <w:szCs w:val="21"/>
              </w:rPr>
            </w:pPr>
            <w:r>
              <w:rPr>
                <w:rFonts w:hint="eastAsia" w:ascii="宋体" w:hAnsi="宋体" w:eastAsia="宋体"/>
                <w:color w:val="auto"/>
                <w:spacing w:val="10"/>
                <w:sz w:val="21"/>
                <w:szCs w:val="21"/>
              </w:rPr>
              <w:t>禁忌物</w:t>
            </w:r>
          </w:p>
        </w:tc>
        <w:tc>
          <w:tcPr>
            <w:tcW w:w="6354" w:type="dxa"/>
            <w:gridSpan w:val="10"/>
            <w:vAlign w:val="center"/>
          </w:tcPr>
          <w:p>
            <w:pPr>
              <w:spacing w:line="360" w:lineRule="auto"/>
              <w:rPr>
                <w:rFonts w:ascii="宋体" w:hAnsi="宋体" w:eastAsia="宋体"/>
                <w:color w:val="auto"/>
                <w:spacing w:val="10"/>
                <w:sz w:val="21"/>
                <w:szCs w:val="21"/>
              </w:rPr>
            </w:pPr>
            <w:r>
              <w:rPr>
                <w:rFonts w:ascii="宋体" w:hAnsi="宋体" w:eastAsia="宋体"/>
                <w:color w:val="auto"/>
                <w:sz w:val="21"/>
                <w:szCs w:val="21"/>
              </w:rPr>
              <w:t>强氧化剂</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55" w:type="dxa"/>
            <w:vMerge w:val="continue"/>
            <w:vAlign w:val="center"/>
          </w:tcPr>
          <w:p>
            <w:pPr>
              <w:widowControl/>
              <w:spacing w:line="360" w:lineRule="auto"/>
              <w:rPr>
                <w:rFonts w:ascii="宋体" w:hAnsi="宋体" w:eastAsia="宋体" w:cs="Arial"/>
                <w:color w:val="auto"/>
                <w:spacing w:val="10"/>
                <w:sz w:val="21"/>
                <w:szCs w:val="21"/>
              </w:rPr>
            </w:pPr>
          </w:p>
        </w:tc>
        <w:tc>
          <w:tcPr>
            <w:tcW w:w="1713" w:type="dxa"/>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危险特性</w:t>
            </w:r>
          </w:p>
        </w:tc>
        <w:tc>
          <w:tcPr>
            <w:tcW w:w="6354" w:type="dxa"/>
            <w:gridSpan w:val="10"/>
            <w:vAlign w:val="center"/>
          </w:tcPr>
          <w:p>
            <w:pPr>
              <w:spacing w:line="360" w:lineRule="auto"/>
              <w:rPr>
                <w:rFonts w:ascii="宋体" w:hAnsi="宋体" w:eastAsia="宋体" w:cs="Arial"/>
                <w:color w:val="auto"/>
                <w:spacing w:val="10"/>
                <w:sz w:val="21"/>
                <w:szCs w:val="21"/>
              </w:rPr>
            </w:pPr>
            <w:r>
              <w:rPr>
                <w:rFonts w:hint="eastAsia" w:ascii="宋体" w:hAnsi="宋体" w:eastAsia="宋体"/>
                <w:color w:val="auto"/>
                <w:sz w:val="21"/>
                <w:szCs w:val="21"/>
              </w:rPr>
              <w:t>受高热分解放出有毒的气体。粉体与空气可形成爆炸性混合物，当达到一定的浓度时，遇火星会发生爆炸。</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55" w:type="dxa"/>
            <w:vMerge w:val="continue"/>
            <w:vAlign w:val="center"/>
          </w:tcPr>
          <w:p>
            <w:pPr>
              <w:widowControl/>
              <w:spacing w:line="360" w:lineRule="auto"/>
              <w:rPr>
                <w:rFonts w:ascii="宋体" w:hAnsi="宋体" w:eastAsia="宋体" w:cs="Arial"/>
                <w:color w:val="auto"/>
                <w:spacing w:val="10"/>
                <w:sz w:val="21"/>
                <w:szCs w:val="21"/>
              </w:rPr>
            </w:pPr>
          </w:p>
        </w:tc>
        <w:tc>
          <w:tcPr>
            <w:tcW w:w="1713" w:type="dxa"/>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储运条件</w:t>
            </w:r>
          </w:p>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与泄漏处理</w:t>
            </w:r>
          </w:p>
        </w:tc>
        <w:tc>
          <w:tcPr>
            <w:tcW w:w="6354" w:type="dxa"/>
            <w:gridSpan w:val="10"/>
            <w:vAlign w:val="center"/>
          </w:tcPr>
          <w:p>
            <w:pPr>
              <w:spacing w:line="360" w:lineRule="auto"/>
              <w:rPr>
                <w:rFonts w:ascii="宋体" w:hAnsi="宋体" w:eastAsia="宋体"/>
                <w:color w:val="auto"/>
                <w:sz w:val="21"/>
                <w:szCs w:val="21"/>
              </w:rPr>
            </w:pPr>
            <w:r>
              <w:rPr>
                <w:rFonts w:ascii="宋体" w:hAnsi="宋体" w:eastAsia="宋体" w:cs="Arial"/>
                <w:b/>
                <w:color w:val="auto"/>
                <w:spacing w:val="4"/>
                <w:sz w:val="21"/>
                <w:szCs w:val="21"/>
              </w:rPr>
              <w:t>储运条件</w:t>
            </w:r>
            <w:r>
              <w:rPr>
                <w:rFonts w:ascii="宋体" w:hAnsi="宋体" w:eastAsia="宋体" w:cs="Arial"/>
                <w:color w:val="auto"/>
                <w:spacing w:val="4"/>
                <w:sz w:val="21"/>
                <w:szCs w:val="21"/>
              </w:rPr>
              <w:t>：</w:t>
            </w:r>
            <w:r>
              <w:rPr>
                <w:rFonts w:hint="eastAsia" w:ascii="宋体" w:hAnsi="宋体" w:eastAsia="宋体"/>
                <w:color w:val="auto"/>
                <w:sz w:val="21"/>
                <w:szCs w:val="21"/>
              </w:rPr>
              <w:t>危险性类别：第3．3类 中闪点易燃液体；危险货物包装标志：7；包装类别：Ⅱ；储存于阴凉、通风仓间内。远离火种、热源。防止阳光直射。包装必须密封，切勿受潮。应与氧化剂分开存放。搬运时要轻装轻卸，防止包装及容器损坏。</w:t>
            </w:r>
          </w:p>
          <w:p>
            <w:pPr>
              <w:spacing w:line="360" w:lineRule="auto"/>
              <w:rPr>
                <w:rFonts w:ascii="宋体" w:hAnsi="宋体" w:eastAsia="宋体" w:cs="Arial"/>
                <w:color w:val="auto"/>
                <w:spacing w:val="4"/>
                <w:sz w:val="21"/>
                <w:szCs w:val="21"/>
              </w:rPr>
            </w:pPr>
            <w:r>
              <w:rPr>
                <w:rFonts w:ascii="宋体" w:hAnsi="宋体" w:eastAsia="宋体" w:cs="Arial"/>
                <w:b/>
                <w:color w:val="auto"/>
                <w:spacing w:val="4"/>
                <w:sz w:val="21"/>
                <w:szCs w:val="21"/>
              </w:rPr>
              <w:t>泄漏处理</w:t>
            </w:r>
            <w:r>
              <w:rPr>
                <w:rFonts w:ascii="宋体" w:hAnsi="宋体" w:eastAsia="宋体" w:cs="Arial"/>
                <w:color w:val="auto"/>
                <w:spacing w:val="4"/>
                <w:sz w:val="21"/>
                <w:szCs w:val="21"/>
              </w:rPr>
              <w:t>：</w:t>
            </w:r>
            <w:r>
              <w:rPr>
                <w:rFonts w:hint="eastAsia" w:ascii="宋体" w:hAnsi="宋体" w:eastAsia="宋体"/>
                <w:color w:val="auto"/>
                <w:sz w:val="21"/>
                <w:szCs w:val="21"/>
              </w:rPr>
              <w:t>切断火源。戴好防毒面具和手套。如是固体，收集回收。如是液体，在确保安全情况下堵漏。用干燥的砂土或类似物质吸收，然后在专用废弃场所深层掩埋。如大量泄漏，收集回收或无害处理后废弃。</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55" w:type="dxa"/>
            <w:vMerge w:val="continue"/>
            <w:vAlign w:val="center"/>
          </w:tcPr>
          <w:p>
            <w:pPr>
              <w:widowControl/>
              <w:spacing w:line="360" w:lineRule="auto"/>
              <w:rPr>
                <w:rFonts w:ascii="宋体" w:hAnsi="宋体" w:eastAsia="宋体" w:cs="Arial"/>
                <w:color w:val="auto"/>
                <w:spacing w:val="10"/>
                <w:sz w:val="21"/>
                <w:szCs w:val="21"/>
              </w:rPr>
            </w:pPr>
          </w:p>
        </w:tc>
        <w:tc>
          <w:tcPr>
            <w:tcW w:w="1713" w:type="dxa"/>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灭火方法</w:t>
            </w:r>
          </w:p>
        </w:tc>
        <w:tc>
          <w:tcPr>
            <w:tcW w:w="6354" w:type="dxa"/>
            <w:gridSpan w:val="10"/>
            <w:vAlign w:val="center"/>
          </w:tcPr>
          <w:p>
            <w:pPr>
              <w:spacing w:line="360" w:lineRule="auto"/>
              <w:rPr>
                <w:rFonts w:ascii="宋体" w:hAnsi="宋体" w:eastAsia="宋体" w:cs="Arial"/>
                <w:color w:val="auto"/>
                <w:spacing w:val="10"/>
                <w:sz w:val="21"/>
                <w:szCs w:val="21"/>
              </w:rPr>
            </w:pPr>
            <w:r>
              <w:rPr>
                <w:rFonts w:hint="eastAsia" w:ascii="宋体" w:hAnsi="宋体" w:eastAsia="宋体"/>
                <w:color w:val="auto"/>
                <w:sz w:val="21"/>
                <w:szCs w:val="21"/>
              </w:rPr>
              <w:t>雾状水、泡沫、二氧化碳、干粉、砂土</w:t>
            </w:r>
            <w:r>
              <w:rPr>
                <w:rStyle w:val="245"/>
                <w:rFonts w:hint="default"/>
                <w:color w:val="auto"/>
                <w:sz w:val="21"/>
                <w:szCs w:val="21"/>
              </w:rPr>
              <w:t>。</w:t>
            </w:r>
          </w:p>
        </w:tc>
      </w:tr>
    </w:tbl>
    <w:p>
      <w:pPr>
        <w:spacing w:line="560" w:lineRule="exact"/>
        <w:jc w:val="center"/>
        <w:outlineLvl w:val="2"/>
        <w:rPr>
          <w:rFonts w:ascii="宋体" w:hAnsi="宋体" w:eastAsia="宋体" w:cs="Times New Roman"/>
          <w:b/>
          <w:bCs/>
          <w:color w:val="auto"/>
          <w:kern w:val="2"/>
          <w:lang w:val="en-US" w:eastAsia="zh-CN" w:bidi="ar-SA"/>
        </w:rPr>
      </w:pPr>
      <w:r>
        <w:rPr>
          <w:rFonts w:hint="eastAsia" w:ascii="宋体" w:hAnsi="宋体" w:eastAsia="宋体" w:cs="Times New Roman"/>
          <w:b/>
          <w:bCs/>
          <w:color w:val="auto"/>
          <w:kern w:val="2"/>
          <w:lang w:val="en-US" w:eastAsia="zh-CN" w:bidi="ar-SA"/>
        </w:rPr>
        <w:t>附表1-16混丙醇</w:t>
      </w:r>
      <w:r>
        <w:rPr>
          <w:rFonts w:ascii="宋体" w:hAnsi="宋体" w:eastAsia="宋体" w:cs="Times New Roman"/>
          <w:b/>
          <w:bCs/>
          <w:color w:val="auto"/>
          <w:kern w:val="2"/>
          <w:lang w:val="en-US" w:eastAsia="zh-CN" w:bidi="ar-SA"/>
        </w:rPr>
        <w:t>的理化性质及危险特性</w:t>
      </w:r>
    </w:p>
    <w:tbl>
      <w:tblPr>
        <w:tblStyle w:val="45"/>
        <w:tblW w:w="5000" w:type="pct"/>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503"/>
        <w:gridCol w:w="1888"/>
        <w:gridCol w:w="931"/>
        <w:gridCol w:w="257"/>
        <w:gridCol w:w="363"/>
        <w:gridCol w:w="1071"/>
        <w:gridCol w:w="325"/>
        <w:gridCol w:w="747"/>
        <w:gridCol w:w="243"/>
        <w:gridCol w:w="1410"/>
        <w:gridCol w:w="726"/>
        <w:gridCol w:w="930"/>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55" w:type="dxa"/>
            <w:vMerge w:val="restart"/>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标</w:t>
            </w:r>
          </w:p>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识</w:t>
            </w:r>
          </w:p>
        </w:tc>
        <w:tc>
          <w:tcPr>
            <w:tcW w:w="5285" w:type="dxa"/>
            <w:gridSpan w:val="8"/>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中文名：</w:t>
            </w:r>
            <w:r>
              <w:rPr>
                <w:rFonts w:hint="eastAsia" w:ascii="宋体" w:hAnsi="宋体" w:eastAsia="宋体"/>
                <w:color w:val="auto"/>
                <w:sz w:val="21"/>
                <w:szCs w:val="21"/>
              </w:rPr>
              <w:t>混丙醇（正丙醇、异丙醇）</w:t>
            </w:r>
          </w:p>
        </w:tc>
        <w:tc>
          <w:tcPr>
            <w:tcW w:w="2782" w:type="dxa"/>
            <w:gridSpan w:val="3"/>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危险化学品序号：</w:t>
            </w:r>
            <w:r>
              <w:rPr>
                <w:rFonts w:hint="eastAsia" w:ascii="宋体" w:hAnsi="宋体" w:eastAsia="宋体" w:cs="Arial"/>
                <w:color w:val="auto"/>
                <w:sz w:val="21"/>
                <w:szCs w:val="21"/>
              </w:rPr>
              <w:t>2828</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55" w:type="dxa"/>
            <w:vMerge w:val="continue"/>
            <w:vAlign w:val="center"/>
          </w:tcPr>
          <w:p>
            <w:pPr>
              <w:widowControl/>
              <w:spacing w:line="360" w:lineRule="auto"/>
              <w:rPr>
                <w:rFonts w:ascii="宋体" w:hAnsi="宋体" w:eastAsia="宋体" w:cs="Arial"/>
                <w:color w:val="auto"/>
                <w:spacing w:val="10"/>
                <w:sz w:val="21"/>
                <w:szCs w:val="21"/>
              </w:rPr>
            </w:pPr>
          </w:p>
        </w:tc>
        <w:tc>
          <w:tcPr>
            <w:tcW w:w="5285" w:type="dxa"/>
            <w:gridSpan w:val="8"/>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英文名：propanol；isopropyl alcohol</w:t>
            </w:r>
          </w:p>
        </w:tc>
        <w:tc>
          <w:tcPr>
            <w:tcW w:w="2782" w:type="dxa"/>
            <w:gridSpan w:val="3"/>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UN编号：</w:t>
            </w:r>
            <w:r>
              <w:rPr>
                <w:rFonts w:hint="eastAsia" w:ascii="宋体" w:hAnsi="宋体" w:eastAsia="宋体" w:cs="Arial"/>
                <w:color w:val="auto"/>
                <w:spacing w:val="10"/>
                <w:sz w:val="21"/>
                <w:szCs w:val="21"/>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55" w:type="dxa"/>
            <w:vMerge w:val="continue"/>
            <w:vAlign w:val="center"/>
          </w:tcPr>
          <w:p>
            <w:pPr>
              <w:widowControl/>
              <w:spacing w:line="360" w:lineRule="auto"/>
              <w:rPr>
                <w:rFonts w:ascii="宋体" w:hAnsi="宋体" w:eastAsia="宋体" w:cs="Arial"/>
                <w:color w:val="auto"/>
                <w:spacing w:val="10"/>
                <w:sz w:val="21"/>
                <w:szCs w:val="21"/>
              </w:rPr>
            </w:pPr>
          </w:p>
        </w:tc>
        <w:tc>
          <w:tcPr>
            <w:tcW w:w="2791" w:type="dxa"/>
            <w:gridSpan w:val="3"/>
            <w:vAlign w:val="center"/>
          </w:tcPr>
          <w:p>
            <w:pPr>
              <w:spacing w:line="360" w:lineRule="auto"/>
              <w:ind w:left="880" w:hanging="920" w:hangingChars="400"/>
              <w:rPr>
                <w:rFonts w:ascii="宋体" w:hAnsi="宋体" w:eastAsia="宋体" w:cs="Arial"/>
                <w:color w:val="auto"/>
                <w:spacing w:val="10"/>
                <w:sz w:val="21"/>
                <w:szCs w:val="21"/>
              </w:rPr>
            </w:pPr>
            <w:r>
              <w:rPr>
                <w:rFonts w:ascii="宋体" w:hAnsi="宋体" w:eastAsia="宋体" w:cs="Arial"/>
                <w:color w:val="auto"/>
                <w:spacing w:val="10"/>
                <w:sz w:val="21"/>
                <w:szCs w:val="21"/>
              </w:rPr>
              <w:t>分子式：</w:t>
            </w:r>
            <w:r>
              <w:rPr>
                <w:rFonts w:ascii="宋体" w:hAnsi="宋体" w:eastAsia="宋体" w:cs="Arial"/>
                <w:color w:val="auto"/>
                <w:sz w:val="21"/>
                <w:szCs w:val="21"/>
              </w:rPr>
              <w:t>C</w:t>
            </w:r>
            <w:r>
              <w:rPr>
                <w:rFonts w:ascii="宋体" w:hAnsi="宋体" w:eastAsia="宋体" w:cs="Arial"/>
                <w:color w:val="auto"/>
                <w:sz w:val="21"/>
                <w:szCs w:val="21"/>
                <w:vertAlign w:val="subscript"/>
              </w:rPr>
              <w:t>3</w:t>
            </w:r>
            <w:r>
              <w:rPr>
                <w:rFonts w:ascii="宋体" w:hAnsi="宋体" w:eastAsia="宋体" w:cs="Arial"/>
                <w:color w:val="auto"/>
                <w:sz w:val="21"/>
                <w:szCs w:val="21"/>
              </w:rPr>
              <w:t>H</w:t>
            </w:r>
            <w:r>
              <w:rPr>
                <w:rFonts w:ascii="宋体" w:hAnsi="宋体" w:eastAsia="宋体" w:cs="Arial"/>
                <w:color w:val="auto"/>
                <w:sz w:val="21"/>
                <w:szCs w:val="21"/>
                <w:vertAlign w:val="subscript"/>
              </w:rPr>
              <w:t>8</w:t>
            </w:r>
            <w:r>
              <w:rPr>
                <w:rFonts w:ascii="宋体" w:hAnsi="宋体" w:eastAsia="宋体" w:cs="Arial"/>
                <w:color w:val="auto"/>
                <w:sz w:val="21"/>
                <w:szCs w:val="21"/>
              </w:rPr>
              <w:t>O</w:t>
            </w:r>
          </w:p>
        </w:tc>
        <w:tc>
          <w:tcPr>
            <w:tcW w:w="2494" w:type="dxa"/>
            <w:gridSpan w:val="5"/>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分子量：</w:t>
            </w:r>
            <w:r>
              <w:rPr>
                <w:rFonts w:ascii="宋体" w:hAnsi="宋体" w:eastAsia="宋体" w:cs="Arial"/>
                <w:color w:val="auto"/>
                <w:sz w:val="21"/>
                <w:szCs w:val="21"/>
              </w:rPr>
              <w:t>60.10</w:t>
            </w:r>
          </w:p>
        </w:tc>
        <w:tc>
          <w:tcPr>
            <w:tcW w:w="2782" w:type="dxa"/>
            <w:gridSpan w:val="3"/>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CAS号：</w:t>
            </w:r>
            <w:r>
              <w:rPr>
                <w:rFonts w:hint="eastAsia" w:ascii="宋体" w:hAnsi="宋体" w:eastAsia="宋体" w:cs="Arial"/>
                <w:color w:val="auto"/>
                <w:sz w:val="21"/>
                <w:szCs w:val="21"/>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55" w:type="dxa"/>
            <w:vMerge w:val="restart"/>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理化性质</w:t>
            </w:r>
          </w:p>
        </w:tc>
        <w:tc>
          <w:tcPr>
            <w:tcW w:w="1713" w:type="dxa"/>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外观与性状</w:t>
            </w:r>
          </w:p>
        </w:tc>
        <w:tc>
          <w:tcPr>
            <w:tcW w:w="6354" w:type="dxa"/>
            <w:gridSpan w:val="10"/>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z w:val="21"/>
                <w:szCs w:val="21"/>
              </w:rPr>
              <w:t>无色透明液体，有似乙醇和丙酮混合物的气味。</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55" w:type="dxa"/>
            <w:vMerge w:val="continue"/>
            <w:vAlign w:val="center"/>
          </w:tcPr>
          <w:p>
            <w:pPr>
              <w:widowControl/>
              <w:spacing w:line="360" w:lineRule="auto"/>
              <w:rPr>
                <w:rFonts w:ascii="宋体" w:hAnsi="宋体" w:eastAsia="宋体" w:cs="Arial"/>
                <w:color w:val="auto"/>
                <w:spacing w:val="10"/>
                <w:sz w:val="21"/>
                <w:szCs w:val="21"/>
              </w:rPr>
            </w:pPr>
          </w:p>
        </w:tc>
        <w:tc>
          <w:tcPr>
            <w:tcW w:w="1713" w:type="dxa"/>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熔点(℃)</w:t>
            </w:r>
          </w:p>
        </w:tc>
        <w:tc>
          <w:tcPr>
            <w:tcW w:w="845" w:type="dxa"/>
            <w:vAlign w:val="center"/>
          </w:tcPr>
          <w:p>
            <w:pPr>
              <w:spacing w:line="360" w:lineRule="auto"/>
              <w:jc w:val="center"/>
              <w:rPr>
                <w:rFonts w:ascii="宋体" w:hAnsi="宋体" w:eastAsia="宋体" w:cs="Arial"/>
                <w:color w:val="auto"/>
                <w:spacing w:val="10"/>
                <w:sz w:val="21"/>
                <w:szCs w:val="21"/>
              </w:rPr>
            </w:pPr>
            <w:r>
              <w:rPr>
                <w:rFonts w:hint="eastAsia" w:ascii="宋体" w:hAnsi="宋体" w:eastAsia="宋体" w:cs="Arial"/>
                <w:color w:val="auto"/>
                <w:sz w:val="21"/>
                <w:szCs w:val="21"/>
              </w:rPr>
              <w:t>-88.5</w:t>
            </w:r>
          </w:p>
        </w:tc>
        <w:tc>
          <w:tcPr>
            <w:tcW w:w="1829" w:type="dxa"/>
            <w:gridSpan w:val="4"/>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相对密度(水=1)</w:t>
            </w:r>
          </w:p>
        </w:tc>
        <w:tc>
          <w:tcPr>
            <w:tcW w:w="898" w:type="dxa"/>
            <w:gridSpan w:val="2"/>
            <w:vAlign w:val="center"/>
          </w:tcPr>
          <w:p>
            <w:pPr>
              <w:spacing w:line="360" w:lineRule="auto"/>
              <w:jc w:val="center"/>
              <w:rPr>
                <w:rFonts w:ascii="宋体" w:hAnsi="宋体" w:eastAsia="宋体" w:cs="Arial"/>
                <w:color w:val="auto"/>
                <w:spacing w:val="10"/>
                <w:sz w:val="21"/>
                <w:szCs w:val="21"/>
              </w:rPr>
            </w:pPr>
            <w:r>
              <w:rPr>
                <w:rFonts w:hint="eastAsia" w:ascii="宋体" w:hAnsi="宋体" w:eastAsia="宋体" w:cs="Arial"/>
                <w:color w:val="auto"/>
                <w:spacing w:val="10"/>
                <w:sz w:val="21"/>
                <w:szCs w:val="21"/>
              </w:rPr>
              <w:t>0.79</w:t>
            </w:r>
          </w:p>
        </w:tc>
        <w:tc>
          <w:tcPr>
            <w:tcW w:w="1938" w:type="dxa"/>
            <w:gridSpan w:val="2"/>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相对密度(空气=1)</w:t>
            </w:r>
          </w:p>
        </w:tc>
        <w:tc>
          <w:tcPr>
            <w:tcW w:w="844" w:type="dxa"/>
            <w:vAlign w:val="center"/>
          </w:tcPr>
          <w:p>
            <w:pPr>
              <w:spacing w:line="360" w:lineRule="auto"/>
              <w:jc w:val="center"/>
              <w:rPr>
                <w:rFonts w:ascii="宋体" w:hAnsi="宋体" w:eastAsia="宋体" w:cs="Arial"/>
                <w:color w:val="auto"/>
                <w:spacing w:val="10"/>
                <w:sz w:val="21"/>
                <w:szCs w:val="21"/>
              </w:rPr>
            </w:pPr>
            <w:r>
              <w:rPr>
                <w:rFonts w:hint="eastAsia" w:ascii="宋体" w:hAnsi="宋体" w:eastAsia="宋体" w:cs="Arial"/>
                <w:color w:val="auto"/>
                <w:sz w:val="21"/>
                <w:szCs w:val="21"/>
              </w:rPr>
              <w:t>2.07</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55" w:type="dxa"/>
            <w:vMerge w:val="continue"/>
            <w:vAlign w:val="center"/>
          </w:tcPr>
          <w:p>
            <w:pPr>
              <w:widowControl/>
              <w:spacing w:line="360" w:lineRule="auto"/>
              <w:rPr>
                <w:rFonts w:ascii="宋体" w:hAnsi="宋体" w:eastAsia="宋体" w:cs="Arial"/>
                <w:color w:val="auto"/>
                <w:spacing w:val="10"/>
                <w:sz w:val="21"/>
                <w:szCs w:val="21"/>
              </w:rPr>
            </w:pPr>
          </w:p>
        </w:tc>
        <w:tc>
          <w:tcPr>
            <w:tcW w:w="1713" w:type="dxa"/>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沸点(℃)</w:t>
            </w:r>
          </w:p>
        </w:tc>
        <w:tc>
          <w:tcPr>
            <w:tcW w:w="845" w:type="dxa"/>
            <w:vAlign w:val="center"/>
          </w:tcPr>
          <w:p>
            <w:pPr>
              <w:spacing w:line="360" w:lineRule="auto"/>
              <w:jc w:val="center"/>
              <w:rPr>
                <w:rFonts w:ascii="宋体" w:hAnsi="宋体" w:eastAsia="宋体" w:cs="Arial"/>
                <w:color w:val="auto"/>
                <w:spacing w:val="10"/>
                <w:sz w:val="21"/>
                <w:szCs w:val="21"/>
              </w:rPr>
            </w:pPr>
            <w:r>
              <w:rPr>
                <w:rFonts w:hint="eastAsia" w:ascii="宋体" w:hAnsi="宋体" w:eastAsia="宋体" w:cs="Arial"/>
                <w:color w:val="auto"/>
                <w:spacing w:val="10"/>
                <w:sz w:val="21"/>
                <w:szCs w:val="21"/>
              </w:rPr>
              <w:t>80.3</w:t>
            </w:r>
          </w:p>
        </w:tc>
        <w:tc>
          <w:tcPr>
            <w:tcW w:w="2727" w:type="dxa"/>
            <w:gridSpan w:val="6"/>
            <w:vAlign w:val="center"/>
          </w:tcPr>
          <w:p>
            <w:pPr>
              <w:spacing w:line="360" w:lineRule="auto"/>
              <w:ind w:left="-40"/>
              <w:jc w:val="center"/>
              <w:rPr>
                <w:rFonts w:ascii="宋体" w:hAnsi="宋体" w:eastAsia="宋体" w:cs="Arial"/>
                <w:color w:val="auto"/>
                <w:spacing w:val="10"/>
                <w:sz w:val="21"/>
                <w:szCs w:val="21"/>
              </w:rPr>
            </w:pPr>
            <w:r>
              <w:rPr>
                <w:rFonts w:ascii="宋体" w:hAnsi="宋体" w:eastAsia="宋体" w:cs="Arial"/>
                <w:color w:val="auto"/>
                <w:spacing w:val="10"/>
                <w:sz w:val="21"/>
                <w:szCs w:val="21"/>
              </w:rPr>
              <w:t>饱和蒸气压(kPa)</w:t>
            </w:r>
          </w:p>
        </w:tc>
        <w:tc>
          <w:tcPr>
            <w:tcW w:w="2782" w:type="dxa"/>
            <w:gridSpan w:val="3"/>
            <w:vAlign w:val="center"/>
          </w:tcPr>
          <w:p>
            <w:pPr>
              <w:spacing w:line="360" w:lineRule="auto"/>
              <w:jc w:val="center"/>
              <w:rPr>
                <w:rFonts w:ascii="宋体" w:hAnsi="宋体" w:eastAsia="宋体" w:cs="Arial"/>
                <w:color w:val="auto"/>
                <w:spacing w:val="10"/>
                <w:sz w:val="21"/>
                <w:szCs w:val="21"/>
              </w:rPr>
            </w:pPr>
            <w:r>
              <w:rPr>
                <w:rFonts w:hint="eastAsia" w:ascii="宋体" w:hAnsi="宋体" w:eastAsia="宋体" w:cs="Arial"/>
                <w:color w:val="auto"/>
                <w:spacing w:val="10"/>
                <w:sz w:val="21"/>
                <w:szCs w:val="21"/>
              </w:rPr>
              <w:t>4.40/20℃</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89" w:hRule="atLeast"/>
          <w:jc w:val="center"/>
        </w:trPr>
        <w:tc>
          <w:tcPr>
            <w:tcW w:w="455" w:type="dxa"/>
            <w:vMerge w:val="continue"/>
            <w:vAlign w:val="center"/>
          </w:tcPr>
          <w:p>
            <w:pPr>
              <w:widowControl/>
              <w:spacing w:line="360" w:lineRule="auto"/>
              <w:rPr>
                <w:rFonts w:ascii="宋体" w:hAnsi="宋体" w:eastAsia="宋体" w:cs="Arial"/>
                <w:color w:val="auto"/>
                <w:spacing w:val="10"/>
                <w:sz w:val="21"/>
                <w:szCs w:val="21"/>
              </w:rPr>
            </w:pPr>
          </w:p>
        </w:tc>
        <w:tc>
          <w:tcPr>
            <w:tcW w:w="1713" w:type="dxa"/>
            <w:tcBorders>
              <w:bottom w:val="single" w:color="auto" w:sz="4" w:space="0"/>
            </w:tcBorders>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溶解性</w:t>
            </w:r>
          </w:p>
        </w:tc>
        <w:tc>
          <w:tcPr>
            <w:tcW w:w="6354" w:type="dxa"/>
            <w:gridSpan w:val="10"/>
            <w:tcBorders>
              <w:bottom w:val="single" w:color="auto" w:sz="4" w:space="0"/>
            </w:tcBorders>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z w:val="21"/>
                <w:szCs w:val="21"/>
              </w:rPr>
              <w:t>可溶于水、醇、醚、苯、氯仿等多数有机溶剂。</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07" w:hRule="atLeast"/>
          <w:jc w:val="center"/>
        </w:trPr>
        <w:tc>
          <w:tcPr>
            <w:tcW w:w="455" w:type="dxa"/>
            <w:vMerge w:val="continue"/>
            <w:vAlign w:val="center"/>
          </w:tcPr>
          <w:p>
            <w:pPr>
              <w:widowControl/>
              <w:spacing w:line="360" w:lineRule="auto"/>
              <w:rPr>
                <w:rFonts w:ascii="宋体" w:hAnsi="宋体" w:eastAsia="宋体" w:cs="Arial"/>
                <w:color w:val="auto"/>
                <w:spacing w:val="10"/>
                <w:sz w:val="21"/>
                <w:szCs w:val="21"/>
              </w:rPr>
            </w:pPr>
          </w:p>
        </w:tc>
        <w:tc>
          <w:tcPr>
            <w:tcW w:w="1713" w:type="dxa"/>
            <w:tcBorders>
              <w:top w:val="single" w:color="auto" w:sz="4" w:space="0"/>
            </w:tcBorders>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危害性类别</w:t>
            </w:r>
          </w:p>
        </w:tc>
        <w:tc>
          <w:tcPr>
            <w:tcW w:w="6354" w:type="dxa"/>
            <w:gridSpan w:val="10"/>
            <w:tcBorders>
              <w:top w:val="single" w:color="auto" w:sz="4" w:space="0"/>
            </w:tcBorders>
            <w:vAlign w:val="center"/>
          </w:tcPr>
          <w:p>
            <w:pPr>
              <w:widowControl/>
              <w:spacing w:line="360" w:lineRule="auto"/>
              <w:rPr>
                <w:rFonts w:ascii="宋体" w:hAnsi="宋体" w:eastAsia="宋体" w:cs="宋体"/>
                <w:color w:val="auto"/>
                <w:sz w:val="21"/>
                <w:szCs w:val="21"/>
              </w:rPr>
            </w:pPr>
            <w:r>
              <w:rPr>
                <w:rFonts w:ascii="宋体" w:hAnsi="宋体" w:eastAsia="宋体" w:cs="宋体"/>
                <w:color w:val="auto"/>
                <w:sz w:val="21"/>
                <w:szCs w:val="21"/>
              </w:rPr>
              <w:t>闪点＜23℃和初沸点＞35℃：</w:t>
            </w:r>
          </w:p>
          <w:p>
            <w:pPr>
              <w:widowControl/>
              <w:spacing w:line="360" w:lineRule="auto"/>
              <w:rPr>
                <w:rFonts w:ascii="宋体" w:hAnsi="宋体" w:eastAsia="宋体" w:cs="宋体"/>
                <w:color w:val="auto"/>
                <w:sz w:val="21"/>
                <w:szCs w:val="21"/>
              </w:rPr>
            </w:pPr>
            <w:r>
              <w:rPr>
                <w:rFonts w:ascii="宋体" w:hAnsi="宋体" w:eastAsia="宋体" w:cs="宋体"/>
                <w:color w:val="auto"/>
                <w:sz w:val="21"/>
                <w:szCs w:val="21"/>
              </w:rPr>
              <w:t>易燃液体，类别2</w:t>
            </w:r>
          </w:p>
          <w:p>
            <w:pPr>
              <w:widowControl/>
              <w:spacing w:line="360" w:lineRule="auto"/>
              <w:rPr>
                <w:rFonts w:ascii="宋体" w:hAnsi="宋体" w:eastAsia="宋体" w:cs="宋体"/>
                <w:color w:val="auto"/>
                <w:sz w:val="21"/>
                <w:szCs w:val="21"/>
              </w:rPr>
            </w:pPr>
            <w:r>
              <w:rPr>
                <w:rFonts w:ascii="宋体" w:hAnsi="宋体" w:eastAsia="宋体" w:cs="宋体"/>
                <w:color w:val="auto"/>
                <w:sz w:val="21"/>
                <w:szCs w:val="21"/>
              </w:rPr>
              <w:t>严重眼损伤/眼刺激,类别</w:t>
            </w:r>
            <w:r>
              <w:rPr>
                <w:rFonts w:hint="eastAsia" w:ascii="宋体" w:hAnsi="宋体" w:eastAsia="宋体" w:cs="宋体"/>
                <w:color w:val="auto"/>
                <w:sz w:val="21"/>
                <w:szCs w:val="21"/>
              </w:rPr>
              <w:t>1</w:t>
            </w:r>
          </w:p>
          <w:p>
            <w:pPr>
              <w:widowControl/>
              <w:spacing w:line="360" w:lineRule="auto"/>
              <w:rPr>
                <w:rFonts w:ascii="宋体" w:hAnsi="宋体" w:eastAsia="宋体" w:cs="宋体"/>
                <w:color w:val="auto"/>
                <w:sz w:val="21"/>
                <w:szCs w:val="21"/>
              </w:rPr>
            </w:pPr>
            <w:r>
              <w:rPr>
                <w:rFonts w:ascii="宋体" w:hAnsi="宋体" w:eastAsia="宋体" w:cs="宋体"/>
                <w:color w:val="auto"/>
                <w:sz w:val="21"/>
                <w:szCs w:val="21"/>
              </w:rPr>
              <w:t>特异性靶器官毒性-一次接触,类别3（麻醉效应）</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55" w:type="dxa"/>
            <w:vMerge w:val="restart"/>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毒性及健康危害</w:t>
            </w:r>
          </w:p>
        </w:tc>
        <w:tc>
          <w:tcPr>
            <w:tcW w:w="1713" w:type="dxa"/>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侵入途径</w:t>
            </w:r>
          </w:p>
        </w:tc>
        <w:tc>
          <w:tcPr>
            <w:tcW w:w="6354" w:type="dxa"/>
            <w:gridSpan w:val="10"/>
            <w:vAlign w:val="center"/>
          </w:tcPr>
          <w:p>
            <w:pPr>
              <w:spacing w:line="360" w:lineRule="auto"/>
              <w:rPr>
                <w:rFonts w:ascii="宋体" w:hAnsi="宋体" w:eastAsia="宋体" w:cs="Arial"/>
                <w:color w:val="auto"/>
                <w:spacing w:val="10"/>
                <w:sz w:val="21"/>
                <w:szCs w:val="21"/>
              </w:rPr>
            </w:pPr>
            <w:r>
              <w:rPr>
                <w:rFonts w:ascii="宋体" w:hAnsi="宋体" w:eastAsia="宋体"/>
                <w:color w:val="auto"/>
                <w:sz w:val="21"/>
                <w:szCs w:val="21"/>
              </w:rPr>
              <w:t>吸入、食入、经皮吸收。</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55" w:type="dxa"/>
            <w:vMerge w:val="continue"/>
            <w:vAlign w:val="center"/>
          </w:tcPr>
          <w:p>
            <w:pPr>
              <w:widowControl/>
              <w:spacing w:line="360" w:lineRule="auto"/>
              <w:rPr>
                <w:rFonts w:ascii="宋体" w:hAnsi="宋体" w:eastAsia="宋体" w:cs="Arial"/>
                <w:color w:val="auto"/>
                <w:spacing w:val="10"/>
                <w:sz w:val="21"/>
                <w:szCs w:val="21"/>
              </w:rPr>
            </w:pPr>
          </w:p>
        </w:tc>
        <w:tc>
          <w:tcPr>
            <w:tcW w:w="1713" w:type="dxa"/>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毒性</w:t>
            </w:r>
          </w:p>
        </w:tc>
        <w:tc>
          <w:tcPr>
            <w:tcW w:w="6354" w:type="dxa"/>
            <w:gridSpan w:val="10"/>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LD</w:t>
            </w:r>
            <w:r>
              <w:rPr>
                <w:rFonts w:ascii="宋体" w:hAnsi="宋体" w:eastAsia="宋体" w:cs="Arial"/>
                <w:color w:val="auto"/>
                <w:spacing w:val="10"/>
                <w:sz w:val="21"/>
                <w:szCs w:val="21"/>
                <w:vertAlign w:val="subscript"/>
              </w:rPr>
              <w:t>50</w:t>
            </w:r>
            <w:r>
              <w:rPr>
                <w:rFonts w:ascii="宋体" w:hAnsi="宋体" w:eastAsia="宋体" w:cs="Arial"/>
                <w:color w:val="auto"/>
                <w:spacing w:val="10"/>
                <w:sz w:val="21"/>
                <w:szCs w:val="21"/>
              </w:rPr>
              <w:t>：5045</w:t>
            </w:r>
            <w:r>
              <w:rPr>
                <w:rFonts w:ascii="宋体" w:hAnsi="宋体" w:eastAsia="宋体" w:cs="Arial"/>
                <w:color w:val="auto"/>
                <w:sz w:val="21"/>
                <w:szCs w:val="21"/>
              </w:rPr>
              <w:t>mg/kg(大鼠经口)，12800mg/kg(免经皮)</w:t>
            </w:r>
            <w:r>
              <w:rPr>
                <w:rFonts w:ascii="宋体" w:hAnsi="宋体" w:eastAsia="宋体" w:cs="Arial"/>
                <w:color w:val="auto"/>
                <w:spacing w:val="10"/>
                <w:sz w:val="21"/>
                <w:szCs w:val="21"/>
              </w:rPr>
              <w:t xml:space="preserve"> ；</w:t>
            </w:r>
          </w:p>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LC</w:t>
            </w:r>
            <w:r>
              <w:rPr>
                <w:rFonts w:ascii="宋体" w:hAnsi="宋体" w:eastAsia="宋体" w:cs="Arial"/>
                <w:color w:val="auto"/>
                <w:spacing w:val="10"/>
                <w:sz w:val="21"/>
                <w:szCs w:val="21"/>
                <w:vertAlign w:val="subscript"/>
              </w:rPr>
              <w:t>50</w:t>
            </w:r>
            <w:r>
              <w:rPr>
                <w:rFonts w:ascii="宋体" w:hAnsi="宋体" w:eastAsia="宋体" w:cs="Arial"/>
                <w:color w:val="auto"/>
                <w:spacing w:val="10"/>
                <w:sz w:val="21"/>
                <w:szCs w:val="21"/>
              </w:rPr>
              <w:t>：</w:t>
            </w:r>
            <w:r>
              <w:rPr>
                <w:rFonts w:hint="eastAsia" w:ascii="宋体" w:hAnsi="宋体" w:eastAsia="宋体" w:cs="Arial"/>
                <w:color w:val="auto"/>
                <w:spacing w:val="10"/>
                <w:sz w:val="21"/>
                <w:szCs w:val="21"/>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55" w:type="dxa"/>
            <w:vMerge w:val="continue"/>
            <w:vAlign w:val="center"/>
          </w:tcPr>
          <w:p>
            <w:pPr>
              <w:widowControl/>
              <w:spacing w:line="360" w:lineRule="auto"/>
              <w:rPr>
                <w:rFonts w:ascii="宋体" w:hAnsi="宋体" w:eastAsia="宋体" w:cs="Arial"/>
                <w:color w:val="auto"/>
                <w:spacing w:val="10"/>
                <w:sz w:val="21"/>
                <w:szCs w:val="21"/>
              </w:rPr>
            </w:pPr>
          </w:p>
        </w:tc>
        <w:tc>
          <w:tcPr>
            <w:tcW w:w="1713" w:type="dxa"/>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健康危害</w:t>
            </w:r>
          </w:p>
        </w:tc>
        <w:tc>
          <w:tcPr>
            <w:tcW w:w="6354" w:type="dxa"/>
            <w:gridSpan w:val="10"/>
            <w:vAlign w:val="center"/>
          </w:tcPr>
          <w:p>
            <w:pPr>
              <w:spacing w:line="360" w:lineRule="auto"/>
              <w:rPr>
                <w:rFonts w:ascii="宋体" w:hAnsi="宋体" w:eastAsia="宋体" w:cs="Arial"/>
                <w:color w:val="auto"/>
                <w:spacing w:val="6"/>
                <w:sz w:val="21"/>
                <w:szCs w:val="21"/>
              </w:rPr>
            </w:pPr>
            <w:r>
              <w:rPr>
                <w:rFonts w:ascii="宋体" w:hAnsi="宋体" w:eastAsia="宋体" w:cs="Arial"/>
                <w:color w:val="auto"/>
                <w:sz w:val="21"/>
                <w:szCs w:val="21"/>
              </w:rPr>
              <w:t>接触高浓度蒸气出现头痛、倦睡、共济失调以及眼、鼻和喉咙刺激症状。口服可致恶心、呕吐、腹痛、腹泻、倦睡、昏迷甚至死亡。长期皮肤接触可致皮肤干燥、皲裂。</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55" w:type="dxa"/>
            <w:vMerge w:val="continue"/>
            <w:vAlign w:val="center"/>
          </w:tcPr>
          <w:p>
            <w:pPr>
              <w:widowControl/>
              <w:spacing w:line="360" w:lineRule="auto"/>
              <w:rPr>
                <w:rFonts w:ascii="宋体" w:hAnsi="宋体" w:eastAsia="宋体" w:cs="Arial"/>
                <w:color w:val="auto"/>
                <w:spacing w:val="10"/>
                <w:sz w:val="21"/>
                <w:szCs w:val="21"/>
              </w:rPr>
            </w:pPr>
          </w:p>
        </w:tc>
        <w:tc>
          <w:tcPr>
            <w:tcW w:w="1713" w:type="dxa"/>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急救方法</w:t>
            </w:r>
          </w:p>
        </w:tc>
        <w:tc>
          <w:tcPr>
            <w:tcW w:w="6354" w:type="dxa"/>
            <w:gridSpan w:val="10"/>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z w:val="21"/>
                <w:szCs w:val="21"/>
              </w:rPr>
              <w:t>皮肤接触：脱去污染的衣着，立即用流动清水彻底冲洗。眼睛接触：立即提起眼睑，用流动清水或生理盐水冲洗；就医。吸入：脱离现场至空气新鲜处，保持呼吸道通畅；必要时进行人工呼吸；就医。食入：洗胃，就医。</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55" w:type="dxa"/>
            <w:vMerge w:val="restart"/>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燃烧爆炸危险性</w:t>
            </w:r>
          </w:p>
        </w:tc>
        <w:tc>
          <w:tcPr>
            <w:tcW w:w="1713" w:type="dxa"/>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燃烧性</w:t>
            </w:r>
          </w:p>
        </w:tc>
        <w:tc>
          <w:tcPr>
            <w:tcW w:w="1407" w:type="dxa"/>
            <w:gridSpan w:val="3"/>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易燃</w:t>
            </w:r>
          </w:p>
        </w:tc>
        <w:tc>
          <w:tcPr>
            <w:tcW w:w="1945" w:type="dxa"/>
            <w:gridSpan w:val="3"/>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燃烧分解物</w:t>
            </w:r>
          </w:p>
        </w:tc>
        <w:tc>
          <w:tcPr>
            <w:tcW w:w="3002" w:type="dxa"/>
            <w:gridSpan w:val="4"/>
            <w:vAlign w:val="center"/>
          </w:tcPr>
          <w:p>
            <w:pPr>
              <w:spacing w:line="360" w:lineRule="auto"/>
              <w:jc w:val="center"/>
              <w:rPr>
                <w:rFonts w:ascii="宋体" w:hAnsi="宋体" w:eastAsia="宋体" w:cs="Arial"/>
                <w:color w:val="auto"/>
                <w:spacing w:val="10"/>
                <w:sz w:val="21"/>
                <w:szCs w:val="21"/>
              </w:rPr>
            </w:pPr>
            <w:r>
              <w:rPr>
                <w:rFonts w:hint="eastAsia" w:ascii="宋体" w:hAnsi="宋体" w:eastAsia="宋体"/>
                <w:color w:val="auto"/>
                <w:sz w:val="21"/>
                <w:szCs w:val="21"/>
              </w:rPr>
              <w:t>一氧化碳、二氧化碳</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55" w:type="dxa"/>
            <w:vMerge w:val="continue"/>
            <w:vAlign w:val="center"/>
          </w:tcPr>
          <w:p>
            <w:pPr>
              <w:widowControl/>
              <w:spacing w:line="360" w:lineRule="auto"/>
              <w:rPr>
                <w:rFonts w:ascii="宋体" w:hAnsi="宋体" w:eastAsia="宋体" w:cs="Arial"/>
                <w:color w:val="auto"/>
                <w:spacing w:val="10"/>
                <w:sz w:val="21"/>
                <w:szCs w:val="21"/>
              </w:rPr>
            </w:pPr>
          </w:p>
        </w:tc>
        <w:tc>
          <w:tcPr>
            <w:tcW w:w="1713" w:type="dxa"/>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闪点(℃)</w:t>
            </w:r>
          </w:p>
        </w:tc>
        <w:tc>
          <w:tcPr>
            <w:tcW w:w="1407" w:type="dxa"/>
            <w:gridSpan w:val="3"/>
            <w:vAlign w:val="center"/>
          </w:tcPr>
          <w:p>
            <w:pPr>
              <w:spacing w:line="360" w:lineRule="auto"/>
              <w:jc w:val="center"/>
              <w:rPr>
                <w:rFonts w:ascii="宋体" w:hAnsi="宋体" w:eastAsia="宋体" w:cs="Arial"/>
                <w:color w:val="auto"/>
                <w:spacing w:val="10"/>
                <w:sz w:val="21"/>
                <w:szCs w:val="21"/>
              </w:rPr>
            </w:pPr>
            <w:r>
              <w:rPr>
                <w:rFonts w:hint="eastAsia" w:ascii="宋体" w:hAnsi="宋体" w:eastAsia="宋体" w:cs="Arial"/>
                <w:color w:val="auto"/>
                <w:spacing w:val="10"/>
                <w:sz w:val="21"/>
                <w:szCs w:val="21"/>
              </w:rPr>
              <w:t>12-15</w:t>
            </w:r>
          </w:p>
        </w:tc>
        <w:tc>
          <w:tcPr>
            <w:tcW w:w="1945" w:type="dxa"/>
            <w:gridSpan w:val="3"/>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爆炸上限(v%)</w:t>
            </w:r>
          </w:p>
        </w:tc>
        <w:tc>
          <w:tcPr>
            <w:tcW w:w="3002" w:type="dxa"/>
            <w:gridSpan w:val="4"/>
            <w:vAlign w:val="center"/>
          </w:tcPr>
          <w:p>
            <w:pPr>
              <w:spacing w:line="360" w:lineRule="auto"/>
              <w:jc w:val="center"/>
              <w:rPr>
                <w:rFonts w:ascii="宋体" w:hAnsi="宋体" w:eastAsia="宋体" w:cs="Arial"/>
                <w:color w:val="auto"/>
                <w:spacing w:val="10"/>
                <w:sz w:val="21"/>
                <w:szCs w:val="21"/>
              </w:rPr>
            </w:pPr>
            <w:r>
              <w:rPr>
                <w:rFonts w:hint="eastAsia" w:ascii="宋体" w:hAnsi="宋体" w:eastAsia="宋体" w:cs="Arial"/>
                <w:color w:val="auto"/>
                <w:spacing w:val="10"/>
                <w:sz w:val="21"/>
                <w:szCs w:val="21"/>
              </w:rPr>
              <w:t>12.7</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55" w:type="dxa"/>
            <w:vMerge w:val="continue"/>
            <w:vAlign w:val="center"/>
          </w:tcPr>
          <w:p>
            <w:pPr>
              <w:widowControl/>
              <w:spacing w:line="360" w:lineRule="auto"/>
              <w:rPr>
                <w:rFonts w:ascii="宋体" w:hAnsi="宋体" w:eastAsia="宋体" w:cs="Arial"/>
                <w:color w:val="auto"/>
                <w:spacing w:val="10"/>
                <w:sz w:val="21"/>
                <w:szCs w:val="21"/>
              </w:rPr>
            </w:pPr>
          </w:p>
        </w:tc>
        <w:tc>
          <w:tcPr>
            <w:tcW w:w="1713" w:type="dxa"/>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引燃温度(℃)</w:t>
            </w:r>
          </w:p>
        </w:tc>
        <w:tc>
          <w:tcPr>
            <w:tcW w:w="1407" w:type="dxa"/>
            <w:gridSpan w:val="3"/>
            <w:vAlign w:val="center"/>
          </w:tcPr>
          <w:p>
            <w:pPr>
              <w:spacing w:line="360" w:lineRule="auto"/>
              <w:jc w:val="center"/>
              <w:rPr>
                <w:rFonts w:ascii="宋体" w:hAnsi="宋体" w:eastAsia="宋体" w:cs="Arial"/>
                <w:color w:val="auto"/>
                <w:spacing w:val="10"/>
                <w:sz w:val="21"/>
                <w:szCs w:val="21"/>
              </w:rPr>
            </w:pPr>
            <w:r>
              <w:rPr>
                <w:rFonts w:hint="eastAsia" w:ascii="宋体" w:hAnsi="宋体" w:eastAsia="宋体" w:cs="Arial"/>
                <w:color w:val="auto"/>
                <w:spacing w:val="10"/>
                <w:sz w:val="21"/>
                <w:szCs w:val="21"/>
              </w:rPr>
              <w:t>399</w:t>
            </w:r>
          </w:p>
        </w:tc>
        <w:tc>
          <w:tcPr>
            <w:tcW w:w="1945" w:type="dxa"/>
            <w:gridSpan w:val="3"/>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爆炸下限(v%)</w:t>
            </w:r>
          </w:p>
        </w:tc>
        <w:tc>
          <w:tcPr>
            <w:tcW w:w="3002" w:type="dxa"/>
            <w:gridSpan w:val="4"/>
            <w:vAlign w:val="center"/>
          </w:tcPr>
          <w:p>
            <w:pPr>
              <w:spacing w:line="360" w:lineRule="auto"/>
              <w:jc w:val="center"/>
              <w:rPr>
                <w:rFonts w:ascii="宋体" w:hAnsi="宋体" w:eastAsia="宋体" w:cs="Arial"/>
                <w:color w:val="auto"/>
                <w:spacing w:val="10"/>
                <w:sz w:val="21"/>
                <w:szCs w:val="21"/>
              </w:rPr>
            </w:pPr>
            <w:r>
              <w:rPr>
                <w:rFonts w:hint="eastAsia" w:ascii="宋体" w:hAnsi="宋体" w:eastAsia="宋体" w:cs="Arial"/>
                <w:color w:val="auto"/>
                <w:spacing w:val="10"/>
                <w:sz w:val="21"/>
                <w:szCs w:val="21"/>
              </w:rPr>
              <w:t>2.0</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55" w:type="dxa"/>
            <w:vMerge w:val="continue"/>
            <w:vAlign w:val="center"/>
          </w:tcPr>
          <w:p>
            <w:pPr>
              <w:widowControl/>
              <w:spacing w:line="360" w:lineRule="auto"/>
              <w:rPr>
                <w:rFonts w:ascii="宋体" w:hAnsi="宋体" w:eastAsia="宋体" w:cs="Arial"/>
                <w:color w:val="auto"/>
                <w:spacing w:val="10"/>
                <w:sz w:val="21"/>
                <w:szCs w:val="21"/>
              </w:rPr>
            </w:pPr>
          </w:p>
        </w:tc>
        <w:tc>
          <w:tcPr>
            <w:tcW w:w="1713" w:type="dxa"/>
            <w:vAlign w:val="center"/>
          </w:tcPr>
          <w:p>
            <w:pPr>
              <w:spacing w:line="360" w:lineRule="auto"/>
              <w:jc w:val="center"/>
              <w:rPr>
                <w:rFonts w:ascii="宋体" w:hAnsi="宋体" w:eastAsia="宋体"/>
                <w:color w:val="auto"/>
                <w:spacing w:val="10"/>
                <w:sz w:val="21"/>
                <w:szCs w:val="21"/>
              </w:rPr>
            </w:pPr>
            <w:r>
              <w:rPr>
                <w:rFonts w:hint="eastAsia" w:ascii="宋体" w:hAnsi="宋体" w:eastAsia="宋体"/>
                <w:color w:val="auto"/>
                <w:spacing w:val="10"/>
                <w:sz w:val="21"/>
                <w:szCs w:val="21"/>
              </w:rPr>
              <w:t>建规火险分级</w:t>
            </w:r>
          </w:p>
        </w:tc>
        <w:tc>
          <w:tcPr>
            <w:tcW w:w="1407" w:type="dxa"/>
            <w:gridSpan w:val="3"/>
            <w:vAlign w:val="center"/>
          </w:tcPr>
          <w:p>
            <w:pPr>
              <w:spacing w:line="360" w:lineRule="auto"/>
              <w:jc w:val="center"/>
              <w:rPr>
                <w:rFonts w:ascii="宋体" w:hAnsi="宋体" w:eastAsia="宋体"/>
                <w:color w:val="auto"/>
                <w:spacing w:val="10"/>
                <w:sz w:val="21"/>
                <w:szCs w:val="21"/>
              </w:rPr>
            </w:pPr>
            <w:r>
              <w:rPr>
                <w:rFonts w:hint="eastAsia" w:ascii="宋体" w:hAnsi="宋体" w:eastAsia="宋体"/>
                <w:color w:val="auto"/>
                <w:spacing w:val="10"/>
                <w:sz w:val="21"/>
                <w:szCs w:val="21"/>
              </w:rPr>
              <w:t>甲</w:t>
            </w:r>
          </w:p>
        </w:tc>
        <w:tc>
          <w:tcPr>
            <w:tcW w:w="972" w:type="dxa"/>
            <w:vAlign w:val="center"/>
          </w:tcPr>
          <w:p>
            <w:pPr>
              <w:spacing w:line="360" w:lineRule="auto"/>
              <w:jc w:val="center"/>
              <w:rPr>
                <w:rFonts w:ascii="宋体" w:hAnsi="宋体" w:eastAsia="宋体"/>
                <w:color w:val="auto"/>
                <w:spacing w:val="10"/>
                <w:sz w:val="21"/>
                <w:szCs w:val="21"/>
              </w:rPr>
            </w:pPr>
            <w:r>
              <w:rPr>
                <w:rFonts w:hint="eastAsia" w:ascii="宋体" w:hAnsi="宋体" w:eastAsia="宋体"/>
                <w:color w:val="auto"/>
                <w:spacing w:val="10"/>
                <w:sz w:val="21"/>
                <w:szCs w:val="21"/>
              </w:rPr>
              <w:t>稳定性</w:t>
            </w:r>
          </w:p>
        </w:tc>
        <w:tc>
          <w:tcPr>
            <w:tcW w:w="973" w:type="dxa"/>
            <w:gridSpan w:val="2"/>
            <w:vAlign w:val="center"/>
          </w:tcPr>
          <w:p>
            <w:pPr>
              <w:spacing w:line="360" w:lineRule="auto"/>
              <w:jc w:val="center"/>
              <w:rPr>
                <w:rFonts w:ascii="宋体" w:hAnsi="宋体" w:eastAsia="宋体"/>
                <w:color w:val="auto"/>
                <w:spacing w:val="10"/>
                <w:sz w:val="21"/>
                <w:szCs w:val="21"/>
              </w:rPr>
            </w:pPr>
            <w:r>
              <w:rPr>
                <w:rFonts w:hint="eastAsia" w:ascii="宋体" w:hAnsi="宋体" w:eastAsia="宋体"/>
                <w:color w:val="auto"/>
                <w:spacing w:val="10"/>
                <w:sz w:val="21"/>
                <w:szCs w:val="21"/>
              </w:rPr>
              <w:t>稳定</w:t>
            </w:r>
          </w:p>
        </w:tc>
        <w:tc>
          <w:tcPr>
            <w:tcW w:w="1499" w:type="dxa"/>
            <w:gridSpan w:val="2"/>
            <w:vAlign w:val="center"/>
          </w:tcPr>
          <w:p>
            <w:pPr>
              <w:spacing w:line="360" w:lineRule="auto"/>
              <w:jc w:val="center"/>
              <w:rPr>
                <w:rFonts w:ascii="宋体" w:hAnsi="宋体" w:eastAsia="宋体"/>
                <w:color w:val="auto"/>
                <w:spacing w:val="10"/>
                <w:sz w:val="21"/>
                <w:szCs w:val="21"/>
              </w:rPr>
            </w:pPr>
            <w:r>
              <w:rPr>
                <w:rFonts w:hint="eastAsia" w:ascii="宋体" w:hAnsi="宋体" w:eastAsia="宋体"/>
                <w:color w:val="auto"/>
                <w:spacing w:val="10"/>
                <w:sz w:val="21"/>
                <w:szCs w:val="21"/>
              </w:rPr>
              <w:t>聚合危害</w:t>
            </w:r>
          </w:p>
        </w:tc>
        <w:tc>
          <w:tcPr>
            <w:tcW w:w="1503" w:type="dxa"/>
            <w:gridSpan w:val="2"/>
            <w:vAlign w:val="center"/>
          </w:tcPr>
          <w:p>
            <w:pPr>
              <w:spacing w:line="360" w:lineRule="auto"/>
              <w:jc w:val="center"/>
              <w:rPr>
                <w:rFonts w:ascii="宋体" w:hAnsi="宋体" w:eastAsia="宋体"/>
                <w:color w:val="auto"/>
                <w:spacing w:val="10"/>
                <w:sz w:val="21"/>
                <w:szCs w:val="21"/>
              </w:rPr>
            </w:pPr>
            <w:r>
              <w:rPr>
                <w:rFonts w:hint="eastAsia" w:ascii="宋体" w:hAnsi="宋体" w:eastAsia="宋体"/>
                <w:color w:val="auto"/>
                <w:spacing w:val="10"/>
                <w:sz w:val="21"/>
                <w:szCs w:val="21"/>
              </w:rPr>
              <w:t>不聚合</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rPr>
          <w:trHeight w:val="510" w:hRule="atLeast"/>
          <w:jc w:val="center"/>
        </w:trPr>
        <w:tc>
          <w:tcPr>
            <w:tcW w:w="455" w:type="dxa"/>
            <w:vMerge w:val="continue"/>
            <w:vAlign w:val="center"/>
          </w:tcPr>
          <w:p>
            <w:pPr>
              <w:widowControl/>
              <w:spacing w:line="360" w:lineRule="auto"/>
              <w:rPr>
                <w:rFonts w:ascii="宋体" w:hAnsi="宋体" w:eastAsia="宋体" w:cs="Arial"/>
                <w:color w:val="auto"/>
                <w:spacing w:val="10"/>
                <w:sz w:val="21"/>
                <w:szCs w:val="21"/>
              </w:rPr>
            </w:pPr>
          </w:p>
        </w:tc>
        <w:tc>
          <w:tcPr>
            <w:tcW w:w="1713" w:type="dxa"/>
            <w:vAlign w:val="center"/>
          </w:tcPr>
          <w:p>
            <w:pPr>
              <w:spacing w:line="360" w:lineRule="auto"/>
              <w:jc w:val="center"/>
              <w:rPr>
                <w:rFonts w:ascii="宋体" w:hAnsi="宋体" w:eastAsia="宋体"/>
                <w:color w:val="auto"/>
                <w:spacing w:val="10"/>
                <w:sz w:val="21"/>
                <w:szCs w:val="21"/>
              </w:rPr>
            </w:pPr>
            <w:r>
              <w:rPr>
                <w:rFonts w:hint="eastAsia" w:ascii="宋体" w:hAnsi="宋体" w:eastAsia="宋体"/>
                <w:color w:val="auto"/>
                <w:spacing w:val="10"/>
                <w:sz w:val="21"/>
                <w:szCs w:val="21"/>
              </w:rPr>
              <w:t>禁忌物</w:t>
            </w:r>
          </w:p>
        </w:tc>
        <w:tc>
          <w:tcPr>
            <w:tcW w:w="6354" w:type="dxa"/>
            <w:gridSpan w:val="10"/>
            <w:vAlign w:val="center"/>
          </w:tcPr>
          <w:p>
            <w:pPr>
              <w:spacing w:line="360" w:lineRule="auto"/>
              <w:rPr>
                <w:rFonts w:ascii="宋体" w:hAnsi="宋体" w:eastAsia="宋体"/>
                <w:color w:val="auto"/>
                <w:spacing w:val="10"/>
                <w:sz w:val="21"/>
                <w:szCs w:val="21"/>
              </w:rPr>
            </w:pPr>
            <w:r>
              <w:rPr>
                <w:rFonts w:ascii="宋体" w:hAnsi="宋体" w:eastAsia="宋体"/>
                <w:color w:val="auto"/>
                <w:sz w:val="21"/>
                <w:szCs w:val="21"/>
              </w:rPr>
              <w:t>强氧化剂、酸类、酸酐、卤素</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55" w:type="dxa"/>
            <w:vMerge w:val="continue"/>
            <w:vAlign w:val="center"/>
          </w:tcPr>
          <w:p>
            <w:pPr>
              <w:widowControl/>
              <w:spacing w:line="360" w:lineRule="auto"/>
              <w:rPr>
                <w:rFonts w:ascii="宋体" w:hAnsi="宋体" w:eastAsia="宋体" w:cs="Arial"/>
                <w:color w:val="auto"/>
                <w:spacing w:val="10"/>
                <w:sz w:val="21"/>
                <w:szCs w:val="21"/>
              </w:rPr>
            </w:pPr>
          </w:p>
        </w:tc>
        <w:tc>
          <w:tcPr>
            <w:tcW w:w="1713" w:type="dxa"/>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危险特性</w:t>
            </w:r>
          </w:p>
        </w:tc>
        <w:tc>
          <w:tcPr>
            <w:tcW w:w="6354" w:type="dxa"/>
            <w:gridSpan w:val="10"/>
            <w:vAlign w:val="center"/>
          </w:tcPr>
          <w:p>
            <w:pPr>
              <w:spacing w:line="360" w:lineRule="auto"/>
              <w:rPr>
                <w:rFonts w:ascii="宋体" w:hAnsi="宋体" w:eastAsia="宋体" w:cs="Arial"/>
                <w:color w:val="auto"/>
                <w:spacing w:val="10"/>
                <w:sz w:val="21"/>
                <w:szCs w:val="21"/>
              </w:rPr>
            </w:pPr>
            <w:r>
              <w:rPr>
                <w:rFonts w:ascii="宋体" w:hAnsi="宋体" w:eastAsia="宋体"/>
                <w:color w:val="auto"/>
                <w:spacing w:val="-4"/>
                <w:sz w:val="21"/>
                <w:szCs w:val="21"/>
              </w:rPr>
              <w:t>易燃，其蒸气与空气可形成爆炸性混合物。遇明火、高热能引起燃烧爆炸。与氧化剂接触发生化学反应或引起燃烧。在火场中，受热的容器有爆炸危险。其蒸气比空气重，能在较低处扩散到相当远的地方，遇明火会引着回燃。</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55" w:type="dxa"/>
            <w:vMerge w:val="continue"/>
            <w:vAlign w:val="center"/>
          </w:tcPr>
          <w:p>
            <w:pPr>
              <w:widowControl/>
              <w:spacing w:line="360" w:lineRule="auto"/>
              <w:rPr>
                <w:rFonts w:ascii="宋体" w:hAnsi="宋体" w:eastAsia="宋体" w:cs="Arial"/>
                <w:color w:val="auto"/>
                <w:spacing w:val="10"/>
                <w:sz w:val="21"/>
                <w:szCs w:val="21"/>
              </w:rPr>
            </w:pPr>
          </w:p>
        </w:tc>
        <w:tc>
          <w:tcPr>
            <w:tcW w:w="1713" w:type="dxa"/>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储运条件</w:t>
            </w:r>
          </w:p>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与泄漏处理</w:t>
            </w:r>
          </w:p>
        </w:tc>
        <w:tc>
          <w:tcPr>
            <w:tcW w:w="6354" w:type="dxa"/>
            <w:gridSpan w:val="10"/>
            <w:vAlign w:val="center"/>
          </w:tcPr>
          <w:p>
            <w:pPr>
              <w:spacing w:line="360" w:lineRule="auto"/>
              <w:rPr>
                <w:rFonts w:ascii="宋体" w:hAnsi="宋体" w:eastAsia="宋体"/>
                <w:color w:val="auto"/>
                <w:sz w:val="21"/>
                <w:szCs w:val="21"/>
              </w:rPr>
            </w:pPr>
            <w:r>
              <w:rPr>
                <w:rFonts w:ascii="宋体" w:hAnsi="宋体" w:eastAsia="宋体" w:cs="Arial"/>
                <w:b/>
                <w:color w:val="auto"/>
                <w:spacing w:val="4"/>
                <w:sz w:val="21"/>
                <w:szCs w:val="21"/>
              </w:rPr>
              <w:t>储运条件</w:t>
            </w:r>
            <w:r>
              <w:rPr>
                <w:rFonts w:ascii="宋体" w:hAnsi="宋体" w:eastAsia="宋体" w:cs="Arial"/>
                <w:color w:val="auto"/>
                <w:spacing w:val="4"/>
                <w:sz w:val="21"/>
                <w:szCs w:val="21"/>
              </w:rPr>
              <w:t>：</w:t>
            </w:r>
            <w:r>
              <w:rPr>
                <w:rFonts w:ascii="宋体" w:hAnsi="宋体" w:eastAsia="宋体" w:cs="Arial"/>
                <w:color w:val="auto"/>
                <w:spacing w:val="10"/>
                <w:sz w:val="21"/>
                <w:szCs w:val="21"/>
              </w:rPr>
              <w:t>储存于阴凉、干燥、通风处。远离火种、热源。防止阳光直射。</w:t>
            </w:r>
            <w:r>
              <w:rPr>
                <w:rFonts w:ascii="宋体" w:hAnsi="宋体" w:eastAsia="宋体"/>
                <w:color w:val="auto"/>
                <w:sz w:val="21"/>
                <w:szCs w:val="21"/>
              </w:rPr>
              <w:t>库温不宜超过30</w:t>
            </w:r>
            <w:r>
              <w:rPr>
                <w:rFonts w:hint="eastAsia" w:ascii="宋体" w:hAnsi="宋体" w:eastAsia="宋体" w:cs="宋体"/>
                <w:color w:val="auto"/>
                <w:sz w:val="21"/>
                <w:szCs w:val="21"/>
              </w:rPr>
              <w:t>℃</w:t>
            </w:r>
            <w:r>
              <w:rPr>
                <w:rFonts w:ascii="宋体" w:hAnsi="宋体" w:eastAsia="宋体"/>
                <w:color w:val="auto"/>
                <w:sz w:val="21"/>
                <w:szCs w:val="21"/>
              </w:rPr>
              <w:t>。保持容器密封。应与氧化剂、酸类、卤素等分开存放，切忌混储。</w:t>
            </w:r>
            <w:r>
              <w:rPr>
                <w:rFonts w:ascii="宋体" w:hAnsi="宋体" w:eastAsia="宋体" w:cs="Arial"/>
                <w:color w:val="auto"/>
                <w:spacing w:val="10"/>
                <w:sz w:val="21"/>
                <w:szCs w:val="21"/>
              </w:rPr>
              <w:t>分装和搬运作业要注意个人防护。搬运时要轻装轻卸，防止包装和容器损坏。</w:t>
            </w:r>
            <w:r>
              <w:rPr>
                <w:rFonts w:ascii="宋体" w:hAnsi="宋体" w:eastAsia="宋体"/>
                <w:color w:val="auto"/>
                <w:sz w:val="21"/>
                <w:szCs w:val="21"/>
              </w:rPr>
              <w:t>运输时运输车辆应配备相应品种和数量的消防器材及泄漏应急处理设备。夏季最好早晚运输。运输时所用的槽(罐)车应有接地链，槽内可设孔隔板以减少震荡产生静电。严禁与氧化剂、酸类、卤素、食用化学品等混装混运。运输途中应防曝晒、雨淋，防高温。中途停留时应远离火种、热源、高温区。装运该物品的车辆排气管必须配备阻火装置，禁止使用易产生火花的机械设备和工具装卸。公路运输时要按规定路线行驶，勿在居民区和人口稠密区停留。铁路运输时要禁止溜放。严禁用木船、水泥船散装运输。</w:t>
            </w:r>
          </w:p>
          <w:p>
            <w:pPr>
              <w:spacing w:line="360" w:lineRule="auto"/>
              <w:rPr>
                <w:rFonts w:ascii="宋体" w:hAnsi="宋体" w:eastAsia="宋体" w:cs="Arial"/>
                <w:color w:val="auto"/>
                <w:spacing w:val="4"/>
                <w:sz w:val="21"/>
                <w:szCs w:val="21"/>
              </w:rPr>
            </w:pPr>
            <w:r>
              <w:rPr>
                <w:rFonts w:ascii="宋体" w:hAnsi="宋体" w:eastAsia="宋体" w:cs="Arial"/>
                <w:b/>
                <w:color w:val="auto"/>
                <w:spacing w:val="4"/>
                <w:sz w:val="21"/>
                <w:szCs w:val="21"/>
              </w:rPr>
              <w:t>泄漏处理</w:t>
            </w:r>
            <w:r>
              <w:rPr>
                <w:rFonts w:hint="eastAsia" w:ascii="宋体" w:hAnsi="宋体" w:eastAsia="宋体" w:cs="Arial"/>
                <w:b/>
                <w:color w:val="auto"/>
                <w:spacing w:val="4"/>
                <w:sz w:val="21"/>
                <w:szCs w:val="21"/>
              </w:rPr>
              <w:t>：</w:t>
            </w:r>
            <w:r>
              <w:rPr>
                <w:rFonts w:ascii="宋体" w:hAnsi="宋体" w:eastAsia="宋体" w:cs="Arial"/>
                <w:color w:val="auto"/>
                <w:spacing w:val="10"/>
                <w:sz w:val="21"/>
                <w:szCs w:val="21"/>
              </w:rPr>
              <w:t>疏散泄漏污染区人员至安全区，禁止无关人员进入污染区，切断火源。建议应急处理人员戴好放毒面具，穿化学防护服。少量泄漏：用砂土或其它不燃材料吸收或吸附，也可用大量水冲洗，洗水稀释后放入废水系统。大量泄漏：构筑围堤或挖坑收容，用泡沫覆盖，降低蒸气灾害。用防爆泵转移至专用收集器，回收或运到废物处理场所处置。</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55" w:type="dxa"/>
            <w:vMerge w:val="continue"/>
            <w:vAlign w:val="center"/>
          </w:tcPr>
          <w:p>
            <w:pPr>
              <w:widowControl/>
              <w:spacing w:line="360" w:lineRule="auto"/>
              <w:rPr>
                <w:rFonts w:ascii="宋体" w:hAnsi="宋体" w:eastAsia="宋体" w:cs="Arial"/>
                <w:color w:val="auto"/>
                <w:spacing w:val="10"/>
                <w:sz w:val="21"/>
                <w:szCs w:val="21"/>
              </w:rPr>
            </w:pPr>
          </w:p>
        </w:tc>
        <w:tc>
          <w:tcPr>
            <w:tcW w:w="1713" w:type="dxa"/>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灭火方法</w:t>
            </w:r>
          </w:p>
        </w:tc>
        <w:tc>
          <w:tcPr>
            <w:tcW w:w="6354" w:type="dxa"/>
            <w:gridSpan w:val="10"/>
            <w:vAlign w:val="center"/>
          </w:tcPr>
          <w:p>
            <w:pPr>
              <w:spacing w:line="360" w:lineRule="auto"/>
              <w:rPr>
                <w:rFonts w:ascii="宋体" w:hAnsi="宋体" w:eastAsia="宋体" w:cs="Arial"/>
                <w:color w:val="auto"/>
                <w:spacing w:val="10"/>
                <w:sz w:val="21"/>
                <w:szCs w:val="21"/>
              </w:rPr>
            </w:pPr>
            <w:r>
              <w:rPr>
                <w:rFonts w:ascii="宋体" w:hAnsi="宋体" w:eastAsia="宋体"/>
                <w:color w:val="auto"/>
                <w:sz w:val="21"/>
                <w:szCs w:val="21"/>
              </w:rPr>
              <w:t>灭火方法：尽可能将容器从火场移至空旷处。喷水保持火场容器冷却，直至灭火结束。处在火场中的容器若已变色或从安全泄压装置中产生声音，必须马上撤离。灭火剂：抗溶性泡沫、干粉、二氧化碳、砂土。</w:t>
            </w:r>
          </w:p>
        </w:tc>
      </w:tr>
    </w:tbl>
    <w:p>
      <w:pPr>
        <w:spacing w:line="560" w:lineRule="exact"/>
        <w:jc w:val="center"/>
        <w:outlineLvl w:val="2"/>
        <w:rPr>
          <w:rFonts w:ascii="宋体" w:hAnsi="宋体" w:eastAsia="宋体" w:cs="Times New Roman"/>
          <w:b/>
          <w:bCs/>
          <w:color w:val="auto"/>
          <w:kern w:val="2"/>
          <w:lang w:val="en-US" w:eastAsia="zh-CN" w:bidi="ar-SA"/>
        </w:rPr>
      </w:pPr>
      <w:r>
        <w:rPr>
          <w:rFonts w:hint="eastAsia" w:ascii="宋体" w:hAnsi="宋体" w:eastAsia="宋体" w:cs="Times New Roman"/>
          <w:b/>
          <w:bCs/>
          <w:color w:val="auto"/>
          <w:kern w:val="2"/>
          <w:lang w:val="en-US" w:eastAsia="zh-CN" w:bidi="ar-SA"/>
        </w:rPr>
        <w:t>附表1-17醋酸甲酯</w:t>
      </w:r>
      <w:r>
        <w:rPr>
          <w:rFonts w:ascii="宋体" w:hAnsi="宋体" w:eastAsia="宋体" w:cs="Times New Roman"/>
          <w:b/>
          <w:bCs/>
          <w:color w:val="auto"/>
          <w:kern w:val="2"/>
          <w:lang w:val="en-US" w:eastAsia="zh-CN" w:bidi="ar-SA"/>
        </w:rPr>
        <w:t>的理化性质及危险特性</w:t>
      </w:r>
    </w:p>
    <w:tbl>
      <w:tblPr>
        <w:tblStyle w:val="45"/>
        <w:tblW w:w="5000" w:type="pct"/>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503"/>
        <w:gridCol w:w="1888"/>
        <w:gridCol w:w="931"/>
        <w:gridCol w:w="257"/>
        <w:gridCol w:w="363"/>
        <w:gridCol w:w="1071"/>
        <w:gridCol w:w="325"/>
        <w:gridCol w:w="747"/>
        <w:gridCol w:w="243"/>
        <w:gridCol w:w="1410"/>
        <w:gridCol w:w="726"/>
        <w:gridCol w:w="930"/>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55" w:type="dxa"/>
            <w:vMerge w:val="restart"/>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标</w:t>
            </w:r>
          </w:p>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识</w:t>
            </w:r>
          </w:p>
        </w:tc>
        <w:tc>
          <w:tcPr>
            <w:tcW w:w="5285" w:type="dxa"/>
            <w:gridSpan w:val="8"/>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中文名：</w:t>
            </w:r>
            <w:r>
              <w:rPr>
                <w:rFonts w:hint="eastAsia" w:ascii="宋体" w:hAnsi="宋体" w:eastAsia="宋体"/>
                <w:color w:val="auto"/>
                <w:sz w:val="21"/>
                <w:szCs w:val="21"/>
              </w:rPr>
              <w:t>醋酸甲酯[</w:t>
            </w:r>
            <w:r>
              <w:rPr>
                <w:rFonts w:ascii="宋体" w:hAnsi="宋体" w:eastAsia="宋体"/>
                <w:color w:val="auto"/>
                <w:sz w:val="21"/>
                <w:szCs w:val="21"/>
              </w:rPr>
              <w:t>乙酸</w:t>
            </w:r>
            <w:r>
              <w:rPr>
                <w:rFonts w:hint="eastAsia" w:ascii="宋体" w:hAnsi="宋体" w:eastAsia="宋体"/>
                <w:color w:val="auto"/>
                <w:sz w:val="21"/>
                <w:szCs w:val="21"/>
              </w:rPr>
              <w:t>甲</w:t>
            </w:r>
            <w:r>
              <w:rPr>
                <w:rFonts w:ascii="宋体" w:hAnsi="宋体" w:eastAsia="宋体"/>
                <w:color w:val="auto"/>
                <w:sz w:val="21"/>
                <w:szCs w:val="21"/>
              </w:rPr>
              <w:t>酯</w:t>
            </w:r>
            <w:r>
              <w:rPr>
                <w:rFonts w:hint="eastAsia" w:ascii="宋体" w:hAnsi="宋体" w:eastAsia="宋体"/>
                <w:color w:val="auto"/>
                <w:sz w:val="21"/>
                <w:szCs w:val="21"/>
              </w:rPr>
              <w:t>]</w:t>
            </w:r>
          </w:p>
        </w:tc>
        <w:tc>
          <w:tcPr>
            <w:tcW w:w="2782" w:type="dxa"/>
            <w:gridSpan w:val="3"/>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危险化学品序号：</w:t>
            </w:r>
            <w:r>
              <w:rPr>
                <w:rFonts w:hint="eastAsia" w:ascii="宋体" w:hAnsi="宋体" w:eastAsia="宋体" w:cs="Arial"/>
                <w:color w:val="auto"/>
                <w:sz w:val="21"/>
                <w:szCs w:val="21"/>
              </w:rPr>
              <w:t>2638</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55" w:type="dxa"/>
            <w:vMerge w:val="continue"/>
            <w:vAlign w:val="center"/>
          </w:tcPr>
          <w:p>
            <w:pPr>
              <w:widowControl/>
              <w:spacing w:line="360" w:lineRule="auto"/>
              <w:rPr>
                <w:rFonts w:ascii="宋体" w:hAnsi="宋体" w:eastAsia="宋体" w:cs="Arial"/>
                <w:color w:val="auto"/>
                <w:spacing w:val="10"/>
                <w:sz w:val="21"/>
                <w:szCs w:val="21"/>
              </w:rPr>
            </w:pPr>
          </w:p>
        </w:tc>
        <w:tc>
          <w:tcPr>
            <w:tcW w:w="5285" w:type="dxa"/>
            <w:gridSpan w:val="8"/>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英文名：</w:t>
            </w:r>
            <w:r>
              <w:rPr>
                <w:rStyle w:val="245"/>
                <w:rFonts w:hint="default"/>
                <w:color w:val="auto"/>
                <w:sz w:val="21"/>
                <w:szCs w:val="21"/>
              </w:rPr>
              <w:t>methyl acetate；acetic acid methyl ester</w:t>
            </w:r>
          </w:p>
        </w:tc>
        <w:tc>
          <w:tcPr>
            <w:tcW w:w="2782" w:type="dxa"/>
            <w:gridSpan w:val="3"/>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UN编号：</w:t>
            </w:r>
            <w:r>
              <w:rPr>
                <w:rFonts w:ascii="宋体" w:hAnsi="宋体" w:eastAsia="宋体"/>
                <w:color w:val="auto"/>
                <w:sz w:val="21"/>
                <w:szCs w:val="21"/>
              </w:rPr>
              <w:t>1</w:t>
            </w:r>
            <w:r>
              <w:rPr>
                <w:rFonts w:hint="eastAsia" w:ascii="宋体" w:hAnsi="宋体" w:eastAsia="宋体"/>
                <w:color w:val="auto"/>
                <w:sz w:val="21"/>
                <w:szCs w:val="21"/>
              </w:rPr>
              <w:t>231</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55" w:type="dxa"/>
            <w:vMerge w:val="continue"/>
            <w:vAlign w:val="center"/>
          </w:tcPr>
          <w:p>
            <w:pPr>
              <w:widowControl/>
              <w:spacing w:line="360" w:lineRule="auto"/>
              <w:rPr>
                <w:rFonts w:ascii="宋体" w:hAnsi="宋体" w:eastAsia="宋体" w:cs="Arial"/>
                <w:color w:val="auto"/>
                <w:spacing w:val="10"/>
                <w:sz w:val="21"/>
                <w:szCs w:val="21"/>
              </w:rPr>
            </w:pPr>
          </w:p>
        </w:tc>
        <w:tc>
          <w:tcPr>
            <w:tcW w:w="2791" w:type="dxa"/>
            <w:gridSpan w:val="3"/>
            <w:vAlign w:val="center"/>
          </w:tcPr>
          <w:p>
            <w:pPr>
              <w:spacing w:line="360" w:lineRule="auto"/>
              <w:ind w:left="880" w:hanging="920" w:hangingChars="400"/>
              <w:rPr>
                <w:rFonts w:ascii="宋体" w:hAnsi="宋体" w:eastAsia="宋体" w:cs="Arial"/>
                <w:color w:val="auto"/>
                <w:spacing w:val="10"/>
                <w:sz w:val="21"/>
                <w:szCs w:val="21"/>
              </w:rPr>
            </w:pPr>
            <w:r>
              <w:rPr>
                <w:rFonts w:ascii="宋体" w:hAnsi="宋体" w:eastAsia="宋体" w:cs="Arial"/>
                <w:color w:val="auto"/>
                <w:spacing w:val="10"/>
                <w:sz w:val="21"/>
                <w:szCs w:val="21"/>
              </w:rPr>
              <w:t>分子式：</w:t>
            </w:r>
            <w:r>
              <w:rPr>
                <w:rFonts w:ascii="宋体" w:hAnsi="宋体" w:eastAsia="宋体"/>
                <w:color w:val="auto"/>
                <w:sz w:val="21"/>
                <w:szCs w:val="21"/>
              </w:rPr>
              <w:t>C</w:t>
            </w:r>
            <w:r>
              <w:rPr>
                <w:rFonts w:ascii="宋体" w:hAnsi="宋体" w:eastAsia="宋体"/>
                <w:color w:val="auto"/>
                <w:sz w:val="21"/>
                <w:szCs w:val="21"/>
                <w:vertAlign w:val="subscript"/>
              </w:rPr>
              <w:t>4</w:t>
            </w:r>
            <w:r>
              <w:rPr>
                <w:rFonts w:ascii="宋体" w:hAnsi="宋体" w:eastAsia="宋体"/>
                <w:color w:val="auto"/>
                <w:sz w:val="21"/>
                <w:szCs w:val="21"/>
              </w:rPr>
              <w:t>H</w:t>
            </w:r>
            <w:r>
              <w:rPr>
                <w:rFonts w:ascii="宋体" w:hAnsi="宋体" w:eastAsia="宋体"/>
                <w:color w:val="auto"/>
                <w:sz w:val="21"/>
                <w:szCs w:val="21"/>
                <w:vertAlign w:val="subscript"/>
              </w:rPr>
              <w:t>8</w:t>
            </w:r>
            <w:r>
              <w:rPr>
                <w:rFonts w:ascii="宋体" w:hAnsi="宋体" w:eastAsia="宋体"/>
                <w:color w:val="auto"/>
                <w:sz w:val="21"/>
                <w:szCs w:val="21"/>
              </w:rPr>
              <w:t>O</w:t>
            </w:r>
            <w:r>
              <w:rPr>
                <w:rFonts w:ascii="宋体" w:hAnsi="宋体" w:eastAsia="宋体"/>
                <w:color w:val="auto"/>
                <w:sz w:val="21"/>
                <w:szCs w:val="21"/>
                <w:vertAlign w:val="subscript"/>
              </w:rPr>
              <w:t>2</w:t>
            </w:r>
          </w:p>
        </w:tc>
        <w:tc>
          <w:tcPr>
            <w:tcW w:w="2494" w:type="dxa"/>
            <w:gridSpan w:val="5"/>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分子量：</w:t>
            </w:r>
            <w:r>
              <w:rPr>
                <w:rFonts w:ascii="宋体" w:hAnsi="宋体" w:eastAsia="宋体"/>
                <w:color w:val="auto"/>
                <w:sz w:val="21"/>
                <w:szCs w:val="21"/>
              </w:rPr>
              <w:t>88.1</w:t>
            </w:r>
          </w:p>
        </w:tc>
        <w:tc>
          <w:tcPr>
            <w:tcW w:w="2782" w:type="dxa"/>
            <w:gridSpan w:val="3"/>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CAS号：</w:t>
            </w:r>
            <w:r>
              <w:rPr>
                <w:rFonts w:ascii="宋体" w:hAnsi="宋体" w:eastAsia="宋体" w:cs="宋体"/>
                <w:color w:val="auto"/>
                <w:sz w:val="21"/>
                <w:szCs w:val="21"/>
              </w:rPr>
              <w:t>79-20-9</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55" w:type="dxa"/>
            <w:vMerge w:val="restart"/>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理化性质</w:t>
            </w:r>
          </w:p>
        </w:tc>
        <w:tc>
          <w:tcPr>
            <w:tcW w:w="1713" w:type="dxa"/>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外观与性状</w:t>
            </w:r>
          </w:p>
        </w:tc>
        <w:tc>
          <w:tcPr>
            <w:tcW w:w="6354" w:type="dxa"/>
            <w:gridSpan w:val="10"/>
            <w:vAlign w:val="center"/>
          </w:tcPr>
          <w:p>
            <w:pPr>
              <w:spacing w:line="360" w:lineRule="auto"/>
              <w:rPr>
                <w:rFonts w:ascii="宋体" w:hAnsi="宋体" w:eastAsia="宋体" w:cs="Arial"/>
                <w:color w:val="auto"/>
                <w:spacing w:val="10"/>
                <w:sz w:val="21"/>
                <w:szCs w:val="21"/>
              </w:rPr>
            </w:pPr>
            <w:r>
              <w:rPr>
                <w:rStyle w:val="245"/>
                <w:rFonts w:hint="default"/>
                <w:color w:val="auto"/>
                <w:sz w:val="21"/>
                <w:szCs w:val="21"/>
              </w:rPr>
              <w:t>无色透明液体，有水果香味。</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55" w:type="dxa"/>
            <w:vMerge w:val="continue"/>
            <w:vAlign w:val="center"/>
          </w:tcPr>
          <w:p>
            <w:pPr>
              <w:widowControl/>
              <w:spacing w:line="360" w:lineRule="auto"/>
              <w:rPr>
                <w:rFonts w:ascii="宋体" w:hAnsi="宋体" w:eastAsia="宋体" w:cs="Arial"/>
                <w:color w:val="auto"/>
                <w:spacing w:val="10"/>
                <w:sz w:val="21"/>
                <w:szCs w:val="21"/>
              </w:rPr>
            </w:pPr>
          </w:p>
        </w:tc>
        <w:tc>
          <w:tcPr>
            <w:tcW w:w="1713" w:type="dxa"/>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熔点(℃)</w:t>
            </w:r>
          </w:p>
        </w:tc>
        <w:tc>
          <w:tcPr>
            <w:tcW w:w="845" w:type="dxa"/>
            <w:vAlign w:val="center"/>
          </w:tcPr>
          <w:p>
            <w:pPr>
              <w:spacing w:line="360" w:lineRule="auto"/>
              <w:jc w:val="center"/>
              <w:rPr>
                <w:rFonts w:ascii="宋体" w:hAnsi="宋体" w:eastAsia="宋体" w:cs="Arial"/>
                <w:color w:val="auto"/>
                <w:spacing w:val="10"/>
                <w:sz w:val="21"/>
                <w:szCs w:val="21"/>
              </w:rPr>
            </w:pPr>
            <w:r>
              <w:rPr>
                <w:rFonts w:hint="eastAsia" w:ascii="宋体" w:hAnsi="宋体" w:eastAsia="宋体" w:cs="Arial"/>
                <w:color w:val="auto"/>
                <w:sz w:val="21"/>
                <w:szCs w:val="21"/>
              </w:rPr>
              <w:t>-98.7</w:t>
            </w:r>
          </w:p>
        </w:tc>
        <w:tc>
          <w:tcPr>
            <w:tcW w:w="1829" w:type="dxa"/>
            <w:gridSpan w:val="4"/>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相对密度(水=1)</w:t>
            </w:r>
          </w:p>
        </w:tc>
        <w:tc>
          <w:tcPr>
            <w:tcW w:w="898" w:type="dxa"/>
            <w:gridSpan w:val="2"/>
            <w:vAlign w:val="center"/>
          </w:tcPr>
          <w:p>
            <w:pPr>
              <w:spacing w:line="360" w:lineRule="auto"/>
              <w:jc w:val="center"/>
              <w:rPr>
                <w:rFonts w:ascii="宋体" w:hAnsi="宋体" w:eastAsia="宋体" w:cs="Arial"/>
                <w:color w:val="auto"/>
                <w:spacing w:val="10"/>
                <w:sz w:val="21"/>
                <w:szCs w:val="21"/>
              </w:rPr>
            </w:pPr>
            <w:r>
              <w:rPr>
                <w:rFonts w:hint="eastAsia" w:ascii="宋体" w:hAnsi="宋体" w:eastAsia="宋体" w:cs="Arial"/>
                <w:color w:val="auto"/>
                <w:spacing w:val="10"/>
                <w:sz w:val="21"/>
                <w:szCs w:val="21"/>
              </w:rPr>
              <w:t>0.93</w:t>
            </w:r>
          </w:p>
        </w:tc>
        <w:tc>
          <w:tcPr>
            <w:tcW w:w="1938" w:type="dxa"/>
            <w:gridSpan w:val="2"/>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相对密度(空气=1)</w:t>
            </w:r>
          </w:p>
        </w:tc>
        <w:tc>
          <w:tcPr>
            <w:tcW w:w="844" w:type="dxa"/>
            <w:vAlign w:val="center"/>
          </w:tcPr>
          <w:p>
            <w:pPr>
              <w:spacing w:line="360" w:lineRule="auto"/>
              <w:jc w:val="center"/>
              <w:rPr>
                <w:rFonts w:ascii="宋体" w:hAnsi="宋体" w:eastAsia="宋体" w:cs="Arial"/>
                <w:color w:val="auto"/>
                <w:spacing w:val="10"/>
                <w:sz w:val="21"/>
                <w:szCs w:val="21"/>
              </w:rPr>
            </w:pPr>
            <w:r>
              <w:rPr>
                <w:rFonts w:hint="eastAsia" w:ascii="宋体" w:hAnsi="宋体" w:eastAsia="宋体" w:cs="Arial"/>
                <w:color w:val="auto"/>
                <w:sz w:val="21"/>
                <w:szCs w:val="21"/>
              </w:rPr>
              <w:t>2.6</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55" w:type="dxa"/>
            <w:vMerge w:val="continue"/>
            <w:vAlign w:val="center"/>
          </w:tcPr>
          <w:p>
            <w:pPr>
              <w:widowControl/>
              <w:spacing w:line="360" w:lineRule="auto"/>
              <w:rPr>
                <w:rFonts w:ascii="宋体" w:hAnsi="宋体" w:eastAsia="宋体" w:cs="Arial"/>
                <w:color w:val="auto"/>
                <w:spacing w:val="10"/>
                <w:sz w:val="21"/>
                <w:szCs w:val="21"/>
              </w:rPr>
            </w:pPr>
          </w:p>
        </w:tc>
        <w:tc>
          <w:tcPr>
            <w:tcW w:w="1713" w:type="dxa"/>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沸点(℃)</w:t>
            </w:r>
          </w:p>
        </w:tc>
        <w:tc>
          <w:tcPr>
            <w:tcW w:w="845" w:type="dxa"/>
            <w:vAlign w:val="center"/>
          </w:tcPr>
          <w:p>
            <w:pPr>
              <w:spacing w:line="360" w:lineRule="auto"/>
              <w:jc w:val="center"/>
              <w:rPr>
                <w:rFonts w:ascii="宋体" w:hAnsi="宋体" w:eastAsia="宋体" w:cs="Arial"/>
                <w:color w:val="auto"/>
                <w:spacing w:val="10"/>
                <w:sz w:val="21"/>
                <w:szCs w:val="21"/>
              </w:rPr>
            </w:pPr>
            <w:r>
              <w:rPr>
                <w:rFonts w:hint="eastAsia" w:ascii="宋体" w:hAnsi="宋体" w:eastAsia="宋体" w:cs="Arial"/>
                <w:color w:val="auto"/>
                <w:spacing w:val="10"/>
                <w:sz w:val="21"/>
                <w:szCs w:val="21"/>
              </w:rPr>
              <w:t>56.8</w:t>
            </w:r>
          </w:p>
        </w:tc>
        <w:tc>
          <w:tcPr>
            <w:tcW w:w="2727" w:type="dxa"/>
            <w:gridSpan w:val="6"/>
            <w:vAlign w:val="center"/>
          </w:tcPr>
          <w:p>
            <w:pPr>
              <w:spacing w:line="360" w:lineRule="auto"/>
              <w:ind w:left="-40"/>
              <w:jc w:val="center"/>
              <w:rPr>
                <w:rFonts w:ascii="宋体" w:hAnsi="宋体" w:eastAsia="宋体" w:cs="Arial"/>
                <w:color w:val="auto"/>
                <w:spacing w:val="10"/>
                <w:sz w:val="21"/>
                <w:szCs w:val="21"/>
              </w:rPr>
            </w:pPr>
            <w:r>
              <w:rPr>
                <w:rFonts w:ascii="宋体" w:hAnsi="宋体" w:eastAsia="宋体" w:cs="Arial"/>
                <w:color w:val="auto"/>
                <w:spacing w:val="10"/>
                <w:sz w:val="21"/>
                <w:szCs w:val="21"/>
              </w:rPr>
              <w:t>饱和蒸气压(kPa)</w:t>
            </w:r>
          </w:p>
        </w:tc>
        <w:tc>
          <w:tcPr>
            <w:tcW w:w="2782" w:type="dxa"/>
            <w:gridSpan w:val="3"/>
            <w:vAlign w:val="center"/>
          </w:tcPr>
          <w:p>
            <w:pPr>
              <w:spacing w:line="360" w:lineRule="auto"/>
              <w:jc w:val="center"/>
              <w:rPr>
                <w:rFonts w:ascii="宋体" w:hAnsi="宋体" w:eastAsia="宋体" w:cs="Arial"/>
                <w:color w:val="auto"/>
                <w:spacing w:val="10"/>
                <w:sz w:val="21"/>
                <w:szCs w:val="21"/>
              </w:rPr>
            </w:pPr>
            <w:r>
              <w:rPr>
                <w:rFonts w:hint="eastAsia" w:ascii="宋体" w:hAnsi="宋体" w:eastAsia="宋体" w:cs="Arial"/>
                <w:color w:val="auto"/>
                <w:spacing w:val="10"/>
                <w:sz w:val="21"/>
                <w:szCs w:val="21"/>
              </w:rPr>
              <w:t>22.66/20℃</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89" w:hRule="atLeast"/>
          <w:jc w:val="center"/>
        </w:trPr>
        <w:tc>
          <w:tcPr>
            <w:tcW w:w="455" w:type="dxa"/>
            <w:vMerge w:val="continue"/>
            <w:vAlign w:val="center"/>
          </w:tcPr>
          <w:p>
            <w:pPr>
              <w:widowControl/>
              <w:spacing w:line="360" w:lineRule="auto"/>
              <w:rPr>
                <w:rFonts w:ascii="宋体" w:hAnsi="宋体" w:eastAsia="宋体" w:cs="Arial"/>
                <w:color w:val="auto"/>
                <w:spacing w:val="10"/>
                <w:sz w:val="21"/>
                <w:szCs w:val="21"/>
              </w:rPr>
            </w:pPr>
          </w:p>
        </w:tc>
        <w:tc>
          <w:tcPr>
            <w:tcW w:w="1713" w:type="dxa"/>
            <w:tcBorders>
              <w:bottom w:val="single" w:color="auto" w:sz="4" w:space="0"/>
            </w:tcBorders>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溶解性</w:t>
            </w:r>
          </w:p>
        </w:tc>
        <w:tc>
          <w:tcPr>
            <w:tcW w:w="6354" w:type="dxa"/>
            <w:gridSpan w:val="10"/>
            <w:tcBorders>
              <w:bottom w:val="single" w:color="auto" w:sz="4" w:space="0"/>
            </w:tcBorders>
            <w:vAlign w:val="center"/>
          </w:tcPr>
          <w:p>
            <w:pPr>
              <w:spacing w:line="360" w:lineRule="auto"/>
              <w:rPr>
                <w:rFonts w:ascii="宋体" w:hAnsi="宋体" w:eastAsia="宋体" w:cs="Arial"/>
                <w:color w:val="auto"/>
                <w:spacing w:val="10"/>
                <w:sz w:val="21"/>
                <w:szCs w:val="21"/>
              </w:rPr>
            </w:pPr>
            <w:r>
              <w:rPr>
                <w:rStyle w:val="245"/>
                <w:rFonts w:hint="default"/>
                <w:color w:val="auto"/>
                <w:sz w:val="21"/>
                <w:szCs w:val="21"/>
              </w:rPr>
              <w:t>微溶于水，可混溶于乙醇、乙醚、等多数有机溶剂</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07" w:hRule="atLeast"/>
          <w:jc w:val="center"/>
        </w:trPr>
        <w:tc>
          <w:tcPr>
            <w:tcW w:w="455" w:type="dxa"/>
            <w:vMerge w:val="continue"/>
            <w:vAlign w:val="center"/>
          </w:tcPr>
          <w:p>
            <w:pPr>
              <w:widowControl/>
              <w:spacing w:line="360" w:lineRule="auto"/>
              <w:rPr>
                <w:rFonts w:ascii="宋体" w:hAnsi="宋体" w:eastAsia="宋体" w:cs="Arial"/>
                <w:color w:val="auto"/>
                <w:spacing w:val="10"/>
                <w:sz w:val="21"/>
                <w:szCs w:val="21"/>
              </w:rPr>
            </w:pPr>
          </w:p>
        </w:tc>
        <w:tc>
          <w:tcPr>
            <w:tcW w:w="1713" w:type="dxa"/>
            <w:tcBorders>
              <w:top w:val="single" w:color="auto" w:sz="4" w:space="0"/>
            </w:tcBorders>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危害性类别</w:t>
            </w:r>
          </w:p>
        </w:tc>
        <w:tc>
          <w:tcPr>
            <w:tcW w:w="6354" w:type="dxa"/>
            <w:gridSpan w:val="10"/>
            <w:tcBorders>
              <w:top w:val="single" w:color="auto" w:sz="4" w:space="0"/>
            </w:tcBorders>
            <w:vAlign w:val="center"/>
          </w:tcPr>
          <w:p>
            <w:pPr>
              <w:widowControl/>
              <w:spacing w:line="360" w:lineRule="auto"/>
              <w:rPr>
                <w:rFonts w:ascii="宋体" w:hAnsi="宋体" w:eastAsia="宋体" w:cs="宋体"/>
                <w:color w:val="auto"/>
                <w:sz w:val="21"/>
                <w:szCs w:val="21"/>
              </w:rPr>
            </w:pPr>
            <w:r>
              <w:rPr>
                <w:rFonts w:ascii="宋体" w:hAnsi="宋体" w:eastAsia="宋体" w:cs="宋体"/>
                <w:color w:val="auto"/>
                <w:sz w:val="21"/>
                <w:szCs w:val="21"/>
              </w:rPr>
              <w:t>易燃液体,类别2</w:t>
            </w:r>
          </w:p>
          <w:p>
            <w:pPr>
              <w:widowControl/>
              <w:spacing w:line="360" w:lineRule="auto"/>
              <w:rPr>
                <w:rFonts w:ascii="宋体" w:hAnsi="宋体" w:eastAsia="宋体" w:cs="宋体"/>
                <w:color w:val="auto"/>
                <w:sz w:val="21"/>
                <w:szCs w:val="21"/>
              </w:rPr>
            </w:pPr>
            <w:r>
              <w:rPr>
                <w:rFonts w:ascii="宋体" w:hAnsi="宋体" w:eastAsia="宋体" w:cs="宋体"/>
                <w:color w:val="auto"/>
                <w:sz w:val="21"/>
                <w:szCs w:val="21"/>
              </w:rPr>
              <w:t>严重眼损伤/眼刺激,类别2</w:t>
            </w:r>
          </w:p>
          <w:p>
            <w:pPr>
              <w:widowControl/>
              <w:spacing w:line="360" w:lineRule="auto"/>
              <w:rPr>
                <w:rFonts w:ascii="宋体" w:hAnsi="宋体" w:eastAsia="宋体" w:cs="宋体"/>
                <w:color w:val="auto"/>
                <w:sz w:val="21"/>
                <w:szCs w:val="21"/>
              </w:rPr>
            </w:pPr>
            <w:r>
              <w:rPr>
                <w:rFonts w:ascii="宋体" w:hAnsi="宋体" w:eastAsia="宋体" w:cs="宋体"/>
                <w:color w:val="auto"/>
                <w:sz w:val="21"/>
                <w:szCs w:val="21"/>
              </w:rPr>
              <w:t>特异性靶器官毒性-一次接触,类别3（麻醉效应）</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55" w:type="dxa"/>
            <w:vMerge w:val="restart"/>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毒性及健康危害</w:t>
            </w:r>
          </w:p>
        </w:tc>
        <w:tc>
          <w:tcPr>
            <w:tcW w:w="1713" w:type="dxa"/>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侵入途径</w:t>
            </w:r>
          </w:p>
        </w:tc>
        <w:tc>
          <w:tcPr>
            <w:tcW w:w="6354" w:type="dxa"/>
            <w:gridSpan w:val="10"/>
            <w:vAlign w:val="center"/>
          </w:tcPr>
          <w:p>
            <w:pPr>
              <w:spacing w:line="360" w:lineRule="auto"/>
              <w:rPr>
                <w:rFonts w:ascii="宋体" w:hAnsi="宋体" w:eastAsia="宋体" w:cs="Arial"/>
                <w:color w:val="auto"/>
                <w:spacing w:val="10"/>
                <w:sz w:val="21"/>
                <w:szCs w:val="21"/>
              </w:rPr>
            </w:pPr>
            <w:r>
              <w:rPr>
                <w:rFonts w:ascii="宋体" w:hAnsi="宋体" w:eastAsia="宋体"/>
                <w:color w:val="auto"/>
                <w:sz w:val="21"/>
                <w:szCs w:val="21"/>
              </w:rPr>
              <w:t>吸入、食入、经皮吸收。</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55" w:type="dxa"/>
            <w:vMerge w:val="continue"/>
            <w:vAlign w:val="center"/>
          </w:tcPr>
          <w:p>
            <w:pPr>
              <w:widowControl/>
              <w:spacing w:line="360" w:lineRule="auto"/>
              <w:rPr>
                <w:rFonts w:ascii="宋体" w:hAnsi="宋体" w:eastAsia="宋体" w:cs="Arial"/>
                <w:color w:val="auto"/>
                <w:spacing w:val="10"/>
                <w:sz w:val="21"/>
                <w:szCs w:val="21"/>
              </w:rPr>
            </w:pPr>
          </w:p>
        </w:tc>
        <w:tc>
          <w:tcPr>
            <w:tcW w:w="1713" w:type="dxa"/>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毒性</w:t>
            </w:r>
          </w:p>
        </w:tc>
        <w:tc>
          <w:tcPr>
            <w:tcW w:w="6354" w:type="dxa"/>
            <w:gridSpan w:val="10"/>
            <w:vAlign w:val="center"/>
          </w:tcPr>
          <w:p>
            <w:pPr>
              <w:spacing w:line="360" w:lineRule="auto"/>
              <w:rPr>
                <w:rFonts w:ascii="宋体" w:hAnsi="宋体" w:eastAsia="宋体" w:cs="Arial"/>
                <w:color w:val="auto"/>
                <w:spacing w:val="10"/>
                <w:sz w:val="21"/>
                <w:szCs w:val="21"/>
              </w:rPr>
            </w:pPr>
            <w:r>
              <w:rPr>
                <w:rStyle w:val="245"/>
                <w:rFonts w:hint="default"/>
                <w:color w:val="auto"/>
                <w:sz w:val="21"/>
                <w:szCs w:val="21"/>
              </w:rPr>
              <w:t>大鼠经口LD50(mg/kg)：5450；兔经皮LD50(mg/kg)：&gt;5000；兔经口LD50(mg/kg)：3700</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55" w:type="dxa"/>
            <w:vMerge w:val="continue"/>
            <w:vAlign w:val="center"/>
          </w:tcPr>
          <w:p>
            <w:pPr>
              <w:widowControl/>
              <w:spacing w:line="360" w:lineRule="auto"/>
              <w:rPr>
                <w:rFonts w:ascii="宋体" w:hAnsi="宋体" w:eastAsia="宋体" w:cs="Arial"/>
                <w:color w:val="auto"/>
                <w:spacing w:val="10"/>
                <w:sz w:val="21"/>
                <w:szCs w:val="21"/>
              </w:rPr>
            </w:pPr>
          </w:p>
        </w:tc>
        <w:tc>
          <w:tcPr>
            <w:tcW w:w="1713" w:type="dxa"/>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健康危害</w:t>
            </w:r>
          </w:p>
        </w:tc>
        <w:tc>
          <w:tcPr>
            <w:tcW w:w="6354" w:type="dxa"/>
            <w:gridSpan w:val="10"/>
            <w:vAlign w:val="center"/>
          </w:tcPr>
          <w:p>
            <w:pPr>
              <w:spacing w:line="360" w:lineRule="auto"/>
              <w:rPr>
                <w:rFonts w:ascii="宋体" w:hAnsi="宋体" w:eastAsia="宋体" w:cs="Arial"/>
                <w:color w:val="auto"/>
                <w:spacing w:val="6"/>
                <w:sz w:val="21"/>
                <w:szCs w:val="21"/>
              </w:rPr>
            </w:pPr>
            <w:r>
              <w:rPr>
                <w:rStyle w:val="245"/>
                <w:rFonts w:hint="default"/>
                <w:color w:val="auto"/>
                <w:sz w:val="21"/>
                <w:szCs w:val="21"/>
              </w:rPr>
              <w:t>具有麻醉和刺激作用。接触本品蒸气引起眼灼痛、流泪、进行性呼吸困难、头痛、头晕、心悸、忧郁、中枢神经抑制。由其分解产生的甲醇可引起视力减退、视野缩小和视神经萎缩等。</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55" w:type="dxa"/>
            <w:vMerge w:val="continue"/>
            <w:vAlign w:val="center"/>
          </w:tcPr>
          <w:p>
            <w:pPr>
              <w:widowControl/>
              <w:spacing w:line="360" w:lineRule="auto"/>
              <w:rPr>
                <w:rFonts w:ascii="宋体" w:hAnsi="宋体" w:eastAsia="宋体" w:cs="Arial"/>
                <w:color w:val="auto"/>
                <w:spacing w:val="10"/>
                <w:sz w:val="21"/>
                <w:szCs w:val="21"/>
              </w:rPr>
            </w:pPr>
          </w:p>
        </w:tc>
        <w:tc>
          <w:tcPr>
            <w:tcW w:w="1713" w:type="dxa"/>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急救方法</w:t>
            </w:r>
          </w:p>
        </w:tc>
        <w:tc>
          <w:tcPr>
            <w:tcW w:w="6354" w:type="dxa"/>
            <w:gridSpan w:val="10"/>
            <w:vAlign w:val="center"/>
          </w:tcPr>
          <w:p>
            <w:pPr>
              <w:spacing w:line="360" w:lineRule="auto"/>
              <w:rPr>
                <w:rFonts w:ascii="宋体" w:hAnsi="宋体" w:eastAsia="宋体" w:cs="Arial"/>
                <w:color w:val="auto"/>
                <w:spacing w:val="10"/>
                <w:sz w:val="21"/>
                <w:szCs w:val="21"/>
              </w:rPr>
            </w:pPr>
            <w:r>
              <w:rPr>
                <w:rFonts w:hint="eastAsia" w:ascii="宋体" w:hAnsi="宋体" w:eastAsia="宋体" w:cs="宋体"/>
                <w:bCs/>
                <w:color w:val="auto"/>
                <w:sz w:val="21"/>
                <w:szCs w:val="21"/>
              </w:rPr>
              <w:t>【皮肤接触】：</w:t>
            </w:r>
            <w:r>
              <w:rPr>
                <w:rFonts w:hint="eastAsia" w:ascii="宋体" w:hAnsi="宋体" w:eastAsia="宋体" w:cs="宋体"/>
                <w:color w:val="auto"/>
                <w:sz w:val="21"/>
                <w:szCs w:val="21"/>
              </w:rPr>
              <w:t>立即脱去污染的衣着，用流动清水或5%硫代硫酸钠溶液彻底冲洗至少20分钟。就医。</w:t>
            </w:r>
            <w:r>
              <w:rPr>
                <w:rFonts w:hint="eastAsia" w:ascii="宋体" w:hAnsi="宋体" w:eastAsia="宋体" w:cs="宋体"/>
                <w:bCs/>
                <w:color w:val="auto"/>
                <w:sz w:val="21"/>
                <w:szCs w:val="21"/>
              </w:rPr>
              <w:t>【眼睛接触】：</w:t>
            </w:r>
            <w:r>
              <w:rPr>
                <w:rFonts w:hint="eastAsia" w:ascii="宋体" w:hAnsi="宋体" w:eastAsia="宋体" w:cs="宋体"/>
                <w:color w:val="auto"/>
                <w:sz w:val="21"/>
                <w:szCs w:val="21"/>
              </w:rPr>
              <w:t>立即提起眼睑，用大量流动清水或生理盐水彻底冲洗至少15分钟。就医。</w:t>
            </w:r>
            <w:r>
              <w:rPr>
                <w:rFonts w:hint="eastAsia" w:ascii="宋体" w:hAnsi="宋体" w:eastAsia="宋体" w:cs="宋体"/>
                <w:bCs/>
                <w:color w:val="auto"/>
                <w:sz w:val="21"/>
                <w:szCs w:val="21"/>
              </w:rPr>
              <w:t>【吸入】：</w:t>
            </w:r>
            <w:r>
              <w:rPr>
                <w:rFonts w:hint="eastAsia" w:ascii="宋体" w:hAnsi="宋体" w:eastAsia="宋体" w:cs="宋体"/>
                <w:color w:val="auto"/>
                <w:sz w:val="21"/>
                <w:szCs w:val="21"/>
              </w:rPr>
              <w:t>迅速脱离现场至空气新鲜处。保持呼吸道通畅。如呼吸困难，给输氧。呼吸心跳停止时，立即进行人工呼吸(勿用口对口)和胸外心脏按压术。就医。</w:t>
            </w:r>
            <w:r>
              <w:rPr>
                <w:rFonts w:hint="eastAsia" w:ascii="宋体" w:hAnsi="宋体" w:eastAsia="宋体" w:cs="宋体"/>
                <w:bCs/>
                <w:color w:val="auto"/>
                <w:sz w:val="21"/>
                <w:szCs w:val="21"/>
              </w:rPr>
              <w:t>【食入】：</w:t>
            </w:r>
            <w:r>
              <w:rPr>
                <w:rFonts w:hint="eastAsia" w:ascii="宋体" w:hAnsi="宋体" w:eastAsia="宋体" w:cs="宋体"/>
                <w:color w:val="auto"/>
                <w:sz w:val="21"/>
                <w:szCs w:val="21"/>
              </w:rPr>
              <w:t>饮足量温水，催吐。用1：5000高锰酸钾或5％硫代硫酸钠溶液洗胃。就医。</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55" w:type="dxa"/>
            <w:vMerge w:val="restart"/>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燃烧爆炸危险性</w:t>
            </w:r>
          </w:p>
        </w:tc>
        <w:tc>
          <w:tcPr>
            <w:tcW w:w="1713" w:type="dxa"/>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燃烧性</w:t>
            </w:r>
          </w:p>
        </w:tc>
        <w:tc>
          <w:tcPr>
            <w:tcW w:w="1407" w:type="dxa"/>
            <w:gridSpan w:val="3"/>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易燃</w:t>
            </w:r>
          </w:p>
        </w:tc>
        <w:tc>
          <w:tcPr>
            <w:tcW w:w="1945" w:type="dxa"/>
            <w:gridSpan w:val="3"/>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燃烧分解物</w:t>
            </w:r>
          </w:p>
        </w:tc>
        <w:tc>
          <w:tcPr>
            <w:tcW w:w="3002" w:type="dxa"/>
            <w:gridSpan w:val="4"/>
            <w:vAlign w:val="center"/>
          </w:tcPr>
          <w:p>
            <w:pPr>
              <w:spacing w:line="360" w:lineRule="auto"/>
              <w:jc w:val="center"/>
              <w:rPr>
                <w:rFonts w:ascii="宋体" w:hAnsi="宋体" w:eastAsia="宋体" w:cs="Arial"/>
                <w:color w:val="auto"/>
                <w:spacing w:val="10"/>
                <w:sz w:val="21"/>
                <w:szCs w:val="21"/>
              </w:rPr>
            </w:pPr>
            <w:r>
              <w:rPr>
                <w:rFonts w:hint="eastAsia" w:ascii="宋体" w:hAnsi="宋体" w:eastAsia="宋体"/>
                <w:color w:val="auto"/>
                <w:sz w:val="21"/>
                <w:szCs w:val="21"/>
              </w:rPr>
              <w:t>一氧化碳、二氧化碳</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55" w:type="dxa"/>
            <w:vMerge w:val="continue"/>
            <w:vAlign w:val="center"/>
          </w:tcPr>
          <w:p>
            <w:pPr>
              <w:widowControl/>
              <w:spacing w:line="360" w:lineRule="auto"/>
              <w:rPr>
                <w:rFonts w:ascii="宋体" w:hAnsi="宋体" w:eastAsia="宋体" w:cs="Arial"/>
                <w:color w:val="auto"/>
                <w:spacing w:val="10"/>
                <w:sz w:val="21"/>
                <w:szCs w:val="21"/>
              </w:rPr>
            </w:pPr>
          </w:p>
        </w:tc>
        <w:tc>
          <w:tcPr>
            <w:tcW w:w="1713" w:type="dxa"/>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闪点(℃)</w:t>
            </w:r>
          </w:p>
        </w:tc>
        <w:tc>
          <w:tcPr>
            <w:tcW w:w="1407" w:type="dxa"/>
            <w:gridSpan w:val="3"/>
            <w:vAlign w:val="center"/>
          </w:tcPr>
          <w:p>
            <w:pPr>
              <w:spacing w:line="360" w:lineRule="auto"/>
              <w:jc w:val="center"/>
              <w:rPr>
                <w:rFonts w:ascii="宋体" w:hAnsi="宋体" w:eastAsia="宋体" w:cs="Arial"/>
                <w:color w:val="auto"/>
                <w:spacing w:val="10"/>
                <w:sz w:val="21"/>
                <w:szCs w:val="21"/>
              </w:rPr>
            </w:pPr>
            <w:r>
              <w:rPr>
                <w:rFonts w:hint="eastAsia" w:ascii="宋体" w:hAnsi="宋体" w:eastAsia="宋体" w:cs="Arial"/>
                <w:color w:val="auto"/>
                <w:spacing w:val="10"/>
                <w:sz w:val="21"/>
                <w:szCs w:val="21"/>
              </w:rPr>
              <w:t>-10</w:t>
            </w:r>
          </w:p>
        </w:tc>
        <w:tc>
          <w:tcPr>
            <w:tcW w:w="1945" w:type="dxa"/>
            <w:gridSpan w:val="3"/>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爆炸上限(v%)</w:t>
            </w:r>
          </w:p>
        </w:tc>
        <w:tc>
          <w:tcPr>
            <w:tcW w:w="3002" w:type="dxa"/>
            <w:gridSpan w:val="4"/>
            <w:vAlign w:val="center"/>
          </w:tcPr>
          <w:p>
            <w:pPr>
              <w:spacing w:line="360" w:lineRule="auto"/>
              <w:jc w:val="center"/>
              <w:rPr>
                <w:rFonts w:ascii="宋体" w:hAnsi="宋体" w:eastAsia="宋体" w:cs="Arial"/>
                <w:color w:val="auto"/>
                <w:spacing w:val="10"/>
                <w:sz w:val="21"/>
                <w:szCs w:val="21"/>
              </w:rPr>
            </w:pPr>
            <w:r>
              <w:rPr>
                <w:rFonts w:hint="eastAsia" w:ascii="宋体" w:hAnsi="宋体" w:eastAsia="宋体" w:cs="Arial"/>
                <w:color w:val="auto"/>
                <w:spacing w:val="10"/>
                <w:sz w:val="21"/>
                <w:szCs w:val="21"/>
              </w:rPr>
              <w:t>16</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55" w:type="dxa"/>
            <w:vMerge w:val="continue"/>
            <w:vAlign w:val="center"/>
          </w:tcPr>
          <w:p>
            <w:pPr>
              <w:widowControl/>
              <w:spacing w:line="360" w:lineRule="auto"/>
              <w:rPr>
                <w:rFonts w:ascii="宋体" w:hAnsi="宋体" w:eastAsia="宋体" w:cs="Arial"/>
                <w:color w:val="auto"/>
                <w:spacing w:val="10"/>
                <w:sz w:val="21"/>
                <w:szCs w:val="21"/>
              </w:rPr>
            </w:pPr>
          </w:p>
        </w:tc>
        <w:tc>
          <w:tcPr>
            <w:tcW w:w="1713" w:type="dxa"/>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引燃温度(℃)</w:t>
            </w:r>
          </w:p>
        </w:tc>
        <w:tc>
          <w:tcPr>
            <w:tcW w:w="1407" w:type="dxa"/>
            <w:gridSpan w:val="3"/>
            <w:vAlign w:val="center"/>
          </w:tcPr>
          <w:p>
            <w:pPr>
              <w:spacing w:line="360" w:lineRule="auto"/>
              <w:jc w:val="center"/>
              <w:rPr>
                <w:rFonts w:ascii="宋体" w:hAnsi="宋体" w:eastAsia="宋体" w:cs="Arial"/>
                <w:color w:val="auto"/>
                <w:spacing w:val="10"/>
                <w:sz w:val="21"/>
                <w:szCs w:val="21"/>
              </w:rPr>
            </w:pPr>
            <w:r>
              <w:rPr>
                <w:rFonts w:hint="eastAsia" w:ascii="宋体" w:hAnsi="宋体" w:eastAsia="宋体" w:cs="Arial"/>
                <w:color w:val="auto"/>
                <w:spacing w:val="10"/>
                <w:sz w:val="21"/>
                <w:szCs w:val="21"/>
              </w:rPr>
              <w:t>426</w:t>
            </w:r>
          </w:p>
        </w:tc>
        <w:tc>
          <w:tcPr>
            <w:tcW w:w="1945" w:type="dxa"/>
            <w:gridSpan w:val="3"/>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爆炸下限(v%)</w:t>
            </w:r>
          </w:p>
        </w:tc>
        <w:tc>
          <w:tcPr>
            <w:tcW w:w="3002" w:type="dxa"/>
            <w:gridSpan w:val="4"/>
            <w:vAlign w:val="center"/>
          </w:tcPr>
          <w:p>
            <w:pPr>
              <w:spacing w:line="360" w:lineRule="auto"/>
              <w:jc w:val="center"/>
              <w:rPr>
                <w:rFonts w:ascii="宋体" w:hAnsi="宋体" w:eastAsia="宋体" w:cs="Arial"/>
                <w:color w:val="auto"/>
                <w:spacing w:val="10"/>
                <w:sz w:val="21"/>
                <w:szCs w:val="21"/>
              </w:rPr>
            </w:pPr>
            <w:r>
              <w:rPr>
                <w:rFonts w:hint="eastAsia" w:ascii="宋体" w:hAnsi="宋体" w:eastAsia="宋体" w:cs="Arial"/>
                <w:color w:val="auto"/>
                <w:spacing w:val="10"/>
                <w:sz w:val="21"/>
                <w:szCs w:val="21"/>
              </w:rPr>
              <w:t>3.1</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55" w:type="dxa"/>
            <w:vMerge w:val="continue"/>
            <w:vAlign w:val="center"/>
          </w:tcPr>
          <w:p>
            <w:pPr>
              <w:widowControl/>
              <w:spacing w:line="360" w:lineRule="auto"/>
              <w:rPr>
                <w:rFonts w:ascii="宋体" w:hAnsi="宋体" w:eastAsia="宋体" w:cs="Arial"/>
                <w:color w:val="auto"/>
                <w:spacing w:val="10"/>
                <w:sz w:val="21"/>
                <w:szCs w:val="21"/>
              </w:rPr>
            </w:pPr>
          </w:p>
        </w:tc>
        <w:tc>
          <w:tcPr>
            <w:tcW w:w="1713" w:type="dxa"/>
            <w:vAlign w:val="center"/>
          </w:tcPr>
          <w:p>
            <w:pPr>
              <w:spacing w:line="360" w:lineRule="auto"/>
              <w:jc w:val="center"/>
              <w:rPr>
                <w:rFonts w:ascii="宋体" w:hAnsi="宋体" w:eastAsia="宋体"/>
                <w:color w:val="auto"/>
                <w:spacing w:val="10"/>
                <w:sz w:val="21"/>
                <w:szCs w:val="21"/>
              </w:rPr>
            </w:pPr>
            <w:r>
              <w:rPr>
                <w:rFonts w:hint="eastAsia" w:ascii="宋体" w:hAnsi="宋体" w:eastAsia="宋体"/>
                <w:color w:val="auto"/>
                <w:spacing w:val="10"/>
                <w:sz w:val="21"/>
                <w:szCs w:val="21"/>
              </w:rPr>
              <w:t>建规火险分级</w:t>
            </w:r>
          </w:p>
        </w:tc>
        <w:tc>
          <w:tcPr>
            <w:tcW w:w="1407" w:type="dxa"/>
            <w:gridSpan w:val="3"/>
            <w:vAlign w:val="center"/>
          </w:tcPr>
          <w:p>
            <w:pPr>
              <w:spacing w:line="360" w:lineRule="auto"/>
              <w:jc w:val="center"/>
              <w:rPr>
                <w:rFonts w:ascii="宋体" w:hAnsi="宋体" w:eastAsia="宋体"/>
                <w:color w:val="auto"/>
                <w:spacing w:val="10"/>
                <w:sz w:val="21"/>
                <w:szCs w:val="21"/>
              </w:rPr>
            </w:pPr>
            <w:r>
              <w:rPr>
                <w:rFonts w:hint="eastAsia" w:ascii="宋体" w:hAnsi="宋体" w:eastAsia="宋体"/>
                <w:color w:val="auto"/>
                <w:spacing w:val="10"/>
                <w:sz w:val="21"/>
                <w:szCs w:val="21"/>
              </w:rPr>
              <w:t>甲</w:t>
            </w:r>
          </w:p>
        </w:tc>
        <w:tc>
          <w:tcPr>
            <w:tcW w:w="972" w:type="dxa"/>
            <w:vAlign w:val="center"/>
          </w:tcPr>
          <w:p>
            <w:pPr>
              <w:spacing w:line="360" w:lineRule="auto"/>
              <w:jc w:val="center"/>
              <w:rPr>
                <w:rFonts w:ascii="宋体" w:hAnsi="宋体" w:eastAsia="宋体"/>
                <w:color w:val="auto"/>
                <w:spacing w:val="10"/>
                <w:sz w:val="21"/>
                <w:szCs w:val="21"/>
              </w:rPr>
            </w:pPr>
            <w:r>
              <w:rPr>
                <w:rFonts w:hint="eastAsia" w:ascii="宋体" w:hAnsi="宋体" w:eastAsia="宋体"/>
                <w:color w:val="auto"/>
                <w:spacing w:val="10"/>
                <w:sz w:val="21"/>
                <w:szCs w:val="21"/>
              </w:rPr>
              <w:t>稳定性</w:t>
            </w:r>
          </w:p>
        </w:tc>
        <w:tc>
          <w:tcPr>
            <w:tcW w:w="973" w:type="dxa"/>
            <w:gridSpan w:val="2"/>
            <w:vAlign w:val="center"/>
          </w:tcPr>
          <w:p>
            <w:pPr>
              <w:spacing w:line="360" w:lineRule="auto"/>
              <w:jc w:val="center"/>
              <w:rPr>
                <w:rFonts w:ascii="宋体" w:hAnsi="宋体" w:eastAsia="宋体"/>
                <w:color w:val="auto"/>
                <w:spacing w:val="10"/>
                <w:sz w:val="21"/>
                <w:szCs w:val="21"/>
              </w:rPr>
            </w:pPr>
            <w:r>
              <w:rPr>
                <w:rFonts w:hint="eastAsia" w:ascii="宋体" w:hAnsi="宋体" w:eastAsia="宋体"/>
                <w:color w:val="auto"/>
                <w:spacing w:val="10"/>
                <w:sz w:val="21"/>
                <w:szCs w:val="21"/>
              </w:rPr>
              <w:t>稳定</w:t>
            </w:r>
          </w:p>
        </w:tc>
        <w:tc>
          <w:tcPr>
            <w:tcW w:w="1499" w:type="dxa"/>
            <w:gridSpan w:val="2"/>
            <w:vAlign w:val="center"/>
          </w:tcPr>
          <w:p>
            <w:pPr>
              <w:spacing w:line="360" w:lineRule="auto"/>
              <w:jc w:val="center"/>
              <w:rPr>
                <w:rFonts w:ascii="宋体" w:hAnsi="宋体" w:eastAsia="宋体"/>
                <w:color w:val="auto"/>
                <w:spacing w:val="10"/>
                <w:sz w:val="21"/>
                <w:szCs w:val="21"/>
              </w:rPr>
            </w:pPr>
            <w:r>
              <w:rPr>
                <w:rFonts w:hint="eastAsia" w:ascii="宋体" w:hAnsi="宋体" w:eastAsia="宋体"/>
                <w:color w:val="auto"/>
                <w:spacing w:val="10"/>
                <w:sz w:val="21"/>
                <w:szCs w:val="21"/>
              </w:rPr>
              <w:t>聚合危害</w:t>
            </w:r>
          </w:p>
        </w:tc>
        <w:tc>
          <w:tcPr>
            <w:tcW w:w="1503" w:type="dxa"/>
            <w:gridSpan w:val="2"/>
            <w:vAlign w:val="center"/>
          </w:tcPr>
          <w:p>
            <w:pPr>
              <w:spacing w:line="360" w:lineRule="auto"/>
              <w:jc w:val="center"/>
              <w:rPr>
                <w:rFonts w:ascii="宋体" w:hAnsi="宋体" w:eastAsia="宋体"/>
                <w:color w:val="auto"/>
                <w:spacing w:val="10"/>
                <w:sz w:val="21"/>
                <w:szCs w:val="21"/>
              </w:rPr>
            </w:pPr>
            <w:r>
              <w:rPr>
                <w:rFonts w:hint="eastAsia" w:ascii="宋体" w:hAnsi="宋体" w:eastAsia="宋体"/>
                <w:color w:val="auto"/>
                <w:spacing w:val="10"/>
                <w:sz w:val="21"/>
                <w:szCs w:val="21"/>
              </w:rPr>
              <w:t>不聚合</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55" w:type="dxa"/>
            <w:vMerge w:val="continue"/>
            <w:vAlign w:val="center"/>
          </w:tcPr>
          <w:p>
            <w:pPr>
              <w:widowControl/>
              <w:spacing w:line="360" w:lineRule="auto"/>
              <w:rPr>
                <w:rFonts w:ascii="宋体" w:hAnsi="宋体" w:eastAsia="宋体" w:cs="Arial"/>
                <w:color w:val="auto"/>
                <w:spacing w:val="10"/>
                <w:sz w:val="21"/>
                <w:szCs w:val="21"/>
              </w:rPr>
            </w:pPr>
          </w:p>
        </w:tc>
        <w:tc>
          <w:tcPr>
            <w:tcW w:w="1713" w:type="dxa"/>
            <w:vAlign w:val="center"/>
          </w:tcPr>
          <w:p>
            <w:pPr>
              <w:spacing w:line="360" w:lineRule="auto"/>
              <w:jc w:val="center"/>
              <w:rPr>
                <w:rFonts w:ascii="宋体" w:hAnsi="宋体" w:eastAsia="宋体"/>
                <w:color w:val="auto"/>
                <w:spacing w:val="10"/>
                <w:sz w:val="21"/>
                <w:szCs w:val="21"/>
              </w:rPr>
            </w:pPr>
            <w:r>
              <w:rPr>
                <w:rFonts w:hint="eastAsia" w:ascii="宋体" w:hAnsi="宋体" w:eastAsia="宋体"/>
                <w:color w:val="auto"/>
                <w:spacing w:val="10"/>
                <w:sz w:val="21"/>
                <w:szCs w:val="21"/>
              </w:rPr>
              <w:t>禁忌物</w:t>
            </w:r>
          </w:p>
        </w:tc>
        <w:tc>
          <w:tcPr>
            <w:tcW w:w="6354" w:type="dxa"/>
            <w:gridSpan w:val="10"/>
            <w:vAlign w:val="center"/>
          </w:tcPr>
          <w:p>
            <w:pPr>
              <w:spacing w:line="360" w:lineRule="auto"/>
              <w:rPr>
                <w:rFonts w:ascii="宋体" w:hAnsi="宋体" w:eastAsia="宋体"/>
                <w:color w:val="auto"/>
                <w:spacing w:val="10"/>
                <w:sz w:val="21"/>
                <w:szCs w:val="21"/>
              </w:rPr>
            </w:pPr>
            <w:r>
              <w:rPr>
                <w:rFonts w:ascii="宋体" w:hAnsi="宋体" w:eastAsia="宋体"/>
                <w:color w:val="auto"/>
                <w:sz w:val="21"/>
                <w:szCs w:val="21"/>
              </w:rPr>
              <w:t>强氧化剂、碱类、酸类。 </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55" w:type="dxa"/>
            <w:vMerge w:val="continue"/>
            <w:vAlign w:val="center"/>
          </w:tcPr>
          <w:p>
            <w:pPr>
              <w:widowControl/>
              <w:spacing w:line="360" w:lineRule="auto"/>
              <w:rPr>
                <w:rFonts w:ascii="宋体" w:hAnsi="宋体" w:eastAsia="宋体" w:cs="Arial"/>
                <w:color w:val="auto"/>
                <w:spacing w:val="10"/>
                <w:sz w:val="21"/>
                <w:szCs w:val="21"/>
              </w:rPr>
            </w:pPr>
          </w:p>
        </w:tc>
        <w:tc>
          <w:tcPr>
            <w:tcW w:w="1713" w:type="dxa"/>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危险特性</w:t>
            </w:r>
          </w:p>
        </w:tc>
        <w:tc>
          <w:tcPr>
            <w:tcW w:w="6354" w:type="dxa"/>
            <w:gridSpan w:val="10"/>
            <w:vAlign w:val="center"/>
          </w:tcPr>
          <w:p>
            <w:pPr>
              <w:spacing w:line="360" w:lineRule="auto"/>
              <w:rPr>
                <w:rFonts w:ascii="宋体" w:hAnsi="宋体" w:eastAsia="宋体" w:cs="Arial"/>
                <w:color w:val="auto"/>
                <w:spacing w:val="10"/>
                <w:sz w:val="21"/>
                <w:szCs w:val="21"/>
              </w:rPr>
            </w:pPr>
            <w:r>
              <w:rPr>
                <w:rFonts w:ascii="宋体" w:hAnsi="宋体" w:eastAsia="宋体"/>
                <w:color w:val="auto"/>
                <w:sz w:val="21"/>
                <w:szCs w:val="21"/>
              </w:rPr>
              <w:t>其蒸气与空气形成爆炸性混合物，遇明火、高热能引起燃烧爆炸。与氧化剂能发生强烈反应。其蒸气比空气重，能在较低处扩散到相当远的地方，遇火源引着回燃。若遇高热，容器内压增大，有开裂和爆炸的危险。易燃性(红色)：3</w:t>
            </w:r>
            <w:r>
              <w:rPr>
                <w:rFonts w:hint="eastAsia" w:ascii="宋体" w:hAnsi="宋体" w:eastAsia="宋体"/>
                <w:color w:val="auto"/>
                <w:sz w:val="21"/>
                <w:szCs w:val="21"/>
              </w:rPr>
              <w:t>；</w:t>
            </w:r>
            <w:r>
              <w:rPr>
                <w:rFonts w:ascii="宋体" w:hAnsi="宋体" w:eastAsia="宋体"/>
                <w:color w:val="auto"/>
                <w:sz w:val="21"/>
                <w:szCs w:val="21"/>
              </w:rPr>
              <w:t>反应活性(黄色)：0</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55" w:type="dxa"/>
            <w:vMerge w:val="continue"/>
            <w:vAlign w:val="center"/>
          </w:tcPr>
          <w:p>
            <w:pPr>
              <w:widowControl/>
              <w:spacing w:line="360" w:lineRule="auto"/>
              <w:rPr>
                <w:rFonts w:ascii="宋体" w:hAnsi="宋体" w:eastAsia="宋体" w:cs="Arial"/>
                <w:color w:val="auto"/>
                <w:spacing w:val="10"/>
                <w:sz w:val="21"/>
                <w:szCs w:val="21"/>
              </w:rPr>
            </w:pPr>
          </w:p>
        </w:tc>
        <w:tc>
          <w:tcPr>
            <w:tcW w:w="1713" w:type="dxa"/>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储运条件</w:t>
            </w:r>
          </w:p>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与泄漏处理</w:t>
            </w:r>
          </w:p>
        </w:tc>
        <w:tc>
          <w:tcPr>
            <w:tcW w:w="6354" w:type="dxa"/>
            <w:gridSpan w:val="10"/>
            <w:vAlign w:val="center"/>
          </w:tcPr>
          <w:p>
            <w:pPr>
              <w:spacing w:line="360" w:lineRule="auto"/>
              <w:rPr>
                <w:rFonts w:ascii="宋体" w:hAnsi="宋体" w:eastAsia="宋体"/>
                <w:color w:val="auto"/>
                <w:sz w:val="21"/>
                <w:szCs w:val="21"/>
              </w:rPr>
            </w:pPr>
            <w:r>
              <w:rPr>
                <w:rFonts w:ascii="宋体" w:hAnsi="宋体" w:eastAsia="宋体" w:cs="Arial"/>
                <w:b/>
                <w:color w:val="auto"/>
                <w:spacing w:val="4"/>
                <w:sz w:val="21"/>
                <w:szCs w:val="21"/>
              </w:rPr>
              <w:t>储运条件</w:t>
            </w:r>
            <w:r>
              <w:rPr>
                <w:rFonts w:ascii="宋体" w:hAnsi="宋体" w:eastAsia="宋体" w:cs="Arial"/>
                <w:color w:val="auto"/>
                <w:spacing w:val="4"/>
                <w:sz w:val="21"/>
                <w:szCs w:val="21"/>
              </w:rPr>
              <w:t>：</w:t>
            </w:r>
            <w:r>
              <w:rPr>
                <w:rStyle w:val="245"/>
                <w:rFonts w:hint="default"/>
                <w:color w:val="auto"/>
                <w:sz w:val="21"/>
                <w:szCs w:val="21"/>
              </w:rPr>
              <w:t>运输时运输车辆应配备相应品种和数量的消防器材及泄漏应急处理设备。夏季最好早晚运输。运输时所用的槽(罐)车应有接地链，槽内可设孔隔板以减少震荡产生静电。严禁与氧化剂、酸类、碱类、食用化学品、等混装混运。运输途中应防曝晒、雨淋，防高温。中途停留时应远离火种、热源、高温区。装运该物品的车辆排气管必须配备阻火装置，禁止使用易产生火花的机械设备和工具装卸。公路运输时要按规定路线行驶，勿在居民区和人口稠密区停留。铁路运输时要禁止溜放。严禁用木船、水泥船散装运输。</w:t>
            </w:r>
          </w:p>
          <w:p>
            <w:pPr>
              <w:spacing w:line="360" w:lineRule="auto"/>
              <w:rPr>
                <w:rFonts w:ascii="宋体" w:hAnsi="宋体" w:eastAsia="宋体" w:cs="Arial"/>
                <w:color w:val="auto"/>
                <w:spacing w:val="4"/>
                <w:sz w:val="21"/>
                <w:szCs w:val="21"/>
              </w:rPr>
            </w:pPr>
            <w:r>
              <w:rPr>
                <w:rFonts w:ascii="宋体" w:hAnsi="宋体" w:eastAsia="宋体" w:cs="Arial"/>
                <w:b/>
                <w:color w:val="auto"/>
                <w:spacing w:val="4"/>
                <w:sz w:val="21"/>
                <w:szCs w:val="21"/>
              </w:rPr>
              <w:t>泄漏处理</w:t>
            </w:r>
            <w:r>
              <w:rPr>
                <w:rFonts w:hint="eastAsia" w:ascii="宋体" w:hAnsi="宋体" w:eastAsia="宋体" w:cs="Arial"/>
                <w:b/>
                <w:color w:val="auto"/>
                <w:spacing w:val="4"/>
                <w:sz w:val="21"/>
                <w:szCs w:val="21"/>
              </w:rPr>
              <w:t>：</w:t>
            </w:r>
            <w:r>
              <w:rPr>
                <w:rStyle w:val="245"/>
                <w:rFonts w:hint="default"/>
                <w:color w:val="auto"/>
                <w:sz w:val="21"/>
                <w:szCs w:val="21"/>
              </w:rPr>
              <w:t>消除所有点火源。根据液体流动和蒸气扩散的影响区域划定警戒区，无关人员从侧风、上风向撤离至安全区。建议应急处理人员戴正压自给式呼吸器，穿防静电服。作业时使用的所有设备应接地。禁止接触或跨越泄漏物。尽可能切断泄漏源。防止泄漏物进入水体、下水道、地下室或密闭性空间。小量泄漏：用砂土或其它不燃材料吸收。使用洁净的无火花工具收集吸收材料。大量泄漏：构筑围堤或挖坑收容。用抗溶性泡沫覆盖，减少蒸发。喷水雾能减少蒸发，但不能降低泄漏物在受限制空间内的易燃性。用防爆泵转移至槽车或专用收集器内。喷雾状水驱散蒸气、稀释液体泄漏物。</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55" w:type="dxa"/>
            <w:vMerge w:val="continue"/>
            <w:vAlign w:val="center"/>
          </w:tcPr>
          <w:p>
            <w:pPr>
              <w:widowControl/>
              <w:spacing w:line="360" w:lineRule="auto"/>
              <w:rPr>
                <w:rFonts w:ascii="宋体" w:hAnsi="宋体" w:eastAsia="宋体" w:cs="Arial"/>
                <w:color w:val="auto"/>
                <w:spacing w:val="10"/>
                <w:sz w:val="21"/>
                <w:szCs w:val="21"/>
              </w:rPr>
            </w:pPr>
          </w:p>
        </w:tc>
        <w:tc>
          <w:tcPr>
            <w:tcW w:w="1713" w:type="dxa"/>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灭火方法</w:t>
            </w:r>
          </w:p>
        </w:tc>
        <w:tc>
          <w:tcPr>
            <w:tcW w:w="6354" w:type="dxa"/>
            <w:gridSpan w:val="10"/>
            <w:vAlign w:val="center"/>
          </w:tcPr>
          <w:p>
            <w:pPr>
              <w:spacing w:line="360" w:lineRule="auto"/>
              <w:rPr>
                <w:rFonts w:ascii="宋体" w:hAnsi="宋体" w:eastAsia="宋体" w:cs="Arial"/>
                <w:color w:val="auto"/>
                <w:spacing w:val="10"/>
                <w:sz w:val="21"/>
                <w:szCs w:val="21"/>
              </w:rPr>
            </w:pPr>
            <w:r>
              <w:rPr>
                <w:rFonts w:ascii="宋体" w:hAnsi="宋体" w:eastAsia="宋体"/>
                <w:color w:val="auto"/>
                <w:sz w:val="21"/>
                <w:szCs w:val="21"/>
              </w:rPr>
              <w:t>泡沫、二氧化碳、干粉、砂土。用水灭火无效。</w:t>
            </w:r>
          </w:p>
        </w:tc>
      </w:tr>
    </w:tbl>
    <w:p>
      <w:pPr>
        <w:spacing w:line="560" w:lineRule="exact"/>
        <w:jc w:val="center"/>
        <w:outlineLvl w:val="2"/>
        <w:rPr>
          <w:rFonts w:ascii="宋体" w:hAnsi="宋体" w:eastAsia="宋体" w:cs="Times New Roman"/>
          <w:b/>
          <w:bCs/>
          <w:color w:val="auto"/>
          <w:kern w:val="2"/>
          <w:lang w:val="en-US" w:eastAsia="zh-CN" w:bidi="ar-SA"/>
        </w:rPr>
      </w:pPr>
      <w:r>
        <w:rPr>
          <w:rFonts w:hint="eastAsia" w:ascii="宋体" w:hAnsi="宋体" w:eastAsia="宋体" w:cs="Times New Roman"/>
          <w:b/>
          <w:bCs/>
          <w:color w:val="auto"/>
          <w:kern w:val="2"/>
          <w:lang w:val="en-US" w:eastAsia="zh-CN" w:bidi="ar-SA"/>
        </w:rPr>
        <w:t>附表1-18乙酸仲丁酯</w:t>
      </w:r>
      <w:r>
        <w:rPr>
          <w:rFonts w:ascii="宋体" w:hAnsi="宋体" w:eastAsia="宋体" w:cs="Times New Roman"/>
          <w:b/>
          <w:bCs/>
          <w:color w:val="auto"/>
          <w:kern w:val="2"/>
          <w:lang w:val="en-US" w:eastAsia="zh-CN" w:bidi="ar-SA"/>
        </w:rPr>
        <w:t>的理化性质及危险特性</w:t>
      </w:r>
    </w:p>
    <w:tbl>
      <w:tblPr>
        <w:tblStyle w:val="45"/>
        <w:tblW w:w="5000" w:type="pct"/>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503"/>
        <w:gridCol w:w="1888"/>
        <w:gridCol w:w="931"/>
        <w:gridCol w:w="257"/>
        <w:gridCol w:w="363"/>
        <w:gridCol w:w="1071"/>
        <w:gridCol w:w="325"/>
        <w:gridCol w:w="747"/>
        <w:gridCol w:w="243"/>
        <w:gridCol w:w="1410"/>
        <w:gridCol w:w="726"/>
        <w:gridCol w:w="930"/>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rPr>
          <w:trHeight w:val="510" w:hRule="atLeast"/>
          <w:jc w:val="center"/>
        </w:trPr>
        <w:tc>
          <w:tcPr>
            <w:tcW w:w="455" w:type="dxa"/>
            <w:vMerge w:val="restart"/>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标</w:t>
            </w:r>
          </w:p>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识</w:t>
            </w:r>
          </w:p>
        </w:tc>
        <w:tc>
          <w:tcPr>
            <w:tcW w:w="5285" w:type="dxa"/>
            <w:gridSpan w:val="8"/>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中文名：</w:t>
            </w:r>
            <w:r>
              <w:rPr>
                <w:rFonts w:hint="eastAsia" w:ascii="宋体" w:hAnsi="宋体" w:eastAsia="宋体"/>
                <w:color w:val="auto"/>
                <w:sz w:val="21"/>
                <w:szCs w:val="21"/>
              </w:rPr>
              <w:t>乙酸仲丁酯</w:t>
            </w:r>
          </w:p>
        </w:tc>
        <w:tc>
          <w:tcPr>
            <w:tcW w:w="2782" w:type="dxa"/>
            <w:gridSpan w:val="3"/>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危险化学品序号：</w:t>
            </w:r>
            <w:r>
              <w:rPr>
                <w:rFonts w:hint="eastAsia" w:ascii="宋体" w:hAnsi="宋体" w:eastAsia="宋体" w:cs="Arial"/>
                <w:color w:val="auto"/>
                <w:sz w:val="21"/>
                <w:szCs w:val="21"/>
              </w:rPr>
              <w:t>2660</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rPr>
          <w:trHeight w:val="510" w:hRule="atLeast"/>
          <w:jc w:val="center"/>
        </w:trPr>
        <w:tc>
          <w:tcPr>
            <w:tcW w:w="455" w:type="dxa"/>
            <w:vMerge w:val="continue"/>
            <w:vAlign w:val="center"/>
          </w:tcPr>
          <w:p>
            <w:pPr>
              <w:widowControl/>
              <w:spacing w:line="360" w:lineRule="auto"/>
              <w:rPr>
                <w:rFonts w:ascii="宋体" w:hAnsi="宋体" w:eastAsia="宋体" w:cs="Arial"/>
                <w:color w:val="auto"/>
                <w:spacing w:val="10"/>
                <w:sz w:val="21"/>
                <w:szCs w:val="21"/>
              </w:rPr>
            </w:pPr>
          </w:p>
        </w:tc>
        <w:tc>
          <w:tcPr>
            <w:tcW w:w="5285" w:type="dxa"/>
            <w:gridSpan w:val="8"/>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英文名：</w:t>
            </w:r>
            <w:r>
              <w:rPr>
                <w:rFonts w:ascii="宋体" w:hAnsi="宋体" w:eastAsia="宋体" w:cs="宋体"/>
                <w:color w:val="auto"/>
                <w:sz w:val="21"/>
                <w:szCs w:val="21"/>
              </w:rPr>
              <w:t>sec-butyl acetate;acetic acid sec-butylester</w:t>
            </w:r>
          </w:p>
        </w:tc>
        <w:tc>
          <w:tcPr>
            <w:tcW w:w="2782" w:type="dxa"/>
            <w:gridSpan w:val="3"/>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UN编号：</w:t>
            </w:r>
            <w:r>
              <w:rPr>
                <w:rFonts w:hint="eastAsia" w:ascii="宋体" w:hAnsi="宋体" w:eastAsia="宋体"/>
                <w:color w:val="auto"/>
                <w:sz w:val="21"/>
                <w:szCs w:val="21"/>
              </w:rPr>
              <w:t>2130</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55" w:type="dxa"/>
            <w:vMerge w:val="continue"/>
            <w:vAlign w:val="center"/>
          </w:tcPr>
          <w:p>
            <w:pPr>
              <w:widowControl/>
              <w:spacing w:line="360" w:lineRule="auto"/>
              <w:rPr>
                <w:rFonts w:ascii="宋体" w:hAnsi="宋体" w:eastAsia="宋体" w:cs="Arial"/>
                <w:color w:val="auto"/>
                <w:spacing w:val="10"/>
                <w:sz w:val="21"/>
                <w:szCs w:val="21"/>
              </w:rPr>
            </w:pPr>
          </w:p>
        </w:tc>
        <w:tc>
          <w:tcPr>
            <w:tcW w:w="2791" w:type="dxa"/>
            <w:gridSpan w:val="3"/>
            <w:vAlign w:val="center"/>
          </w:tcPr>
          <w:p>
            <w:pPr>
              <w:spacing w:line="360" w:lineRule="auto"/>
              <w:ind w:left="880" w:hanging="920" w:hangingChars="400"/>
              <w:rPr>
                <w:rFonts w:ascii="宋体" w:hAnsi="宋体" w:eastAsia="宋体" w:cs="Arial"/>
                <w:color w:val="auto"/>
                <w:spacing w:val="10"/>
                <w:sz w:val="21"/>
                <w:szCs w:val="21"/>
              </w:rPr>
            </w:pPr>
            <w:r>
              <w:rPr>
                <w:rFonts w:ascii="宋体" w:hAnsi="宋体" w:eastAsia="宋体" w:cs="Arial"/>
                <w:color w:val="auto"/>
                <w:spacing w:val="10"/>
                <w:sz w:val="21"/>
                <w:szCs w:val="21"/>
              </w:rPr>
              <w:t>分子式：</w:t>
            </w:r>
            <w:r>
              <w:rPr>
                <w:rFonts w:ascii="宋体" w:hAnsi="宋体" w:eastAsia="宋体"/>
                <w:color w:val="auto"/>
                <w:sz w:val="21"/>
                <w:szCs w:val="21"/>
              </w:rPr>
              <w:t>C6H12O2</w:t>
            </w:r>
          </w:p>
        </w:tc>
        <w:tc>
          <w:tcPr>
            <w:tcW w:w="2494" w:type="dxa"/>
            <w:gridSpan w:val="5"/>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分子量：</w:t>
            </w:r>
            <w:r>
              <w:rPr>
                <w:rFonts w:hint="eastAsia" w:ascii="宋体" w:hAnsi="宋体" w:eastAsia="宋体"/>
                <w:color w:val="auto"/>
                <w:sz w:val="21"/>
                <w:szCs w:val="21"/>
              </w:rPr>
              <w:t>116.16</w:t>
            </w:r>
          </w:p>
        </w:tc>
        <w:tc>
          <w:tcPr>
            <w:tcW w:w="2782" w:type="dxa"/>
            <w:gridSpan w:val="3"/>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CAS号：</w:t>
            </w:r>
            <w:r>
              <w:rPr>
                <w:rFonts w:ascii="宋体" w:hAnsi="宋体" w:eastAsia="宋体" w:cs="宋体"/>
                <w:color w:val="auto"/>
                <w:sz w:val="21"/>
                <w:szCs w:val="21"/>
              </w:rPr>
              <w:t>105-46-4</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55" w:type="dxa"/>
            <w:vMerge w:val="restart"/>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理化性质</w:t>
            </w:r>
          </w:p>
        </w:tc>
        <w:tc>
          <w:tcPr>
            <w:tcW w:w="1713" w:type="dxa"/>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外观与性状</w:t>
            </w:r>
          </w:p>
        </w:tc>
        <w:tc>
          <w:tcPr>
            <w:tcW w:w="6354" w:type="dxa"/>
            <w:gridSpan w:val="10"/>
            <w:vAlign w:val="center"/>
          </w:tcPr>
          <w:p>
            <w:pPr>
              <w:spacing w:line="360" w:lineRule="auto"/>
              <w:rPr>
                <w:rFonts w:ascii="宋体" w:hAnsi="宋体" w:eastAsia="宋体" w:cs="Arial"/>
                <w:color w:val="auto"/>
                <w:spacing w:val="10"/>
                <w:sz w:val="21"/>
                <w:szCs w:val="21"/>
              </w:rPr>
            </w:pPr>
            <w:r>
              <w:rPr>
                <w:rStyle w:val="245"/>
                <w:rFonts w:hint="default"/>
                <w:color w:val="auto"/>
                <w:sz w:val="21"/>
                <w:szCs w:val="21"/>
              </w:rPr>
              <w:t>无色液体，有果子样的香气</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55" w:type="dxa"/>
            <w:vMerge w:val="continue"/>
            <w:vAlign w:val="center"/>
          </w:tcPr>
          <w:p>
            <w:pPr>
              <w:widowControl/>
              <w:spacing w:line="360" w:lineRule="auto"/>
              <w:rPr>
                <w:rFonts w:ascii="宋体" w:hAnsi="宋体" w:eastAsia="宋体" w:cs="Arial"/>
                <w:color w:val="auto"/>
                <w:spacing w:val="10"/>
                <w:sz w:val="21"/>
                <w:szCs w:val="21"/>
              </w:rPr>
            </w:pPr>
          </w:p>
        </w:tc>
        <w:tc>
          <w:tcPr>
            <w:tcW w:w="1713" w:type="dxa"/>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熔点(℃)</w:t>
            </w:r>
          </w:p>
        </w:tc>
        <w:tc>
          <w:tcPr>
            <w:tcW w:w="845" w:type="dxa"/>
            <w:vAlign w:val="center"/>
          </w:tcPr>
          <w:p>
            <w:pPr>
              <w:spacing w:line="360" w:lineRule="auto"/>
              <w:jc w:val="center"/>
              <w:rPr>
                <w:rFonts w:ascii="宋体" w:hAnsi="宋体" w:eastAsia="宋体" w:cs="Arial"/>
                <w:color w:val="auto"/>
                <w:spacing w:val="10"/>
                <w:sz w:val="21"/>
                <w:szCs w:val="21"/>
              </w:rPr>
            </w:pPr>
            <w:r>
              <w:rPr>
                <w:rFonts w:hint="eastAsia" w:ascii="宋体" w:hAnsi="宋体" w:eastAsia="宋体" w:cs="Arial"/>
                <w:color w:val="auto"/>
                <w:sz w:val="21"/>
                <w:szCs w:val="21"/>
              </w:rPr>
              <w:t>-98.9</w:t>
            </w:r>
          </w:p>
        </w:tc>
        <w:tc>
          <w:tcPr>
            <w:tcW w:w="1829" w:type="dxa"/>
            <w:gridSpan w:val="4"/>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相对密度(水=1)</w:t>
            </w:r>
          </w:p>
        </w:tc>
        <w:tc>
          <w:tcPr>
            <w:tcW w:w="898" w:type="dxa"/>
            <w:gridSpan w:val="2"/>
            <w:vAlign w:val="center"/>
          </w:tcPr>
          <w:p>
            <w:pPr>
              <w:spacing w:line="360" w:lineRule="auto"/>
              <w:jc w:val="center"/>
              <w:rPr>
                <w:rFonts w:ascii="宋体" w:hAnsi="宋体" w:eastAsia="宋体" w:cs="Arial"/>
                <w:color w:val="auto"/>
                <w:spacing w:val="10"/>
                <w:sz w:val="21"/>
                <w:szCs w:val="21"/>
              </w:rPr>
            </w:pPr>
            <w:r>
              <w:rPr>
                <w:rFonts w:hint="eastAsia" w:ascii="宋体" w:hAnsi="宋体" w:eastAsia="宋体" w:cs="Arial"/>
                <w:color w:val="auto"/>
                <w:spacing w:val="10"/>
                <w:sz w:val="21"/>
                <w:szCs w:val="21"/>
              </w:rPr>
              <w:t>0.86</w:t>
            </w:r>
          </w:p>
        </w:tc>
        <w:tc>
          <w:tcPr>
            <w:tcW w:w="1938" w:type="dxa"/>
            <w:gridSpan w:val="2"/>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相对密度(空气=1)</w:t>
            </w:r>
          </w:p>
        </w:tc>
        <w:tc>
          <w:tcPr>
            <w:tcW w:w="844" w:type="dxa"/>
            <w:vAlign w:val="center"/>
          </w:tcPr>
          <w:p>
            <w:pPr>
              <w:spacing w:line="360" w:lineRule="auto"/>
              <w:jc w:val="center"/>
              <w:rPr>
                <w:rFonts w:ascii="宋体" w:hAnsi="宋体" w:eastAsia="宋体" w:cs="Arial"/>
                <w:color w:val="auto"/>
                <w:spacing w:val="10"/>
                <w:sz w:val="21"/>
                <w:szCs w:val="21"/>
              </w:rPr>
            </w:pPr>
            <w:r>
              <w:rPr>
                <w:rFonts w:hint="eastAsia" w:ascii="宋体" w:hAnsi="宋体" w:eastAsia="宋体" w:cs="Arial"/>
                <w:color w:val="auto"/>
                <w:sz w:val="21"/>
                <w:szCs w:val="21"/>
              </w:rPr>
              <w:t>4</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55" w:type="dxa"/>
            <w:vMerge w:val="continue"/>
            <w:vAlign w:val="center"/>
          </w:tcPr>
          <w:p>
            <w:pPr>
              <w:widowControl/>
              <w:spacing w:line="360" w:lineRule="auto"/>
              <w:rPr>
                <w:rFonts w:ascii="宋体" w:hAnsi="宋体" w:eastAsia="宋体" w:cs="Arial"/>
                <w:color w:val="auto"/>
                <w:spacing w:val="10"/>
                <w:sz w:val="21"/>
                <w:szCs w:val="21"/>
              </w:rPr>
            </w:pPr>
          </w:p>
        </w:tc>
        <w:tc>
          <w:tcPr>
            <w:tcW w:w="1713" w:type="dxa"/>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沸点(℃)</w:t>
            </w:r>
          </w:p>
        </w:tc>
        <w:tc>
          <w:tcPr>
            <w:tcW w:w="845" w:type="dxa"/>
            <w:vAlign w:val="center"/>
          </w:tcPr>
          <w:p>
            <w:pPr>
              <w:spacing w:line="360" w:lineRule="auto"/>
              <w:jc w:val="center"/>
              <w:rPr>
                <w:rFonts w:ascii="宋体" w:hAnsi="宋体" w:eastAsia="宋体" w:cs="Arial"/>
                <w:color w:val="auto"/>
                <w:spacing w:val="10"/>
                <w:sz w:val="21"/>
                <w:szCs w:val="21"/>
              </w:rPr>
            </w:pPr>
            <w:r>
              <w:rPr>
                <w:rFonts w:hint="eastAsia" w:ascii="宋体" w:hAnsi="宋体" w:eastAsia="宋体" w:cs="Arial"/>
                <w:color w:val="auto"/>
                <w:spacing w:val="10"/>
                <w:sz w:val="21"/>
                <w:szCs w:val="21"/>
              </w:rPr>
              <w:t>112.3</w:t>
            </w:r>
          </w:p>
        </w:tc>
        <w:tc>
          <w:tcPr>
            <w:tcW w:w="2727" w:type="dxa"/>
            <w:gridSpan w:val="6"/>
            <w:vAlign w:val="center"/>
          </w:tcPr>
          <w:p>
            <w:pPr>
              <w:spacing w:line="360" w:lineRule="auto"/>
              <w:ind w:left="-40"/>
              <w:jc w:val="center"/>
              <w:rPr>
                <w:rFonts w:ascii="宋体" w:hAnsi="宋体" w:eastAsia="宋体" w:cs="Arial"/>
                <w:color w:val="auto"/>
                <w:spacing w:val="10"/>
                <w:sz w:val="21"/>
                <w:szCs w:val="21"/>
              </w:rPr>
            </w:pPr>
            <w:r>
              <w:rPr>
                <w:rFonts w:ascii="宋体" w:hAnsi="宋体" w:eastAsia="宋体" w:cs="Arial"/>
                <w:color w:val="auto"/>
                <w:spacing w:val="10"/>
                <w:sz w:val="21"/>
                <w:szCs w:val="21"/>
              </w:rPr>
              <w:t>饱和蒸气压(kPa)</w:t>
            </w:r>
          </w:p>
        </w:tc>
        <w:tc>
          <w:tcPr>
            <w:tcW w:w="2782" w:type="dxa"/>
            <w:gridSpan w:val="3"/>
            <w:vAlign w:val="center"/>
          </w:tcPr>
          <w:p>
            <w:pPr>
              <w:spacing w:line="360" w:lineRule="auto"/>
              <w:jc w:val="center"/>
              <w:rPr>
                <w:rFonts w:ascii="宋体" w:hAnsi="宋体" w:eastAsia="宋体" w:cs="Arial"/>
                <w:color w:val="auto"/>
                <w:spacing w:val="10"/>
                <w:sz w:val="21"/>
                <w:szCs w:val="21"/>
              </w:rPr>
            </w:pPr>
            <w:r>
              <w:rPr>
                <w:rFonts w:hint="eastAsia" w:ascii="宋体" w:hAnsi="宋体" w:eastAsia="宋体" w:cs="Arial"/>
                <w:color w:val="auto"/>
                <w:spacing w:val="10"/>
                <w:sz w:val="21"/>
                <w:szCs w:val="21"/>
              </w:rPr>
              <w:t>2/25℃</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89" w:hRule="atLeast"/>
          <w:jc w:val="center"/>
        </w:trPr>
        <w:tc>
          <w:tcPr>
            <w:tcW w:w="455" w:type="dxa"/>
            <w:vMerge w:val="continue"/>
            <w:vAlign w:val="center"/>
          </w:tcPr>
          <w:p>
            <w:pPr>
              <w:widowControl/>
              <w:spacing w:line="360" w:lineRule="auto"/>
              <w:rPr>
                <w:rFonts w:ascii="宋体" w:hAnsi="宋体" w:eastAsia="宋体" w:cs="Arial"/>
                <w:color w:val="auto"/>
                <w:spacing w:val="10"/>
                <w:sz w:val="21"/>
                <w:szCs w:val="21"/>
              </w:rPr>
            </w:pPr>
          </w:p>
        </w:tc>
        <w:tc>
          <w:tcPr>
            <w:tcW w:w="1713" w:type="dxa"/>
            <w:tcBorders>
              <w:bottom w:val="single" w:color="auto" w:sz="4" w:space="0"/>
            </w:tcBorders>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溶解性</w:t>
            </w:r>
          </w:p>
        </w:tc>
        <w:tc>
          <w:tcPr>
            <w:tcW w:w="6354" w:type="dxa"/>
            <w:gridSpan w:val="10"/>
            <w:tcBorders>
              <w:bottom w:val="single" w:color="auto" w:sz="4" w:space="0"/>
            </w:tcBorders>
            <w:vAlign w:val="center"/>
          </w:tcPr>
          <w:p>
            <w:pPr>
              <w:spacing w:line="360" w:lineRule="auto"/>
              <w:rPr>
                <w:rFonts w:ascii="宋体" w:hAnsi="宋体" w:eastAsia="宋体" w:cs="Arial"/>
                <w:color w:val="auto"/>
                <w:spacing w:val="10"/>
                <w:sz w:val="21"/>
                <w:szCs w:val="21"/>
              </w:rPr>
            </w:pPr>
            <w:r>
              <w:rPr>
                <w:rStyle w:val="245"/>
                <w:rFonts w:hint="default"/>
                <w:color w:val="auto"/>
                <w:sz w:val="21"/>
                <w:szCs w:val="21"/>
              </w:rPr>
              <w:t>不溶于水，可混溶于乙醇、乙醚等多数有机溶剂</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07" w:hRule="atLeast"/>
          <w:jc w:val="center"/>
        </w:trPr>
        <w:tc>
          <w:tcPr>
            <w:tcW w:w="455" w:type="dxa"/>
            <w:vMerge w:val="continue"/>
            <w:vAlign w:val="center"/>
          </w:tcPr>
          <w:p>
            <w:pPr>
              <w:widowControl/>
              <w:spacing w:line="360" w:lineRule="auto"/>
              <w:rPr>
                <w:rFonts w:ascii="宋体" w:hAnsi="宋体" w:eastAsia="宋体" w:cs="Arial"/>
                <w:color w:val="auto"/>
                <w:spacing w:val="10"/>
                <w:sz w:val="21"/>
                <w:szCs w:val="21"/>
              </w:rPr>
            </w:pPr>
          </w:p>
        </w:tc>
        <w:tc>
          <w:tcPr>
            <w:tcW w:w="1713" w:type="dxa"/>
            <w:tcBorders>
              <w:top w:val="single" w:color="auto" w:sz="4" w:space="0"/>
            </w:tcBorders>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危害性类别</w:t>
            </w:r>
          </w:p>
        </w:tc>
        <w:tc>
          <w:tcPr>
            <w:tcW w:w="6354" w:type="dxa"/>
            <w:gridSpan w:val="10"/>
            <w:tcBorders>
              <w:top w:val="single" w:color="auto" w:sz="4" w:space="0"/>
            </w:tcBorders>
            <w:vAlign w:val="center"/>
          </w:tcPr>
          <w:p>
            <w:pPr>
              <w:widowControl/>
              <w:spacing w:line="360" w:lineRule="auto"/>
              <w:rPr>
                <w:rFonts w:ascii="宋体" w:hAnsi="宋体" w:eastAsia="宋体" w:cs="宋体"/>
                <w:color w:val="auto"/>
                <w:sz w:val="21"/>
                <w:szCs w:val="21"/>
              </w:rPr>
            </w:pPr>
            <w:r>
              <w:rPr>
                <w:rFonts w:ascii="宋体" w:hAnsi="宋体" w:eastAsia="宋体" w:cs="宋体"/>
                <w:color w:val="auto"/>
                <w:sz w:val="21"/>
                <w:szCs w:val="21"/>
              </w:rPr>
              <w:t>易燃液体,类别2</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55" w:type="dxa"/>
            <w:vMerge w:val="restart"/>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毒性及健康危害</w:t>
            </w:r>
          </w:p>
        </w:tc>
        <w:tc>
          <w:tcPr>
            <w:tcW w:w="1713" w:type="dxa"/>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侵入途径</w:t>
            </w:r>
          </w:p>
        </w:tc>
        <w:tc>
          <w:tcPr>
            <w:tcW w:w="6354" w:type="dxa"/>
            <w:gridSpan w:val="10"/>
            <w:vAlign w:val="center"/>
          </w:tcPr>
          <w:p>
            <w:pPr>
              <w:spacing w:line="360" w:lineRule="auto"/>
              <w:rPr>
                <w:rFonts w:ascii="宋体" w:hAnsi="宋体" w:eastAsia="宋体" w:cs="Arial"/>
                <w:color w:val="auto"/>
                <w:spacing w:val="10"/>
                <w:sz w:val="21"/>
                <w:szCs w:val="21"/>
              </w:rPr>
            </w:pPr>
            <w:r>
              <w:rPr>
                <w:rFonts w:ascii="宋体" w:hAnsi="宋体" w:eastAsia="宋体"/>
                <w:color w:val="auto"/>
                <w:sz w:val="21"/>
                <w:szCs w:val="21"/>
              </w:rPr>
              <w:t>吸入、食入、经皮吸收。</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55" w:type="dxa"/>
            <w:vMerge w:val="continue"/>
            <w:vAlign w:val="center"/>
          </w:tcPr>
          <w:p>
            <w:pPr>
              <w:widowControl/>
              <w:spacing w:line="360" w:lineRule="auto"/>
              <w:rPr>
                <w:rFonts w:ascii="宋体" w:hAnsi="宋体" w:eastAsia="宋体" w:cs="Arial"/>
                <w:color w:val="auto"/>
                <w:spacing w:val="10"/>
                <w:sz w:val="21"/>
                <w:szCs w:val="21"/>
              </w:rPr>
            </w:pPr>
          </w:p>
        </w:tc>
        <w:tc>
          <w:tcPr>
            <w:tcW w:w="1713" w:type="dxa"/>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毒性</w:t>
            </w:r>
          </w:p>
        </w:tc>
        <w:tc>
          <w:tcPr>
            <w:tcW w:w="6354" w:type="dxa"/>
            <w:gridSpan w:val="10"/>
            <w:vAlign w:val="center"/>
          </w:tcPr>
          <w:p>
            <w:pPr>
              <w:spacing w:line="360" w:lineRule="auto"/>
              <w:rPr>
                <w:rFonts w:ascii="宋体" w:hAnsi="宋体" w:eastAsia="宋体" w:cs="Arial"/>
                <w:color w:val="auto"/>
                <w:spacing w:val="10"/>
                <w:sz w:val="21"/>
                <w:szCs w:val="21"/>
              </w:rPr>
            </w:pPr>
            <w:r>
              <w:rPr>
                <w:rStyle w:val="245"/>
                <w:rFonts w:hint="default"/>
                <w:color w:val="auto"/>
                <w:sz w:val="21"/>
                <w:szCs w:val="21"/>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rPr>
          <w:trHeight w:val="510" w:hRule="atLeast"/>
          <w:jc w:val="center"/>
        </w:trPr>
        <w:tc>
          <w:tcPr>
            <w:tcW w:w="455" w:type="dxa"/>
            <w:vMerge w:val="continue"/>
            <w:vAlign w:val="center"/>
          </w:tcPr>
          <w:p>
            <w:pPr>
              <w:widowControl/>
              <w:spacing w:line="360" w:lineRule="auto"/>
              <w:rPr>
                <w:rFonts w:ascii="宋体" w:hAnsi="宋体" w:eastAsia="宋体" w:cs="Arial"/>
                <w:color w:val="auto"/>
                <w:spacing w:val="10"/>
                <w:sz w:val="21"/>
                <w:szCs w:val="21"/>
              </w:rPr>
            </w:pPr>
          </w:p>
        </w:tc>
        <w:tc>
          <w:tcPr>
            <w:tcW w:w="1713" w:type="dxa"/>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健康危害</w:t>
            </w:r>
          </w:p>
        </w:tc>
        <w:tc>
          <w:tcPr>
            <w:tcW w:w="6354" w:type="dxa"/>
            <w:gridSpan w:val="10"/>
            <w:vAlign w:val="center"/>
          </w:tcPr>
          <w:p>
            <w:pPr>
              <w:spacing w:line="360" w:lineRule="auto"/>
              <w:rPr>
                <w:rFonts w:ascii="宋体" w:hAnsi="宋体" w:eastAsia="宋体" w:cs="Arial"/>
                <w:color w:val="auto"/>
                <w:spacing w:val="6"/>
                <w:sz w:val="21"/>
                <w:szCs w:val="21"/>
              </w:rPr>
            </w:pPr>
            <w:r>
              <w:rPr>
                <w:rStyle w:val="245"/>
                <w:rFonts w:hint="default"/>
                <w:color w:val="auto"/>
                <w:sz w:val="21"/>
                <w:szCs w:val="21"/>
              </w:rPr>
              <w:t>对眼及上呼吸道粘膜有刺激性，有麻醉作用。蛋液有危害作用，可引起皮肤干燥并可通过完整的皮肤吸收。</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rPr>
          <w:trHeight w:val="510" w:hRule="atLeast"/>
          <w:jc w:val="center"/>
        </w:trPr>
        <w:tc>
          <w:tcPr>
            <w:tcW w:w="455" w:type="dxa"/>
            <w:vMerge w:val="continue"/>
            <w:vAlign w:val="center"/>
          </w:tcPr>
          <w:p>
            <w:pPr>
              <w:widowControl/>
              <w:spacing w:line="360" w:lineRule="auto"/>
              <w:rPr>
                <w:rFonts w:ascii="宋体" w:hAnsi="宋体" w:eastAsia="宋体" w:cs="Arial"/>
                <w:color w:val="auto"/>
                <w:spacing w:val="10"/>
                <w:sz w:val="21"/>
                <w:szCs w:val="21"/>
              </w:rPr>
            </w:pPr>
          </w:p>
        </w:tc>
        <w:tc>
          <w:tcPr>
            <w:tcW w:w="1713" w:type="dxa"/>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急救方法</w:t>
            </w:r>
          </w:p>
        </w:tc>
        <w:tc>
          <w:tcPr>
            <w:tcW w:w="6354" w:type="dxa"/>
            <w:gridSpan w:val="10"/>
            <w:vAlign w:val="center"/>
          </w:tcPr>
          <w:p>
            <w:pPr>
              <w:spacing w:line="360" w:lineRule="auto"/>
              <w:rPr>
                <w:rFonts w:ascii="宋体" w:hAnsi="宋体" w:eastAsia="宋体" w:cs="宋体"/>
                <w:bCs/>
                <w:color w:val="auto"/>
                <w:sz w:val="21"/>
                <w:szCs w:val="21"/>
              </w:rPr>
            </w:pPr>
            <w:r>
              <w:rPr>
                <w:rFonts w:hint="eastAsia" w:ascii="宋体" w:hAnsi="宋体" w:eastAsia="宋体" w:cs="宋体"/>
                <w:bCs/>
                <w:color w:val="auto"/>
                <w:sz w:val="21"/>
                <w:szCs w:val="21"/>
              </w:rPr>
              <w:t>迅速脱离现场至空气新鲜处。保持呼吸道通畅。如呼吸困难，给输氧。如呼吸停止，立即进行人工呼</w:t>
            </w:r>
          </w:p>
          <w:p>
            <w:pPr>
              <w:spacing w:line="360" w:lineRule="auto"/>
              <w:rPr>
                <w:rFonts w:ascii="宋体" w:hAnsi="宋体" w:eastAsia="宋体" w:cs="Arial"/>
                <w:color w:val="auto"/>
                <w:spacing w:val="10"/>
                <w:sz w:val="21"/>
                <w:szCs w:val="21"/>
              </w:rPr>
            </w:pPr>
            <w:r>
              <w:rPr>
                <w:rFonts w:hint="eastAsia" w:ascii="宋体" w:hAnsi="宋体" w:eastAsia="宋体" w:cs="宋体"/>
                <w:bCs/>
                <w:color w:val="auto"/>
                <w:sz w:val="21"/>
                <w:szCs w:val="21"/>
              </w:rPr>
              <w:t>吸。就医。</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55" w:type="dxa"/>
            <w:vMerge w:val="restart"/>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燃烧爆炸危险性</w:t>
            </w:r>
          </w:p>
        </w:tc>
        <w:tc>
          <w:tcPr>
            <w:tcW w:w="1713" w:type="dxa"/>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燃烧性</w:t>
            </w:r>
          </w:p>
        </w:tc>
        <w:tc>
          <w:tcPr>
            <w:tcW w:w="1407" w:type="dxa"/>
            <w:gridSpan w:val="3"/>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易燃</w:t>
            </w:r>
          </w:p>
        </w:tc>
        <w:tc>
          <w:tcPr>
            <w:tcW w:w="1945" w:type="dxa"/>
            <w:gridSpan w:val="3"/>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燃烧分解物</w:t>
            </w:r>
          </w:p>
        </w:tc>
        <w:tc>
          <w:tcPr>
            <w:tcW w:w="3002" w:type="dxa"/>
            <w:gridSpan w:val="4"/>
            <w:vAlign w:val="center"/>
          </w:tcPr>
          <w:p>
            <w:pPr>
              <w:spacing w:line="360" w:lineRule="auto"/>
              <w:jc w:val="center"/>
              <w:rPr>
                <w:rFonts w:ascii="宋体" w:hAnsi="宋体" w:eastAsia="宋体" w:cs="Arial"/>
                <w:color w:val="auto"/>
                <w:spacing w:val="10"/>
                <w:sz w:val="21"/>
                <w:szCs w:val="21"/>
              </w:rPr>
            </w:pPr>
            <w:r>
              <w:rPr>
                <w:rFonts w:hint="eastAsia" w:ascii="宋体" w:hAnsi="宋体" w:eastAsia="宋体"/>
                <w:color w:val="auto"/>
                <w:sz w:val="21"/>
                <w:szCs w:val="21"/>
              </w:rPr>
              <w:t>一氧化碳、二氧化碳</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rPr>
          <w:trHeight w:val="510" w:hRule="atLeast"/>
          <w:jc w:val="center"/>
        </w:trPr>
        <w:tc>
          <w:tcPr>
            <w:tcW w:w="455" w:type="dxa"/>
            <w:vMerge w:val="continue"/>
            <w:vAlign w:val="center"/>
          </w:tcPr>
          <w:p>
            <w:pPr>
              <w:widowControl/>
              <w:spacing w:line="360" w:lineRule="auto"/>
              <w:rPr>
                <w:rFonts w:ascii="宋体" w:hAnsi="宋体" w:eastAsia="宋体" w:cs="Arial"/>
                <w:color w:val="auto"/>
                <w:spacing w:val="10"/>
                <w:sz w:val="21"/>
                <w:szCs w:val="21"/>
              </w:rPr>
            </w:pPr>
          </w:p>
        </w:tc>
        <w:tc>
          <w:tcPr>
            <w:tcW w:w="1713" w:type="dxa"/>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闪点(℃)</w:t>
            </w:r>
          </w:p>
        </w:tc>
        <w:tc>
          <w:tcPr>
            <w:tcW w:w="1407" w:type="dxa"/>
            <w:gridSpan w:val="3"/>
            <w:vAlign w:val="center"/>
          </w:tcPr>
          <w:p>
            <w:pPr>
              <w:spacing w:line="360" w:lineRule="auto"/>
              <w:jc w:val="center"/>
              <w:rPr>
                <w:rFonts w:ascii="宋体" w:hAnsi="宋体" w:eastAsia="宋体" w:cs="Arial"/>
                <w:color w:val="auto"/>
                <w:spacing w:val="10"/>
                <w:sz w:val="21"/>
                <w:szCs w:val="21"/>
              </w:rPr>
            </w:pPr>
            <w:r>
              <w:rPr>
                <w:rFonts w:hint="eastAsia" w:ascii="宋体" w:hAnsi="宋体" w:eastAsia="宋体" w:cs="Arial"/>
                <w:color w:val="auto"/>
                <w:spacing w:val="10"/>
                <w:sz w:val="21"/>
                <w:szCs w:val="21"/>
              </w:rPr>
              <w:t>19</w:t>
            </w:r>
          </w:p>
        </w:tc>
        <w:tc>
          <w:tcPr>
            <w:tcW w:w="1945" w:type="dxa"/>
            <w:gridSpan w:val="3"/>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爆炸上限(v%)</w:t>
            </w:r>
          </w:p>
        </w:tc>
        <w:tc>
          <w:tcPr>
            <w:tcW w:w="3002" w:type="dxa"/>
            <w:gridSpan w:val="4"/>
            <w:vAlign w:val="center"/>
          </w:tcPr>
          <w:p>
            <w:pPr>
              <w:spacing w:line="360" w:lineRule="auto"/>
              <w:jc w:val="center"/>
              <w:rPr>
                <w:rFonts w:ascii="宋体" w:hAnsi="宋体" w:eastAsia="宋体" w:cs="Arial"/>
                <w:color w:val="auto"/>
                <w:spacing w:val="10"/>
                <w:sz w:val="21"/>
                <w:szCs w:val="21"/>
              </w:rPr>
            </w:pPr>
            <w:r>
              <w:rPr>
                <w:rFonts w:hint="eastAsia" w:ascii="宋体" w:hAnsi="宋体" w:eastAsia="宋体" w:cs="Arial"/>
                <w:color w:val="auto"/>
                <w:spacing w:val="10"/>
                <w:sz w:val="21"/>
                <w:szCs w:val="21"/>
              </w:rPr>
              <w:t>15</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55" w:type="dxa"/>
            <w:vMerge w:val="continue"/>
            <w:vAlign w:val="center"/>
          </w:tcPr>
          <w:p>
            <w:pPr>
              <w:widowControl/>
              <w:spacing w:line="360" w:lineRule="auto"/>
              <w:rPr>
                <w:rFonts w:ascii="宋体" w:hAnsi="宋体" w:eastAsia="宋体" w:cs="Arial"/>
                <w:color w:val="auto"/>
                <w:spacing w:val="10"/>
                <w:sz w:val="21"/>
                <w:szCs w:val="21"/>
              </w:rPr>
            </w:pPr>
          </w:p>
        </w:tc>
        <w:tc>
          <w:tcPr>
            <w:tcW w:w="1713" w:type="dxa"/>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引燃温度(℃)</w:t>
            </w:r>
          </w:p>
        </w:tc>
        <w:tc>
          <w:tcPr>
            <w:tcW w:w="1407" w:type="dxa"/>
            <w:gridSpan w:val="3"/>
            <w:vAlign w:val="center"/>
          </w:tcPr>
          <w:p>
            <w:pPr>
              <w:spacing w:line="360" w:lineRule="auto"/>
              <w:jc w:val="center"/>
              <w:rPr>
                <w:rFonts w:ascii="宋体" w:hAnsi="宋体" w:eastAsia="宋体" w:cs="Arial"/>
                <w:color w:val="auto"/>
                <w:spacing w:val="10"/>
                <w:sz w:val="21"/>
                <w:szCs w:val="21"/>
              </w:rPr>
            </w:pPr>
            <w:r>
              <w:rPr>
                <w:rFonts w:hint="eastAsia" w:ascii="宋体" w:hAnsi="宋体" w:eastAsia="宋体" w:cs="Arial"/>
                <w:color w:val="auto"/>
                <w:spacing w:val="10"/>
                <w:sz w:val="21"/>
                <w:szCs w:val="21"/>
              </w:rPr>
              <w:t>/</w:t>
            </w:r>
          </w:p>
        </w:tc>
        <w:tc>
          <w:tcPr>
            <w:tcW w:w="1945" w:type="dxa"/>
            <w:gridSpan w:val="3"/>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爆炸下限(v%)</w:t>
            </w:r>
          </w:p>
        </w:tc>
        <w:tc>
          <w:tcPr>
            <w:tcW w:w="3002" w:type="dxa"/>
            <w:gridSpan w:val="4"/>
            <w:vAlign w:val="center"/>
          </w:tcPr>
          <w:p>
            <w:pPr>
              <w:spacing w:line="360" w:lineRule="auto"/>
              <w:jc w:val="center"/>
              <w:rPr>
                <w:rFonts w:ascii="宋体" w:hAnsi="宋体" w:eastAsia="宋体" w:cs="Arial"/>
                <w:color w:val="auto"/>
                <w:spacing w:val="10"/>
                <w:sz w:val="21"/>
                <w:szCs w:val="21"/>
              </w:rPr>
            </w:pPr>
            <w:r>
              <w:rPr>
                <w:rFonts w:hint="eastAsia" w:ascii="宋体" w:hAnsi="宋体" w:eastAsia="宋体" w:cs="Arial"/>
                <w:color w:val="auto"/>
                <w:spacing w:val="10"/>
                <w:sz w:val="21"/>
                <w:szCs w:val="21"/>
              </w:rPr>
              <w:t>1.5</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55" w:type="dxa"/>
            <w:vMerge w:val="continue"/>
            <w:vAlign w:val="center"/>
          </w:tcPr>
          <w:p>
            <w:pPr>
              <w:widowControl/>
              <w:spacing w:line="360" w:lineRule="auto"/>
              <w:rPr>
                <w:rFonts w:ascii="宋体" w:hAnsi="宋体" w:eastAsia="宋体" w:cs="Arial"/>
                <w:color w:val="auto"/>
                <w:spacing w:val="10"/>
                <w:sz w:val="21"/>
                <w:szCs w:val="21"/>
              </w:rPr>
            </w:pPr>
          </w:p>
        </w:tc>
        <w:tc>
          <w:tcPr>
            <w:tcW w:w="1713" w:type="dxa"/>
            <w:vAlign w:val="center"/>
          </w:tcPr>
          <w:p>
            <w:pPr>
              <w:spacing w:line="360" w:lineRule="auto"/>
              <w:jc w:val="center"/>
              <w:rPr>
                <w:rFonts w:ascii="宋体" w:hAnsi="宋体" w:eastAsia="宋体"/>
                <w:color w:val="auto"/>
                <w:spacing w:val="10"/>
                <w:sz w:val="21"/>
                <w:szCs w:val="21"/>
              </w:rPr>
            </w:pPr>
            <w:r>
              <w:rPr>
                <w:rFonts w:hint="eastAsia" w:ascii="宋体" w:hAnsi="宋体" w:eastAsia="宋体"/>
                <w:color w:val="auto"/>
                <w:spacing w:val="10"/>
                <w:sz w:val="21"/>
                <w:szCs w:val="21"/>
              </w:rPr>
              <w:t>建规火险分级</w:t>
            </w:r>
          </w:p>
        </w:tc>
        <w:tc>
          <w:tcPr>
            <w:tcW w:w="1407" w:type="dxa"/>
            <w:gridSpan w:val="3"/>
            <w:vAlign w:val="center"/>
          </w:tcPr>
          <w:p>
            <w:pPr>
              <w:spacing w:line="360" w:lineRule="auto"/>
              <w:jc w:val="center"/>
              <w:rPr>
                <w:rFonts w:ascii="宋体" w:hAnsi="宋体" w:eastAsia="宋体"/>
                <w:color w:val="auto"/>
                <w:spacing w:val="10"/>
                <w:sz w:val="21"/>
                <w:szCs w:val="21"/>
              </w:rPr>
            </w:pPr>
            <w:r>
              <w:rPr>
                <w:rFonts w:hint="eastAsia" w:ascii="宋体" w:hAnsi="宋体" w:eastAsia="宋体"/>
                <w:color w:val="auto"/>
                <w:spacing w:val="10"/>
                <w:sz w:val="21"/>
                <w:szCs w:val="21"/>
              </w:rPr>
              <w:t>甲</w:t>
            </w:r>
          </w:p>
        </w:tc>
        <w:tc>
          <w:tcPr>
            <w:tcW w:w="972" w:type="dxa"/>
            <w:vAlign w:val="center"/>
          </w:tcPr>
          <w:p>
            <w:pPr>
              <w:spacing w:line="360" w:lineRule="auto"/>
              <w:jc w:val="center"/>
              <w:rPr>
                <w:rFonts w:ascii="宋体" w:hAnsi="宋体" w:eastAsia="宋体"/>
                <w:color w:val="auto"/>
                <w:spacing w:val="10"/>
                <w:sz w:val="21"/>
                <w:szCs w:val="21"/>
              </w:rPr>
            </w:pPr>
            <w:r>
              <w:rPr>
                <w:rFonts w:hint="eastAsia" w:ascii="宋体" w:hAnsi="宋体" w:eastAsia="宋体"/>
                <w:color w:val="auto"/>
                <w:spacing w:val="10"/>
                <w:sz w:val="21"/>
                <w:szCs w:val="21"/>
              </w:rPr>
              <w:t>稳定性</w:t>
            </w:r>
          </w:p>
        </w:tc>
        <w:tc>
          <w:tcPr>
            <w:tcW w:w="973" w:type="dxa"/>
            <w:gridSpan w:val="2"/>
            <w:vAlign w:val="center"/>
          </w:tcPr>
          <w:p>
            <w:pPr>
              <w:spacing w:line="360" w:lineRule="auto"/>
              <w:jc w:val="center"/>
              <w:rPr>
                <w:rFonts w:ascii="宋体" w:hAnsi="宋体" w:eastAsia="宋体"/>
                <w:color w:val="auto"/>
                <w:spacing w:val="10"/>
                <w:sz w:val="21"/>
                <w:szCs w:val="21"/>
              </w:rPr>
            </w:pPr>
            <w:r>
              <w:rPr>
                <w:rFonts w:hint="eastAsia" w:ascii="宋体" w:hAnsi="宋体" w:eastAsia="宋体"/>
                <w:color w:val="auto"/>
                <w:spacing w:val="10"/>
                <w:sz w:val="21"/>
                <w:szCs w:val="21"/>
              </w:rPr>
              <w:t>稳定</w:t>
            </w:r>
          </w:p>
        </w:tc>
        <w:tc>
          <w:tcPr>
            <w:tcW w:w="1499" w:type="dxa"/>
            <w:gridSpan w:val="2"/>
            <w:vAlign w:val="center"/>
          </w:tcPr>
          <w:p>
            <w:pPr>
              <w:spacing w:line="360" w:lineRule="auto"/>
              <w:jc w:val="center"/>
              <w:rPr>
                <w:rFonts w:ascii="宋体" w:hAnsi="宋体" w:eastAsia="宋体"/>
                <w:color w:val="auto"/>
                <w:spacing w:val="10"/>
                <w:sz w:val="21"/>
                <w:szCs w:val="21"/>
              </w:rPr>
            </w:pPr>
            <w:r>
              <w:rPr>
                <w:rFonts w:hint="eastAsia" w:ascii="宋体" w:hAnsi="宋体" w:eastAsia="宋体"/>
                <w:color w:val="auto"/>
                <w:spacing w:val="10"/>
                <w:sz w:val="21"/>
                <w:szCs w:val="21"/>
              </w:rPr>
              <w:t>聚合危害</w:t>
            </w:r>
          </w:p>
        </w:tc>
        <w:tc>
          <w:tcPr>
            <w:tcW w:w="1503" w:type="dxa"/>
            <w:gridSpan w:val="2"/>
            <w:vAlign w:val="center"/>
          </w:tcPr>
          <w:p>
            <w:pPr>
              <w:spacing w:line="360" w:lineRule="auto"/>
              <w:jc w:val="center"/>
              <w:rPr>
                <w:rFonts w:ascii="宋体" w:hAnsi="宋体" w:eastAsia="宋体"/>
                <w:color w:val="auto"/>
                <w:spacing w:val="10"/>
                <w:sz w:val="21"/>
                <w:szCs w:val="21"/>
              </w:rPr>
            </w:pPr>
            <w:r>
              <w:rPr>
                <w:rFonts w:hint="eastAsia" w:ascii="宋体" w:hAnsi="宋体" w:eastAsia="宋体"/>
                <w:color w:val="auto"/>
                <w:spacing w:val="10"/>
                <w:sz w:val="21"/>
                <w:szCs w:val="21"/>
              </w:rPr>
              <w:t>不聚合</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55" w:type="dxa"/>
            <w:vMerge w:val="continue"/>
            <w:vAlign w:val="center"/>
          </w:tcPr>
          <w:p>
            <w:pPr>
              <w:widowControl/>
              <w:spacing w:line="360" w:lineRule="auto"/>
              <w:rPr>
                <w:rFonts w:ascii="宋体" w:hAnsi="宋体" w:eastAsia="宋体" w:cs="Arial"/>
                <w:color w:val="auto"/>
                <w:spacing w:val="10"/>
                <w:sz w:val="21"/>
                <w:szCs w:val="21"/>
              </w:rPr>
            </w:pPr>
          </w:p>
        </w:tc>
        <w:tc>
          <w:tcPr>
            <w:tcW w:w="1713" w:type="dxa"/>
            <w:vAlign w:val="center"/>
          </w:tcPr>
          <w:p>
            <w:pPr>
              <w:spacing w:line="360" w:lineRule="auto"/>
              <w:jc w:val="center"/>
              <w:rPr>
                <w:rFonts w:ascii="宋体" w:hAnsi="宋体" w:eastAsia="宋体"/>
                <w:color w:val="auto"/>
                <w:spacing w:val="10"/>
                <w:sz w:val="21"/>
                <w:szCs w:val="21"/>
              </w:rPr>
            </w:pPr>
            <w:r>
              <w:rPr>
                <w:rFonts w:hint="eastAsia" w:ascii="宋体" w:hAnsi="宋体" w:eastAsia="宋体"/>
                <w:color w:val="auto"/>
                <w:spacing w:val="10"/>
                <w:sz w:val="21"/>
                <w:szCs w:val="21"/>
              </w:rPr>
              <w:t>禁忌物</w:t>
            </w:r>
          </w:p>
        </w:tc>
        <w:tc>
          <w:tcPr>
            <w:tcW w:w="6354" w:type="dxa"/>
            <w:gridSpan w:val="10"/>
            <w:vAlign w:val="center"/>
          </w:tcPr>
          <w:p>
            <w:pPr>
              <w:spacing w:line="360" w:lineRule="auto"/>
              <w:rPr>
                <w:rFonts w:ascii="宋体" w:hAnsi="宋体" w:eastAsia="宋体"/>
                <w:color w:val="auto"/>
                <w:spacing w:val="10"/>
                <w:sz w:val="21"/>
                <w:szCs w:val="21"/>
              </w:rPr>
            </w:pPr>
            <w:r>
              <w:rPr>
                <w:rFonts w:ascii="宋体" w:hAnsi="宋体" w:eastAsia="宋体"/>
                <w:color w:val="auto"/>
                <w:sz w:val="21"/>
                <w:szCs w:val="21"/>
              </w:rPr>
              <w:t>强氧化剂、碱类、酸类。 </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55" w:type="dxa"/>
            <w:vMerge w:val="continue"/>
            <w:vAlign w:val="center"/>
          </w:tcPr>
          <w:p>
            <w:pPr>
              <w:widowControl/>
              <w:spacing w:line="360" w:lineRule="auto"/>
              <w:rPr>
                <w:rFonts w:ascii="宋体" w:hAnsi="宋体" w:eastAsia="宋体" w:cs="Arial"/>
                <w:color w:val="auto"/>
                <w:spacing w:val="10"/>
                <w:sz w:val="21"/>
                <w:szCs w:val="21"/>
              </w:rPr>
            </w:pPr>
          </w:p>
        </w:tc>
        <w:tc>
          <w:tcPr>
            <w:tcW w:w="1713" w:type="dxa"/>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危险特性</w:t>
            </w:r>
          </w:p>
        </w:tc>
        <w:tc>
          <w:tcPr>
            <w:tcW w:w="6354" w:type="dxa"/>
            <w:gridSpan w:val="10"/>
            <w:vAlign w:val="center"/>
          </w:tcPr>
          <w:p>
            <w:pPr>
              <w:spacing w:line="360" w:lineRule="auto"/>
              <w:rPr>
                <w:rFonts w:ascii="宋体" w:hAnsi="宋体" w:eastAsia="宋体" w:cs="Arial"/>
                <w:color w:val="auto"/>
                <w:spacing w:val="10"/>
                <w:sz w:val="21"/>
                <w:szCs w:val="21"/>
              </w:rPr>
            </w:pPr>
            <w:r>
              <w:rPr>
                <w:rFonts w:hint="eastAsia" w:ascii="宋体" w:hAnsi="宋体" w:eastAsia="宋体"/>
                <w:color w:val="auto"/>
                <w:sz w:val="21"/>
                <w:szCs w:val="21"/>
              </w:rPr>
              <w:t>易燃，其蒸气与空气可形成爆炸性混合物。遇明火、高热能引起燃烧爆炸。</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55" w:type="dxa"/>
            <w:vMerge w:val="continue"/>
            <w:vAlign w:val="center"/>
          </w:tcPr>
          <w:p>
            <w:pPr>
              <w:widowControl/>
              <w:spacing w:line="360" w:lineRule="auto"/>
              <w:rPr>
                <w:rFonts w:ascii="宋体" w:hAnsi="宋体" w:eastAsia="宋体" w:cs="Arial"/>
                <w:color w:val="auto"/>
                <w:spacing w:val="10"/>
                <w:sz w:val="21"/>
                <w:szCs w:val="21"/>
              </w:rPr>
            </w:pPr>
          </w:p>
        </w:tc>
        <w:tc>
          <w:tcPr>
            <w:tcW w:w="1713" w:type="dxa"/>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储运条件</w:t>
            </w:r>
          </w:p>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与泄漏处理</w:t>
            </w:r>
          </w:p>
        </w:tc>
        <w:tc>
          <w:tcPr>
            <w:tcW w:w="6354" w:type="dxa"/>
            <w:gridSpan w:val="10"/>
            <w:vAlign w:val="center"/>
          </w:tcPr>
          <w:p>
            <w:pPr>
              <w:spacing w:line="360" w:lineRule="auto"/>
              <w:rPr>
                <w:rFonts w:ascii="宋体" w:hAnsi="宋体" w:eastAsia="宋体"/>
                <w:color w:val="auto"/>
                <w:sz w:val="21"/>
                <w:szCs w:val="21"/>
              </w:rPr>
            </w:pPr>
            <w:r>
              <w:rPr>
                <w:rFonts w:ascii="宋体" w:hAnsi="宋体" w:eastAsia="宋体" w:cs="Arial"/>
                <w:b/>
                <w:color w:val="auto"/>
                <w:spacing w:val="4"/>
                <w:sz w:val="21"/>
                <w:szCs w:val="21"/>
              </w:rPr>
              <w:t>储运条件</w:t>
            </w:r>
            <w:r>
              <w:rPr>
                <w:rFonts w:ascii="宋体" w:hAnsi="宋体" w:eastAsia="宋体" w:cs="Arial"/>
                <w:color w:val="auto"/>
                <w:spacing w:val="4"/>
                <w:sz w:val="21"/>
                <w:szCs w:val="21"/>
              </w:rPr>
              <w:t>：</w:t>
            </w:r>
            <w:r>
              <w:rPr>
                <w:rStyle w:val="245"/>
                <w:rFonts w:hint="default"/>
                <w:color w:val="auto"/>
                <w:sz w:val="21"/>
                <w:szCs w:val="21"/>
              </w:rPr>
              <w:t>储存于阴凉、通风的库房。远离火种、热源。库温不宜超过30℃。保持容器密封。应与氧化剂、酸类、碱类分开存放，切忌混储。采用防爆型照明、通风设施。禁止使用易产生火花的机械设备和工具。</w:t>
            </w:r>
          </w:p>
          <w:p>
            <w:pPr>
              <w:spacing w:line="360" w:lineRule="auto"/>
              <w:rPr>
                <w:rFonts w:ascii="宋体" w:hAnsi="宋体" w:eastAsia="宋体" w:cs="Arial"/>
                <w:color w:val="auto"/>
                <w:spacing w:val="4"/>
                <w:sz w:val="21"/>
                <w:szCs w:val="21"/>
              </w:rPr>
            </w:pPr>
            <w:r>
              <w:rPr>
                <w:rFonts w:ascii="宋体" w:hAnsi="宋体" w:eastAsia="宋体" w:cs="Arial"/>
                <w:b/>
                <w:color w:val="auto"/>
                <w:spacing w:val="4"/>
                <w:sz w:val="21"/>
                <w:szCs w:val="21"/>
              </w:rPr>
              <w:t>泄漏处理</w:t>
            </w:r>
            <w:r>
              <w:rPr>
                <w:rFonts w:hint="eastAsia" w:ascii="宋体" w:hAnsi="宋体" w:eastAsia="宋体" w:cs="Arial"/>
                <w:b/>
                <w:color w:val="auto"/>
                <w:spacing w:val="4"/>
                <w:sz w:val="21"/>
                <w:szCs w:val="21"/>
              </w:rPr>
              <w:t>：</w:t>
            </w:r>
            <w:r>
              <w:rPr>
                <w:rStyle w:val="245"/>
                <w:rFonts w:hint="default"/>
                <w:color w:val="auto"/>
                <w:sz w:val="21"/>
                <w:szCs w:val="21"/>
              </w:rPr>
              <w:t>迅速撤离泄漏污染区人员至安全区，并进行隔离，严格限制出入。切断火源。建议应急处理人员戴自给正压式呼吸器，穿消防防护服。尽可能切断泄漏源，防止进入下水道、排洪沟等限制性空间。</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55" w:type="dxa"/>
            <w:vMerge w:val="continue"/>
            <w:vAlign w:val="center"/>
          </w:tcPr>
          <w:p>
            <w:pPr>
              <w:widowControl/>
              <w:spacing w:line="360" w:lineRule="auto"/>
              <w:rPr>
                <w:rFonts w:ascii="宋体" w:hAnsi="宋体" w:eastAsia="宋体" w:cs="Arial"/>
                <w:color w:val="auto"/>
                <w:spacing w:val="10"/>
                <w:sz w:val="21"/>
                <w:szCs w:val="21"/>
              </w:rPr>
            </w:pPr>
          </w:p>
        </w:tc>
        <w:tc>
          <w:tcPr>
            <w:tcW w:w="1713" w:type="dxa"/>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灭火方法</w:t>
            </w:r>
          </w:p>
        </w:tc>
        <w:tc>
          <w:tcPr>
            <w:tcW w:w="6354" w:type="dxa"/>
            <w:gridSpan w:val="10"/>
            <w:vAlign w:val="center"/>
          </w:tcPr>
          <w:p>
            <w:pPr>
              <w:spacing w:line="360" w:lineRule="auto"/>
              <w:rPr>
                <w:rFonts w:ascii="宋体" w:hAnsi="宋体" w:eastAsia="宋体" w:cs="Arial"/>
                <w:color w:val="auto"/>
                <w:spacing w:val="10"/>
                <w:sz w:val="21"/>
                <w:szCs w:val="21"/>
              </w:rPr>
            </w:pPr>
            <w:r>
              <w:rPr>
                <w:rFonts w:hint="eastAsia" w:ascii="宋体" w:hAnsi="宋体" w:eastAsia="宋体"/>
                <w:color w:val="auto"/>
                <w:sz w:val="21"/>
                <w:szCs w:val="21"/>
              </w:rPr>
              <w:t>泡沫、二氧化碳、干粉、砂土。用水灭火无效，但可用水保持火场中容器冷却</w:t>
            </w:r>
            <w:r>
              <w:rPr>
                <w:rFonts w:ascii="宋体" w:hAnsi="宋体" w:eastAsia="宋体"/>
                <w:color w:val="auto"/>
                <w:sz w:val="21"/>
                <w:szCs w:val="21"/>
              </w:rPr>
              <w:t>。</w:t>
            </w:r>
          </w:p>
        </w:tc>
      </w:tr>
    </w:tbl>
    <w:p>
      <w:pPr>
        <w:spacing w:line="560" w:lineRule="exact"/>
        <w:jc w:val="center"/>
        <w:outlineLvl w:val="2"/>
        <w:rPr>
          <w:rFonts w:ascii="宋体" w:hAnsi="宋体" w:eastAsia="宋体" w:cs="Times New Roman"/>
          <w:b/>
          <w:bCs/>
          <w:color w:val="auto"/>
          <w:kern w:val="2"/>
          <w:lang w:val="en-US" w:eastAsia="zh-CN" w:bidi="ar-SA"/>
        </w:rPr>
      </w:pPr>
      <w:r>
        <w:rPr>
          <w:rFonts w:hint="eastAsia" w:ascii="宋体" w:hAnsi="宋体" w:eastAsia="宋体" w:cs="Times New Roman"/>
          <w:b/>
          <w:bCs/>
          <w:color w:val="auto"/>
          <w:kern w:val="2"/>
          <w:lang w:val="en-US" w:eastAsia="zh-CN" w:bidi="ar-SA"/>
        </w:rPr>
        <w:t>附表1-19N,N-二甲基甲酰胺</w:t>
      </w:r>
      <w:r>
        <w:rPr>
          <w:rFonts w:ascii="宋体" w:hAnsi="宋体" w:eastAsia="宋体" w:cs="Times New Roman"/>
          <w:b/>
          <w:bCs/>
          <w:color w:val="auto"/>
          <w:kern w:val="2"/>
          <w:lang w:val="en-US" w:eastAsia="zh-CN" w:bidi="ar-SA"/>
        </w:rPr>
        <w:t>的理化性质及危险特性</w:t>
      </w:r>
    </w:p>
    <w:tbl>
      <w:tblPr>
        <w:tblStyle w:val="45"/>
        <w:tblW w:w="5000" w:type="pct"/>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503"/>
        <w:gridCol w:w="1888"/>
        <w:gridCol w:w="931"/>
        <w:gridCol w:w="257"/>
        <w:gridCol w:w="363"/>
        <w:gridCol w:w="1071"/>
        <w:gridCol w:w="325"/>
        <w:gridCol w:w="747"/>
        <w:gridCol w:w="243"/>
        <w:gridCol w:w="1410"/>
        <w:gridCol w:w="726"/>
        <w:gridCol w:w="930"/>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rPr>
          <w:trHeight w:val="510" w:hRule="atLeast"/>
          <w:jc w:val="center"/>
        </w:trPr>
        <w:tc>
          <w:tcPr>
            <w:tcW w:w="503" w:type="dxa"/>
            <w:vMerge w:val="restart"/>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标</w:t>
            </w:r>
          </w:p>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识</w:t>
            </w:r>
          </w:p>
        </w:tc>
        <w:tc>
          <w:tcPr>
            <w:tcW w:w="5825" w:type="dxa"/>
            <w:gridSpan w:val="8"/>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中文名：</w:t>
            </w:r>
            <w:r>
              <w:rPr>
                <w:rFonts w:ascii="宋体" w:hAnsi="宋体" w:eastAsia="宋体" w:cs="宋体"/>
                <w:color w:val="auto"/>
                <w:sz w:val="21"/>
                <w:szCs w:val="21"/>
              </w:rPr>
              <w:t>N,N-二甲基甲酰胺</w:t>
            </w:r>
            <w:r>
              <w:rPr>
                <w:rFonts w:hint="eastAsia" w:ascii="宋体" w:hAnsi="宋体" w:eastAsia="宋体" w:cs="宋体"/>
                <w:color w:val="auto"/>
                <w:sz w:val="21"/>
                <w:szCs w:val="21"/>
              </w:rPr>
              <w:t>、</w:t>
            </w:r>
            <w:r>
              <w:rPr>
                <w:rFonts w:ascii="宋体" w:hAnsi="宋体" w:eastAsia="宋体" w:cs="宋体"/>
                <w:color w:val="auto"/>
                <w:sz w:val="21"/>
                <w:szCs w:val="21"/>
              </w:rPr>
              <w:t>甲酰二甲胺</w:t>
            </w:r>
          </w:p>
        </w:tc>
        <w:tc>
          <w:tcPr>
            <w:tcW w:w="3066" w:type="dxa"/>
            <w:gridSpan w:val="3"/>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危险化学品序号：</w:t>
            </w:r>
            <w:r>
              <w:rPr>
                <w:rFonts w:hint="eastAsia" w:ascii="宋体" w:hAnsi="宋体" w:eastAsia="宋体" w:cs="Arial"/>
                <w:color w:val="auto"/>
                <w:sz w:val="21"/>
                <w:szCs w:val="21"/>
              </w:rPr>
              <w:t>2660</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503" w:type="dxa"/>
            <w:vMerge w:val="continue"/>
            <w:vAlign w:val="center"/>
          </w:tcPr>
          <w:p>
            <w:pPr>
              <w:widowControl/>
              <w:spacing w:line="360" w:lineRule="auto"/>
              <w:rPr>
                <w:rFonts w:ascii="宋体" w:hAnsi="宋体" w:eastAsia="宋体" w:cs="Arial"/>
                <w:color w:val="auto"/>
                <w:spacing w:val="10"/>
                <w:sz w:val="21"/>
                <w:szCs w:val="21"/>
              </w:rPr>
            </w:pPr>
          </w:p>
        </w:tc>
        <w:tc>
          <w:tcPr>
            <w:tcW w:w="5825" w:type="dxa"/>
            <w:gridSpan w:val="8"/>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英文名：</w:t>
            </w:r>
            <w:r>
              <w:rPr>
                <w:rFonts w:ascii="宋体" w:hAnsi="宋体" w:eastAsia="宋体" w:cs="宋体"/>
                <w:color w:val="auto"/>
                <w:sz w:val="21"/>
                <w:szCs w:val="21"/>
              </w:rPr>
              <w:t>N,N-dimethylformamide;dimethyl formamide;formyldimethylamine</w:t>
            </w:r>
          </w:p>
        </w:tc>
        <w:tc>
          <w:tcPr>
            <w:tcW w:w="3066" w:type="dxa"/>
            <w:gridSpan w:val="3"/>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UN编号：</w:t>
            </w:r>
            <w:r>
              <w:rPr>
                <w:rFonts w:hint="eastAsia" w:ascii="宋体" w:hAnsi="宋体" w:eastAsia="宋体"/>
                <w:color w:val="auto"/>
                <w:sz w:val="21"/>
                <w:szCs w:val="21"/>
              </w:rPr>
              <w:t>2130</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503" w:type="dxa"/>
            <w:vMerge w:val="continue"/>
            <w:vAlign w:val="center"/>
          </w:tcPr>
          <w:p>
            <w:pPr>
              <w:widowControl/>
              <w:spacing w:line="360" w:lineRule="auto"/>
              <w:rPr>
                <w:rFonts w:ascii="宋体" w:hAnsi="宋体" w:eastAsia="宋体" w:cs="Arial"/>
                <w:color w:val="auto"/>
                <w:spacing w:val="10"/>
                <w:sz w:val="21"/>
                <w:szCs w:val="21"/>
              </w:rPr>
            </w:pPr>
          </w:p>
        </w:tc>
        <w:tc>
          <w:tcPr>
            <w:tcW w:w="3076" w:type="dxa"/>
            <w:gridSpan w:val="3"/>
            <w:vAlign w:val="center"/>
          </w:tcPr>
          <w:p>
            <w:pPr>
              <w:spacing w:line="360" w:lineRule="auto"/>
              <w:ind w:left="880" w:hanging="920" w:hangingChars="400"/>
              <w:rPr>
                <w:rFonts w:ascii="宋体" w:hAnsi="宋体" w:eastAsia="宋体" w:cs="Arial"/>
                <w:color w:val="auto"/>
                <w:spacing w:val="10"/>
                <w:sz w:val="21"/>
                <w:szCs w:val="21"/>
              </w:rPr>
            </w:pPr>
            <w:r>
              <w:rPr>
                <w:rFonts w:ascii="宋体" w:hAnsi="宋体" w:eastAsia="宋体" w:cs="Arial"/>
                <w:color w:val="auto"/>
                <w:spacing w:val="10"/>
                <w:sz w:val="21"/>
                <w:szCs w:val="21"/>
              </w:rPr>
              <w:t>分子式：</w:t>
            </w:r>
            <w:r>
              <w:rPr>
                <w:rFonts w:hint="eastAsia" w:ascii="宋体" w:hAnsi="宋体" w:eastAsia="宋体"/>
                <w:color w:val="auto"/>
                <w:sz w:val="21"/>
                <w:szCs w:val="21"/>
              </w:rPr>
              <w:t>C3H7NO</w:t>
            </w:r>
          </w:p>
        </w:tc>
        <w:tc>
          <w:tcPr>
            <w:tcW w:w="2749" w:type="dxa"/>
            <w:gridSpan w:val="5"/>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分子量：</w:t>
            </w:r>
            <w:r>
              <w:rPr>
                <w:rFonts w:hint="eastAsia" w:ascii="宋体" w:hAnsi="宋体" w:eastAsia="宋体"/>
                <w:color w:val="auto"/>
                <w:sz w:val="21"/>
                <w:szCs w:val="21"/>
              </w:rPr>
              <w:t>73.1</w:t>
            </w:r>
          </w:p>
        </w:tc>
        <w:tc>
          <w:tcPr>
            <w:tcW w:w="3066" w:type="dxa"/>
            <w:gridSpan w:val="3"/>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CAS号：</w:t>
            </w:r>
            <w:r>
              <w:rPr>
                <w:rFonts w:ascii="宋体" w:hAnsi="宋体" w:eastAsia="宋体" w:cs="宋体"/>
                <w:color w:val="auto"/>
                <w:sz w:val="21"/>
                <w:szCs w:val="21"/>
              </w:rPr>
              <w:t>68-12-2</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rPr>
          <w:trHeight w:val="510" w:hRule="atLeast"/>
          <w:jc w:val="center"/>
        </w:trPr>
        <w:tc>
          <w:tcPr>
            <w:tcW w:w="503" w:type="dxa"/>
            <w:vMerge w:val="restart"/>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理化性质</w:t>
            </w:r>
          </w:p>
        </w:tc>
        <w:tc>
          <w:tcPr>
            <w:tcW w:w="1888" w:type="dxa"/>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外观与性状</w:t>
            </w:r>
          </w:p>
        </w:tc>
        <w:tc>
          <w:tcPr>
            <w:tcW w:w="7003" w:type="dxa"/>
            <w:gridSpan w:val="10"/>
            <w:vAlign w:val="center"/>
          </w:tcPr>
          <w:p>
            <w:pPr>
              <w:spacing w:line="360" w:lineRule="auto"/>
              <w:rPr>
                <w:rFonts w:ascii="宋体" w:hAnsi="宋体" w:eastAsia="宋体" w:cs="Arial"/>
                <w:color w:val="auto"/>
                <w:spacing w:val="10"/>
                <w:sz w:val="21"/>
                <w:szCs w:val="21"/>
              </w:rPr>
            </w:pPr>
            <w:r>
              <w:rPr>
                <w:rStyle w:val="245"/>
                <w:rFonts w:hint="default"/>
                <w:color w:val="auto"/>
                <w:sz w:val="21"/>
                <w:szCs w:val="21"/>
              </w:rPr>
              <w:t>无色液体，有微弱的特殊臭味</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rPr>
          <w:trHeight w:val="510" w:hRule="atLeast"/>
          <w:jc w:val="center"/>
        </w:trPr>
        <w:tc>
          <w:tcPr>
            <w:tcW w:w="503" w:type="dxa"/>
            <w:vMerge w:val="continue"/>
            <w:vAlign w:val="center"/>
          </w:tcPr>
          <w:p>
            <w:pPr>
              <w:widowControl/>
              <w:spacing w:line="360" w:lineRule="auto"/>
              <w:rPr>
                <w:rFonts w:ascii="宋体" w:hAnsi="宋体" w:eastAsia="宋体" w:cs="Arial"/>
                <w:color w:val="auto"/>
                <w:spacing w:val="10"/>
                <w:sz w:val="21"/>
                <w:szCs w:val="21"/>
              </w:rPr>
            </w:pPr>
          </w:p>
        </w:tc>
        <w:tc>
          <w:tcPr>
            <w:tcW w:w="1888" w:type="dxa"/>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熔点(℃)</w:t>
            </w:r>
          </w:p>
        </w:tc>
        <w:tc>
          <w:tcPr>
            <w:tcW w:w="931" w:type="dxa"/>
            <w:vAlign w:val="center"/>
          </w:tcPr>
          <w:p>
            <w:pPr>
              <w:spacing w:line="360" w:lineRule="auto"/>
              <w:jc w:val="center"/>
              <w:rPr>
                <w:rFonts w:ascii="宋体" w:hAnsi="宋体" w:eastAsia="宋体" w:cs="Arial"/>
                <w:color w:val="auto"/>
                <w:spacing w:val="10"/>
                <w:sz w:val="21"/>
                <w:szCs w:val="21"/>
              </w:rPr>
            </w:pPr>
            <w:r>
              <w:rPr>
                <w:rFonts w:hint="eastAsia" w:ascii="宋体" w:hAnsi="宋体" w:eastAsia="宋体" w:cs="Arial"/>
                <w:color w:val="auto"/>
                <w:sz w:val="21"/>
                <w:szCs w:val="21"/>
              </w:rPr>
              <w:t>-61</w:t>
            </w:r>
          </w:p>
        </w:tc>
        <w:tc>
          <w:tcPr>
            <w:tcW w:w="2016" w:type="dxa"/>
            <w:gridSpan w:val="4"/>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相对密度(水=1)</w:t>
            </w:r>
          </w:p>
        </w:tc>
        <w:tc>
          <w:tcPr>
            <w:tcW w:w="990" w:type="dxa"/>
            <w:gridSpan w:val="2"/>
            <w:vAlign w:val="center"/>
          </w:tcPr>
          <w:p>
            <w:pPr>
              <w:spacing w:line="360" w:lineRule="auto"/>
              <w:jc w:val="center"/>
              <w:rPr>
                <w:rFonts w:ascii="宋体" w:hAnsi="宋体" w:eastAsia="宋体" w:cs="Arial"/>
                <w:color w:val="auto"/>
                <w:spacing w:val="10"/>
                <w:sz w:val="21"/>
                <w:szCs w:val="21"/>
              </w:rPr>
            </w:pPr>
            <w:r>
              <w:rPr>
                <w:rFonts w:hint="eastAsia" w:ascii="宋体" w:hAnsi="宋体" w:eastAsia="宋体" w:cs="Arial"/>
                <w:color w:val="auto"/>
                <w:spacing w:val="10"/>
                <w:sz w:val="21"/>
                <w:szCs w:val="21"/>
              </w:rPr>
              <w:t>0.94</w:t>
            </w:r>
          </w:p>
        </w:tc>
        <w:tc>
          <w:tcPr>
            <w:tcW w:w="2136" w:type="dxa"/>
            <w:gridSpan w:val="2"/>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相对密度(空气=1)</w:t>
            </w:r>
          </w:p>
        </w:tc>
        <w:tc>
          <w:tcPr>
            <w:tcW w:w="930" w:type="dxa"/>
            <w:vAlign w:val="center"/>
          </w:tcPr>
          <w:p>
            <w:pPr>
              <w:spacing w:line="360" w:lineRule="auto"/>
              <w:jc w:val="center"/>
              <w:rPr>
                <w:rFonts w:ascii="宋体" w:hAnsi="宋体" w:eastAsia="宋体" w:cs="Arial"/>
                <w:color w:val="auto"/>
                <w:spacing w:val="10"/>
                <w:sz w:val="21"/>
                <w:szCs w:val="21"/>
              </w:rPr>
            </w:pPr>
            <w:r>
              <w:rPr>
                <w:rFonts w:hint="eastAsia" w:ascii="宋体" w:hAnsi="宋体" w:eastAsia="宋体" w:cs="Arial"/>
                <w:color w:val="auto"/>
                <w:sz w:val="21"/>
                <w:szCs w:val="21"/>
              </w:rPr>
              <w:t>2.51</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503" w:type="dxa"/>
            <w:vMerge w:val="continue"/>
            <w:vAlign w:val="center"/>
          </w:tcPr>
          <w:p>
            <w:pPr>
              <w:widowControl/>
              <w:spacing w:line="360" w:lineRule="auto"/>
              <w:rPr>
                <w:rFonts w:ascii="宋体" w:hAnsi="宋体" w:eastAsia="宋体" w:cs="Arial"/>
                <w:color w:val="auto"/>
                <w:spacing w:val="10"/>
                <w:sz w:val="21"/>
                <w:szCs w:val="21"/>
              </w:rPr>
            </w:pPr>
          </w:p>
        </w:tc>
        <w:tc>
          <w:tcPr>
            <w:tcW w:w="1888" w:type="dxa"/>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沸点(℃)</w:t>
            </w:r>
          </w:p>
        </w:tc>
        <w:tc>
          <w:tcPr>
            <w:tcW w:w="931" w:type="dxa"/>
            <w:vAlign w:val="center"/>
          </w:tcPr>
          <w:p>
            <w:pPr>
              <w:spacing w:line="360" w:lineRule="auto"/>
              <w:jc w:val="center"/>
              <w:rPr>
                <w:rFonts w:ascii="宋体" w:hAnsi="宋体" w:eastAsia="宋体" w:cs="Arial"/>
                <w:color w:val="auto"/>
                <w:spacing w:val="10"/>
                <w:sz w:val="21"/>
                <w:szCs w:val="21"/>
              </w:rPr>
            </w:pPr>
            <w:r>
              <w:rPr>
                <w:rFonts w:hint="eastAsia" w:ascii="宋体" w:hAnsi="宋体" w:eastAsia="宋体" w:cs="Arial"/>
                <w:color w:val="auto"/>
                <w:spacing w:val="10"/>
                <w:sz w:val="21"/>
                <w:szCs w:val="21"/>
              </w:rPr>
              <w:t>152.8</w:t>
            </w:r>
          </w:p>
        </w:tc>
        <w:tc>
          <w:tcPr>
            <w:tcW w:w="3006" w:type="dxa"/>
            <w:gridSpan w:val="6"/>
            <w:vAlign w:val="center"/>
          </w:tcPr>
          <w:p>
            <w:pPr>
              <w:spacing w:line="360" w:lineRule="auto"/>
              <w:ind w:left="-40"/>
              <w:jc w:val="center"/>
              <w:rPr>
                <w:rFonts w:ascii="宋体" w:hAnsi="宋体" w:eastAsia="宋体" w:cs="Arial"/>
                <w:color w:val="auto"/>
                <w:spacing w:val="10"/>
                <w:sz w:val="21"/>
                <w:szCs w:val="21"/>
              </w:rPr>
            </w:pPr>
            <w:r>
              <w:rPr>
                <w:rFonts w:ascii="宋体" w:hAnsi="宋体" w:eastAsia="宋体" w:cs="Arial"/>
                <w:color w:val="auto"/>
                <w:spacing w:val="10"/>
                <w:sz w:val="21"/>
                <w:szCs w:val="21"/>
              </w:rPr>
              <w:t>饱和蒸气压(kPa)</w:t>
            </w:r>
          </w:p>
        </w:tc>
        <w:tc>
          <w:tcPr>
            <w:tcW w:w="3066" w:type="dxa"/>
            <w:gridSpan w:val="3"/>
            <w:vAlign w:val="center"/>
          </w:tcPr>
          <w:p>
            <w:pPr>
              <w:spacing w:line="360" w:lineRule="auto"/>
              <w:jc w:val="center"/>
              <w:rPr>
                <w:rFonts w:ascii="宋体" w:hAnsi="宋体" w:eastAsia="宋体" w:cs="Arial"/>
                <w:color w:val="auto"/>
                <w:spacing w:val="10"/>
                <w:sz w:val="21"/>
                <w:szCs w:val="21"/>
              </w:rPr>
            </w:pPr>
            <w:r>
              <w:rPr>
                <w:rFonts w:hint="eastAsia" w:ascii="宋体" w:hAnsi="宋体" w:eastAsia="宋体" w:cs="Arial"/>
                <w:color w:val="auto"/>
                <w:spacing w:val="10"/>
                <w:sz w:val="21"/>
                <w:szCs w:val="21"/>
              </w:rPr>
              <w:t>3.46/60℃</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89" w:hRule="atLeast"/>
          <w:jc w:val="center"/>
        </w:trPr>
        <w:tc>
          <w:tcPr>
            <w:tcW w:w="503" w:type="dxa"/>
            <w:vMerge w:val="continue"/>
            <w:vAlign w:val="center"/>
          </w:tcPr>
          <w:p>
            <w:pPr>
              <w:widowControl/>
              <w:spacing w:line="360" w:lineRule="auto"/>
              <w:rPr>
                <w:rFonts w:ascii="宋体" w:hAnsi="宋体" w:eastAsia="宋体" w:cs="Arial"/>
                <w:color w:val="auto"/>
                <w:spacing w:val="10"/>
                <w:sz w:val="21"/>
                <w:szCs w:val="21"/>
              </w:rPr>
            </w:pPr>
          </w:p>
        </w:tc>
        <w:tc>
          <w:tcPr>
            <w:tcW w:w="1888" w:type="dxa"/>
            <w:tcBorders>
              <w:bottom w:val="single" w:color="auto" w:sz="4" w:space="0"/>
            </w:tcBorders>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溶解性</w:t>
            </w:r>
          </w:p>
        </w:tc>
        <w:tc>
          <w:tcPr>
            <w:tcW w:w="7003" w:type="dxa"/>
            <w:gridSpan w:val="10"/>
            <w:tcBorders>
              <w:bottom w:val="single" w:color="auto" w:sz="4" w:space="0"/>
            </w:tcBorders>
            <w:vAlign w:val="center"/>
          </w:tcPr>
          <w:p>
            <w:pPr>
              <w:spacing w:line="360" w:lineRule="auto"/>
              <w:rPr>
                <w:rFonts w:ascii="宋体" w:hAnsi="宋体" w:eastAsia="宋体" w:cs="Arial"/>
                <w:color w:val="auto"/>
                <w:spacing w:val="10"/>
                <w:sz w:val="21"/>
                <w:szCs w:val="21"/>
              </w:rPr>
            </w:pPr>
            <w:r>
              <w:rPr>
                <w:rStyle w:val="245"/>
                <w:rFonts w:hint="default"/>
                <w:color w:val="auto"/>
                <w:sz w:val="21"/>
                <w:szCs w:val="21"/>
              </w:rPr>
              <w:t>与水混溶，可混溶于多数有机溶剂。</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rPr>
          <w:trHeight w:val="107" w:hRule="atLeast"/>
          <w:jc w:val="center"/>
        </w:trPr>
        <w:tc>
          <w:tcPr>
            <w:tcW w:w="503" w:type="dxa"/>
            <w:vMerge w:val="continue"/>
            <w:vAlign w:val="center"/>
          </w:tcPr>
          <w:p>
            <w:pPr>
              <w:widowControl/>
              <w:spacing w:line="360" w:lineRule="auto"/>
              <w:rPr>
                <w:rFonts w:ascii="宋体" w:hAnsi="宋体" w:eastAsia="宋体" w:cs="Arial"/>
                <w:color w:val="auto"/>
                <w:spacing w:val="10"/>
                <w:sz w:val="21"/>
                <w:szCs w:val="21"/>
              </w:rPr>
            </w:pPr>
          </w:p>
        </w:tc>
        <w:tc>
          <w:tcPr>
            <w:tcW w:w="1888" w:type="dxa"/>
            <w:tcBorders>
              <w:top w:val="single" w:color="auto" w:sz="4" w:space="0"/>
            </w:tcBorders>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危害性类别</w:t>
            </w:r>
          </w:p>
        </w:tc>
        <w:tc>
          <w:tcPr>
            <w:tcW w:w="7003" w:type="dxa"/>
            <w:gridSpan w:val="10"/>
            <w:tcBorders>
              <w:top w:val="single" w:color="auto" w:sz="4" w:space="0"/>
            </w:tcBorders>
            <w:vAlign w:val="center"/>
          </w:tcPr>
          <w:p>
            <w:pPr>
              <w:widowControl/>
              <w:spacing w:line="360" w:lineRule="auto"/>
              <w:rPr>
                <w:rFonts w:ascii="宋体" w:hAnsi="宋体" w:eastAsia="宋体" w:cs="宋体"/>
                <w:color w:val="auto"/>
                <w:sz w:val="21"/>
                <w:szCs w:val="21"/>
              </w:rPr>
            </w:pPr>
            <w:r>
              <w:rPr>
                <w:rFonts w:ascii="宋体" w:hAnsi="宋体" w:eastAsia="宋体" w:cs="宋体"/>
                <w:color w:val="auto"/>
                <w:sz w:val="21"/>
                <w:szCs w:val="21"/>
              </w:rPr>
              <w:t>易燃液体,类别3</w:t>
            </w:r>
          </w:p>
          <w:p>
            <w:pPr>
              <w:widowControl/>
              <w:spacing w:line="360" w:lineRule="auto"/>
              <w:rPr>
                <w:rFonts w:ascii="宋体" w:hAnsi="宋体" w:eastAsia="宋体" w:cs="宋体"/>
                <w:color w:val="auto"/>
                <w:sz w:val="21"/>
                <w:szCs w:val="21"/>
              </w:rPr>
            </w:pPr>
            <w:r>
              <w:rPr>
                <w:rFonts w:ascii="宋体" w:hAnsi="宋体" w:eastAsia="宋体" w:cs="宋体"/>
                <w:color w:val="auto"/>
                <w:sz w:val="21"/>
                <w:szCs w:val="21"/>
              </w:rPr>
              <w:t>严重眼损伤/眼刺激,类别2</w:t>
            </w:r>
          </w:p>
          <w:p>
            <w:pPr>
              <w:widowControl/>
              <w:spacing w:line="360" w:lineRule="auto"/>
              <w:rPr>
                <w:rFonts w:ascii="宋体" w:hAnsi="宋体" w:eastAsia="宋体" w:cs="宋体"/>
                <w:color w:val="auto"/>
                <w:sz w:val="21"/>
                <w:szCs w:val="21"/>
              </w:rPr>
            </w:pPr>
            <w:r>
              <w:rPr>
                <w:rFonts w:ascii="宋体" w:hAnsi="宋体" w:eastAsia="宋体" w:cs="宋体"/>
                <w:color w:val="auto"/>
                <w:sz w:val="21"/>
                <w:szCs w:val="21"/>
              </w:rPr>
              <w:t>生殖毒性,类别1B</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503" w:type="dxa"/>
            <w:vMerge w:val="restart"/>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毒性及健康危害</w:t>
            </w:r>
          </w:p>
        </w:tc>
        <w:tc>
          <w:tcPr>
            <w:tcW w:w="1888" w:type="dxa"/>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侵入途径</w:t>
            </w:r>
          </w:p>
        </w:tc>
        <w:tc>
          <w:tcPr>
            <w:tcW w:w="7003" w:type="dxa"/>
            <w:gridSpan w:val="10"/>
            <w:vAlign w:val="center"/>
          </w:tcPr>
          <w:p>
            <w:pPr>
              <w:spacing w:line="360" w:lineRule="auto"/>
              <w:rPr>
                <w:rFonts w:ascii="宋体" w:hAnsi="宋体" w:eastAsia="宋体" w:cs="Arial"/>
                <w:color w:val="auto"/>
                <w:spacing w:val="10"/>
                <w:sz w:val="21"/>
                <w:szCs w:val="21"/>
              </w:rPr>
            </w:pPr>
            <w:r>
              <w:rPr>
                <w:rFonts w:ascii="宋体" w:hAnsi="宋体" w:eastAsia="宋体"/>
                <w:color w:val="auto"/>
                <w:sz w:val="21"/>
                <w:szCs w:val="21"/>
              </w:rPr>
              <w:t>吸入、食入、经皮吸收。</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rPr>
          <w:trHeight w:val="510" w:hRule="atLeast"/>
          <w:jc w:val="center"/>
        </w:trPr>
        <w:tc>
          <w:tcPr>
            <w:tcW w:w="503" w:type="dxa"/>
            <w:vMerge w:val="continue"/>
            <w:vAlign w:val="center"/>
          </w:tcPr>
          <w:p>
            <w:pPr>
              <w:widowControl/>
              <w:spacing w:line="360" w:lineRule="auto"/>
              <w:rPr>
                <w:rFonts w:ascii="宋体" w:hAnsi="宋体" w:eastAsia="宋体" w:cs="Arial"/>
                <w:color w:val="auto"/>
                <w:spacing w:val="10"/>
                <w:sz w:val="21"/>
                <w:szCs w:val="21"/>
              </w:rPr>
            </w:pPr>
          </w:p>
        </w:tc>
        <w:tc>
          <w:tcPr>
            <w:tcW w:w="1888" w:type="dxa"/>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毒性</w:t>
            </w:r>
          </w:p>
        </w:tc>
        <w:tc>
          <w:tcPr>
            <w:tcW w:w="7003" w:type="dxa"/>
            <w:gridSpan w:val="10"/>
            <w:vAlign w:val="center"/>
          </w:tcPr>
          <w:p>
            <w:pPr>
              <w:spacing w:line="360" w:lineRule="auto"/>
              <w:rPr>
                <w:rStyle w:val="245"/>
                <w:rFonts w:hint="default"/>
                <w:color w:val="auto"/>
                <w:sz w:val="21"/>
                <w:szCs w:val="21"/>
              </w:rPr>
            </w:pPr>
            <w:r>
              <w:rPr>
                <w:rStyle w:val="245"/>
                <w:rFonts w:hint="default"/>
                <w:color w:val="auto"/>
                <w:sz w:val="21"/>
                <w:szCs w:val="21"/>
              </w:rPr>
              <w:t>LD</w:t>
            </w:r>
            <w:r>
              <w:rPr>
                <w:rStyle w:val="245"/>
                <w:rFonts w:hint="default"/>
                <w:color w:val="auto"/>
                <w:sz w:val="21"/>
                <w:szCs w:val="21"/>
                <w:vertAlign w:val="subscript"/>
              </w:rPr>
              <w:t>50</w:t>
            </w:r>
            <w:r>
              <w:rPr>
                <w:rStyle w:val="245"/>
                <w:rFonts w:hint="default"/>
                <w:color w:val="auto"/>
                <w:sz w:val="21"/>
                <w:szCs w:val="21"/>
              </w:rPr>
              <w:t>：2800mg/kg（大鼠经口）；5000mg/kg（兔经皮）</w:t>
            </w:r>
          </w:p>
          <w:p>
            <w:pPr>
              <w:spacing w:line="360" w:lineRule="auto"/>
              <w:rPr>
                <w:rFonts w:ascii="宋体" w:hAnsi="宋体" w:eastAsia="宋体" w:cs="Arial"/>
                <w:color w:val="auto"/>
                <w:spacing w:val="10"/>
                <w:sz w:val="21"/>
                <w:szCs w:val="21"/>
              </w:rPr>
            </w:pPr>
            <w:r>
              <w:rPr>
                <w:rStyle w:val="245"/>
                <w:rFonts w:hint="default"/>
                <w:color w:val="auto"/>
                <w:sz w:val="21"/>
                <w:szCs w:val="21"/>
              </w:rPr>
              <w:t>LC</w:t>
            </w:r>
            <w:r>
              <w:rPr>
                <w:rStyle w:val="245"/>
                <w:rFonts w:hint="default"/>
                <w:color w:val="auto"/>
                <w:sz w:val="21"/>
                <w:szCs w:val="21"/>
                <w:vertAlign w:val="subscript"/>
              </w:rPr>
              <w:t>50</w:t>
            </w:r>
            <w:r>
              <w:rPr>
                <w:rStyle w:val="245"/>
                <w:rFonts w:hint="default"/>
                <w:color w:val="auto"/>
                <w:sz w:val="21"/>
                <w:szCs w:val="21"/>
              </w:rPr>
              <w:t>：9400mg/m</w:t>
            </w:r>
            <w:r>
              <w:rPr>
                <w:rStyle w:val="245"/>
                <w:rFonts w:hint="default"/>
                <w:color w:val="auto"/>
                <w:sz w:val="21"/>
                <w:szCs w:val="21"/>
                <w:vertAlign w:val="superscript"/>
              </w:rPr>
              <w:t>3</w:t>
            </w:r>
            <w:r>
              <w:rPr>
                <w:rStyle w:val="245"/>
                <w:rFonts w:hint="default"/>
                <w:color w:val="auto"/>
                <w:sz w:val="21"/>
                <w:szCs w:val="21"/>
              </w:rPr>
              <w:t>，2小时（小鼠吸入）</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503" w:type="dxa"/>
            <w:vMerge w:val="continue"/>
            <w:vAlign w:val="center"/>
          </w:tcPr>
          <w:p>
            <w:pPr>
              <w:widowControl/>
              <w:spacing w:line="360" w:lineRule="auto"/>
              <w:rPr>
                <w:rFonts w:ascii="宋体" w:hAnsi="宋体" w:eastAsia="宋体" w:cs="Arial"/>
                <w:color w:val="auto"/>
                <w:spacing w:val="10"/>
                <w:sz w:val="21"/>
                <w:szCs w:val="21"/>
              </w:rPr>
            </w:pPr>
          </w:p>
        </w:tc>
        <w:tc>
          <w:tcPr>
            <w:tcW w:w="1888" w:type="dxa"/>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健康危害</w:t>
            </w:r>
          </w:p>
        </w:tc>
        <w:tc>
          <w:tcPr>
            <w:tcW w:w="7003" w:type="dxa"/>
            <w:gridSpan w:val="10"/>
            <w:vAlign w:val="center"/>
          </w:tcPr>
          <w:p>
            <w:pPr>
              <w:spacing w:line="360" w:lineRule="auto"/>
              <w:rPr>
                <w:rFonts w:ascii="宋体" w:hAnsi="宋体" w:eastAsia="宋体" w:cs="Arial"/>
                <w:color w:val="auto"/>
                <w:spacing w:val="6"/>
                <w:sz w:val="21"/>
                <w:szCs w:val="21"/>
              </w:rPr>
            </w:pPr>
            <w:r>
              <w:rPr>
                <w:rStyle w:val="245"/>
                <w:rFonts w:hint="default"/>
                <w:color w:val="auto"/>
                <w:sz w:val="21"/>
                <w:szCs w:val="21"/>
              </w:rPr>
              <w:t>急性中毒:主要有眼和上呼吸道刺激症状、头痛、焦虑、恶心、呕吐、腹痛、便秘等。肝损害一般在中毒数日后出现,肝脏肿大,肝区痛,可出现黄疸。经皮肤吸收中毒者,皮肤出现水泡、水肿、粘糙,局部麻木、瘙痒、灼痛。慢性影响:有皮肤、粘膜刺激,神经衰弱综合征，血压偏低。还有恶心、呕吐、胸闷、食欲不振、胃痛、便秘及肝大和肝功能变化。</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rPr>
          <w:trHeight w:val="510" w:hRule="atLeast"/>
          <w:jc w:val="center"/>
        </w:trPr>
        <w:tc>
          <w:tcPr>
            <w:tcW w:w="503" w:type="dxa"/>
            <w:vMerge w:val="continue"/>
            <w:vAlign w:val="center"/>
          </w:tcPr>
          <w:p>
            <w:pPr>
              <w:widowControl/>
              <w:spacing w:line="360" w:lineRule="auto"/>
              <w:rPr>
                <w:rFonts w:ascii="宋体" w:hAnsi="宋体" w:eastAsia="宋体" w:cs="Arial"/>
                <w:color w:val="auto"/>
                <w:spacing w:val="10"/>
                <w:sz w:val="21"/>
                <w:szCs w:val="21"/>
              </w:rPr>
            </w:pPr>
          </w:p>
        </w:tc>
        <w:tc>
          <w:tcPr>
            <w:tcW w:w="1888" w:type="dxa"/>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急救方法</w:t>
            </w:r>
          </w:p>
        </w:tc>
        <w:tc>
          <w:tcPr>
            <w:tcW w:w="7003" w:type="dxa"/>
            <w:gridSpan w:val="10"/>
            <w:vAlign w:val="center"/>
          </w:tcPr>
          <w:p>
            <w:pPr>
              <w:spacing w:line="360" w:lineRule="auto"/>
              <w:rPr>
                <w:rFonts w:ascii="宋体" w:hAnsi="宋体" w:eastAsia="宋体" w:cs="Arial"/>
                <w:color w:val="auto"/>
                <w:spacing w:val="10"/>
                <w:sz w:val="21"/>
                <w:szCs w:val="21"/>
              </w:rPr>
            </w:pPr>
            <w:r>
              <w:rPr>
                <w:rFonts w:hint="eastAsia" w:ascii="宋体" w:hAnsi="宋体" w:eastAsia="宋体" w:cs="宋体"/>
                <w:bCs/>
                <w:color w:val="auto"/>
                <w:sz w:val="21"/>
                <w:szCs w:val="21"/>
              </w:rPr>
              <w:t>①</w:t>
            </w:r>
            <w:r>
              <w:rPr>
                <w:rFonts w:hint="eastAsia" w:ascii="宋体" w:hAnsi="宋体" w:eastAsia="宋体" w:cs="Microsoft JhengHei"/>
                <w:bCs/>
                <w:color w:val="auto"/>
                <w:sz w:val="21"/>
                <w:szCs w:val="21"/>
              </w:rPr>
              <w:t>皮肤接触</w:t>
            </w:r>
            <w:r>
              <w:rPr>
                <w:rFonts w:hint="eastAsia" w:ascii="宋体" w:hAnsi="宋体" w:eastAsia="宋体" w:cs="宋体"/>
                <w:bCs/>
                <w:color w:val="auto"/>
                <w:sz w:val="21"/>
                <w:szCs w:val="21"/>
              </w:rPr>
              <w:t>:立即脱去污染的衣着,用大量流动清水冲洗至少15分钟。就医。②</w:t>
            </w:r>
            <w:r>
              <w:rPr>
                <w:rFonts w:hint="eastAsia" w:ascii="宋体" w:hAnsi="宋体" w:eastAsia="宋体" w:cs="Microsoft JhengHei"/>
                <w:bCs/>
                <w:color w:val="auto"/>
                <w:sz w:val="21"/>
                <w:szCs w:val="21"/>
              </w:rPr>
              <w:t>眼睛接触</w:t>
            </w:r>
            <w:r>
              <w:rPr>
                <w:rFonts w:hint="eastAsia" w:ascii="宋体" w:hAnsi="宋体" w:eastAsia="宋体" w:cs="宋体"/>
                <w:bCs/>
                <w:color w:val="auto"/>
                <w:sz w:val="21"/>
                <w:szCs w:val="21"/>
              </w:rPr>
              <w:t>:立即提起眼睑,用大量流动清水或生理盐水彻底冲洗至少15分钟。就医。③</w:t>
            </w:r>
            <w:r>
              <w:rPr>
                <w:rFonts w:hint="eastAsia" w:ascii="宋体" w:hAnsi="宋体" w:eastAsia="宋体" w:cs="Microsoft JhengHei"/>
                <w:bCs/>
                <w:color w:val="auto"/>
                <w:sz w:val="21"/>
                <w:szCs w:val="21"/>
              </w:rPr>
              <w:t>吸入</w:t>
            </w:r>
            <w:r>
              <w:rPr>
                <w:rFonts w:hint="eastAsia" w:ascii="宋体" w:hAnsi="宋体" w:eastAsia="宋体" w:cs="宋体"/>
                <w:bCs/>
                <w:color w:val="auto"/>
                <w:sz w:val="21"/>
                <w:szCs w:val="21"/>
              </w:rPr>
              <w:t>:迅速脱离现场至空气新鲜处。保持呼吸道通畅。如呼吸困难,给输氧。如呼吸停止,立即进行人工呼吸。就医。④</w:t>
            </w:r>
            <w:r>
              <w:rPr>
                <w:rFonts w:hint="eastAsia" w:ascii="宋体" w:hAnsi="宋体" w:eastAsia="宋体" w:cs="Microsoft JhengHei"/>
                <w:bCs/>
                <w:color w:val="auto"/>
                <w:sz w:val="21"/>
                <w:szCs w:val="21"/>
              </w:rPr>
              <w:t>食入</w:t>
            </w:r>
            <w:r>
              <w:rPr>
                <w:rFonts w:hint="eastAsia" w:ascii="宋体" w:hAnsi="宋体" w:eastAsia="宋体" w:cs="宋体"/>
                <w:bCs/>
                <w:color w:val="auto"/>
                <w:sz w:val="21"/>
                <w:szCs w:val="21"/>
              </w:rPr>
              <w:t>:饮足量温水,催吐。就医。</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503" w:type="dxa"/>
            <w:vMerge w:val="restart"/>
            <w:vAlign w:val="center"/>
          </w:tcPr>
          <w:p>
            <w:pPr>
              <w:spacing w:line="360" w:lineRule="auto"/>
              <w:rPr>
                <w:rFonts w:ascii="宋体" w:hAnsi="宋体" w:eastAsia="宋体" w:cs="Arial"/>
                <w:color w:val="auto"/>
                <w:spacing w:val="10"/>
                <w:sz w:val="21"/>
                <w:szCs w:val="21"/>
              </w:rPr>
            </w:pPr>
            <w:r>
              <w:rPr>
                <w:rFonts w:ascii="宋体" w:hAnsi="宋体" w:eastAsia="宋体" w:cs="Arial"/>
                <w:color w:val="auto"/>
                <w:spacing w:val="10"/>
                <w:sz w:val="21"/>
                <w:szCs w:val="21"/>
              </w:rPr>
              <w:t>燃烧爆炸危险性</w:t>
            </w:r>
          </w:p>
        </w:tc>
        <w:tc>
          <w:tcPr>
            <w:tcW w:w="1888" w:type="dxa"/>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燃烧性</w:t>
            </w:r>
          </w:p>
        </w:tc>
        <w:tc>
          <w:tcPr>
            <w:tcW w:w="1551" w:type="dxa"/>
            <w:gridSpan w:val="3"/>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易燃</w:t>
            </w:r>
          </w:p>
        </w:tc>
        <w:tc>
          <w:tcPr>
            <w:tcW w:w="2143" w:type="dxa"/>
            <w:gridSpan w:val="3"/>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燃烧分解物</w:t>
            </w:r>
          </w:p>
        </w:tc>
        <w:tc>
          <w:tcPr>
            <w:tcW w:w="3309" w:type="dxa"/>
            <w:gridSpan w:val="4"/>
            <w:vAlign w:val="center"/>
          </w:tcPr>
          <w:p>
            <w:pPr>
              <w:spacing w:line="360" w:lineRule="auto"/>
              <w:jc w:val="center"/>
              <w:rPr>
                <w:rFonts w:ascii="宋体" w:hAnsi="宋体" w:eastAsia="宋体" w:cs="Arial"/>
                <w:color w:val="auto"/>
                <w:spacing w:val="10"/>
                <w:sz w:val="21"/>
                <w:szCs w:val="21"/>
              </w:rPr>
            </w:pPr>
            <w:r>
              <w:rPr>
                <w:rFonts w:hint="eastAsia" w:ascii="宋体" w:hAnsi="宋体" w:eastAsia="宋体"/>
                <w:color w:val="auto"/>
                <w:sz w:val="21"/>
                <w:szCs w:val="21"/>
              </w:rPr>
              <w:t>一氧化碳、二氧化碳、氧化氮</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503" w:type="dxa"/>
            <w:vMerge w:val="continue"/>
            <w:vAlign w:val="center"/>
          </w:tcPr>
          <w:p>
            <w:pPr>
              <w:widowControl/>
              <w:spacing w:line="360" w:lineRule="auto"/>
              <w:rPr>
                <w:rFonts w:ascii="宋体" w:hAnsi="宋体" w:eastAsia="宋体" w:cs="Arial"/>
                <w:color w:val="auto"/>
                <w:spacing w:val="10"/>
                <w:sz w:val="21"/>
                <w:szCs w:val="21"/>
              </w:rPr>
            </w:pPr>
          </w:p>
        </w:tc>
        <w:tc>
          <w:tcPr>
            <w:tcW w:w="1888" w:type="dxa"/>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闪点(℃)</w:t>
            </w:r>
          </w:p>
        </w:tc>
        <w:tc>
          <w:tcPr>
            <w:tcW w:w="1551" w:type="dxa"/>
            <w:gridSpan w:val="3"/>
            <w:vAlign w:val="center"/>
          </w:tcPr>
          <w:p>
            <w:pPr>
              <w:spacing w:line="360" w:lineRule="auto"/>
              <w:jc w:val="center"/>
              <w:rPr>
                <w:rFonts w:ascii="宋体" w:hAnsi="宋体" w:eastAsia="宋体" w:cs="Arial"/>
                <w:color w:val="auto"/>
                <w:spacing w:val="10"/>
                <w:sz w:val="21"/>
                <w:szCs w:val="21"/>
              </w:rPr>
            </w:pPr>
            <w:r>
              <w:rPr>
                <w:rFonts w:hint="eastAsia" w:ascii="宋体" w:hAnsi="宋体" w:eastAsia="宋体" w:cs="Arial"/>
                <w:color w:val="auto"/>
                <w:spacing w:val="10"/>
                <w:sz w:val="21"/>
                <w:szCs w:val="21"/>
              </w:rPr>
              <w:t>58</w:t>
            </w:r>
          </w:p>
        </w:tc>
        <w:tc>
          <w:tcPr>
            <w:tcW w:w="2143" w:type="dxa"/>
            <w:gridSpan w:val="3"/>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爆炸上限(v%)</w:t>
            </w:r>
          </w:p>
        </w:tc>
        <w:tc>
          <w:tcPr>
            <w:tcW w:w="3309" w:type="dxa"/>
            <w:gridSpan w:val="4"/>
            <w:vAlign w:val="center"/>
          </w:tcPr>
          <w:p>
            <w:pPr>
              <w:spacing w:line="360" w:lineRule="auto"/>
              <w:jc w:val="center"/>
              <w:rPr>
                <w:rFonts w:ascii="宋体" w:hAnsi="宋体" w:eastAsia="宋体" w:cs="Arial"/>
                <w:color w:val="auto"/>
                <w:spacing w:val="10"/>
                <w:sz w:val="21"/>
                <w:szCs w:val="21"/>
              </w:rPr>
            </w:pPr>
            <w:r>
              <w:rPr>
                <w:rFonts w:hint="eastAsia" w:ascii="宋体" w:hAnsi="宋体" w:eastAsia="宋体" w:cs="Arial"/>
                <w:color w:val="auto"/>
                <w:spacing w:val="10"/>
                <w:sz w:val="21"/>
                <w:szCs w:val="21"/>
              </w:rPr>
              <w:t>15.2</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503" w:type="dxa"/>
            <w:vMerge w:val="continue"/>
            <w:vAlign w:val="center"/>
          </w:tcPr>
          <w:p>
            <w:pPr>
              <w:widowControl/>
              <w:spacing w:line="360" w:lineRule="auto"/>
              <w:rPr>
                <w:rFonts w:ascii="宋体" w:hAnsi="宋体" w:eastAsia="宋体" w:cs="Arial"/>
                <w:color w:val="auto"/>
                <w:spacing w:val="10"/>
                <w:sz w:val="21"/>
                <w:szCs w:val="21"/>
              </w:rPr>
            </w:pPr>
          </w:p>
        </w:tc>
        <w:tc>
          <w:tcPr>
            <w:tcW w:w="1888" w:type="dxa"/>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引燃温度(℃)</w:t>
            </w:r>
          </w:p>
        </w:tc>
        <w:tc>
          <w:tcPr>
            <w:tcW w:w="1551" w:type="dxa"/>
            <w:gridSpan w:val="3"/>
            <w:vAlign w:val="center"/>
          </w:tcPr>
          <w:p>
            <w:pPr>
              <w:spacing w:line="360" w:lineRule="auto"/>
              <w:jc w:val="center"/>
              <w:rPr>
                <w:rFonts w:ascii="宋体" w:hAnsi="宋体" w:eastAsia="宋体" w:cs="Arial"/>
                <w:color w:val="auto"/>
                <w:spacing w:val="10"/>
                <w:sz w:val="21"/>
                <w:szCs w:val="21"/>
              </w:rPr>
            </w:pPr>
            <w:r>
              <w:rPr>
                <w:rFonts w:hint="eastAsia" w:ascii="宋体" w:hAnsi="宋体" w:eastAsia="宋体" w:cs="Arial"/>
                <w:color w:val="auto"/>
                <w:spacing w:val="10"/>
                <w:sz w:val="21"/>
                <w:szCs w:val="21"/>
              </w:rPr>
              <w:t>445</w:t>
            </w:r>
          </w:p>
        </w:tc>
        <w:tc>
          <w:tcPr>
            <w:tcW w:w="2143" w:type="dxa"/>
            <w:gridSpan w:val="3"/>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爆炸下限(v%)</w:t>
            </w:r>
          </w:p>
        </w:tc>
        <w:tc>
          <w:tcPr>
            <w:tcW w:w="3309" w:type="dxa"/>
            <w:gridSpan w:val="4"/>
            <w:vAlign w:val="center"/>
          </w:tcPr>
          <w:p>
            <w:pPr>
              <w:spacing w:line="360" w:lineRule="auto"/>
              <w:jc w:val="center"/>
              <w:rPr>
                <w:rFonts w:ascii="宋体" w:hAnsi="宋体" w:eastAsia="宋体" w:cs="Arial"/>
                <w:color w:val="auto"/>
                <w:spacing w:val="10"/>
                <w:sz w:val="21"/>
                <w:szCs w:val="21"/>
              </w:rPr>
            </w:pPr>
            <w:r>
              <w:rPr>
                <w:rFonts w:hint="eastAsia" w:ascii="宋体" w:hAnsi="宋体" w:eastAsia="宋体" w:cs="Arial"/>
                <w:color w:val="auto"/>
                <w:spacing w:val="10"/>
                <w:sz w:val="21"/>
                <w:szCs w:val="21"/>
              </w:rPr>
              <w:t>2.2</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503" w:type="dxa"/>
            <w:vMerge w:val="continue"/>
            <w:vAlign w:val="center"/>
          </w:tcPr>
          <w:p>
            <w:pPr>
              <w:widowControl/>
              <w:spacing w:line="360" w:lineRule="auto"/>
              <w:rPr>
                <w:rFonts w:ascii="宋体" w:hAnsi="宋体" w:eastAsia="宋体" w:cs="Arial"/>
                <w:color w:val="auto"/>
                <w:spacing w:val="10"/>
                <w:sz w:val="21"/>
                <w:szCs w:val="21"/>
              </w:rPr>
            </w:pPr>
          </w:p>
        </w:tc>
        <w:tc>
          <w:tcPr>
            <w:tcW w:w="1888" w:type="dxa"/>
            <w:vAlign w:val="center"/>
          </w:tcPr>
          <w:p>
            <w:pPr>
              <w:spacing w:line="360" w:lineRule="auto"/>
              <w:jc w:val="center"/>
              <w:rPr>
                <w:rFonts w:ascii="宋体" w:hAnsi="宋体" w:eastAsia="宋体"/>
                <w:color w:val="auto"/>
                <w:spacing w:val="10"/>
                <w:sz w:val="21"/>
                <w:szCs w:val="21"/>
              </w:rPr>
            </w:pPr>
            <w:r>
              <w:rPr>
                <w:rFonts w:hint="eastAsia" w:ascii="宋体" w:hAnsi="宋体" w:eastAsia="宋体"/>
                <w:color w:val="auto"/>
                <w:spacing w:val="10"/>
                <w:sz w:val="21"/>
                <w:szCs w:val="21"/>
              </w:rPr>
              <w:t>建规火险分级</w:t>
            </w:r>
          </w:p>
        </w:tc>
        <w:tc>
          <w:tcPr>
            <w:tcW w:w="1551" w:type="dxa"/>
            <w:gridSpan w:val="3"/>
            <w:vAlign w:val="center"/>
          </w:tcPr>
          <w:p>
            <w:pPr>
              <w:spacing w:line="360" w:lineRule="auto"/>
              <w:jc w:val="center"/>
              <w:rPr>
                <w:rFonts w:ascii="宋体" w:hAnsi="宋体" w:eastAsia="宋体"/>
                <w:color w:val="auto"/>
                <w:spacing w:val="10"/>
                <w:sz w:val="21"/>
                <w:szCs w:val="21"/>
              </w:rPr>
            </w:pPr>
            <w:r>
              <w:rPr>
                <w:rFonts w:hint="eastAsia" w:ascii="宋体" w:hAnsi="宋体" w:eastAsia="宋体"/>
                <w:color w:val="auto"/>
                <w:spacing w:val="10"/>
                <w:sz w:val="21"/>
                <w:szCs w:val="21"/>
              </w:rPr>
              <w:t>乙</w:t>
            </w:r>
          </w:p>
        </w:tc>
        <w:tc>
          <w:tcPr>
            <w:tcW w:w="1071" w:type="dxa"/>
            <w:vAlign w:val="center"/>
          </w:tcPr>
          <w:p>
            <w:pPr>
              <w:spacing w:line="360" w:lineRule="auto"/>
              <w:jc w:val="center"/>
              <w:rPr>
                <w:rFonts w:ascii="宋体" w:hAnsi="宋体" w:eastAsia="宋体"/>
                <w:color w:val="auto"/>
                <w:spacing w:val="10"/>
                <w:sz w:val="21"/>
                <w:szCs w:val="21"/>
              </w:rPr>
            </w:pPr>
            <w:r>
              <w:rPr>
                <w:rFonts w:hint="eastAsia" w:ascii="宋体" w:hAnsi="宋体" w:eastAsia="宋体"/>
                <w:color w:val="auto"/>
                <w:spacing w:val="10"/>
                <w:sz w:val="21"/>
                <w:szCs w:val="21"/>
              </w:rPr>
              <w:t>稳定性</w:t>
            </w:r>
          </w:p>
        </w:tc>
        <w:tc>
          <w:tcPr>
            <w:tcW w:w="1072" w:type="dxa"/>
            <w:gridSpan w:val="2"/>
            <w:vAlign w:val="center"/>
          </w:tcPr>
          <w:p>
            <w:pPr>
              <w:spacing w:line="360" w:lineRule="auto"/>
              <w:jc w:val="center"/>
              <w:rPr>
                <w:rFonts w:ascii="宋体" w:hAnsi="宋体" w:eastAsia="宋体"/>
                <w:color w:val="auto"/>
                <w:spacing w:val="10"/>
                <w:sz w:val="21"/>
                <w:szCs w:val="21"/>
              </w:rPr>
            </w:pPr>
            <w:r>
              <w:rPr>
                <w:rFonts w:hint="eastAsia" w:ascii="宋体" w:hAnsi="宋体" w:eastAsia="宋体"/>
                <w:color w:val="auto"/>
                <w:spacing w:val="10"/>
                <w:sz w:val="21"/>
                <w:szCs w:val="21"/>
              </w:rPr>
              <w:t>稳定</w:t>
            </w:r>
          </w:p>
        </w:tc>
        <w:tc>
          <w:tcPr>
            <w:tcW w:w="1653" w:type="dxa"/>
            <w:gridSpan w:val="2"/>
            <w:vAlign w:val="center"/>
          </w:tcPr>
          <w:p>
            <w:pPr>
              <w:spacing w:line="360" w:lineRule="auto"/>
              <w:jc w:val="center"/>
              <w:rPr>
                <w:rFonts w:ascii="宋体" w:hAnsi="宋体" w:eastAsia="宋体"/>
                <w:color w:val="auto"/>
                <w:spacing w:val="10"/>
                <w:sz w:val="21"/>
                <w:szCs w:val="21"/>
              </w:rPr>
            </w:pPr>
            <w:r>
              <w:rPr>
                <w:rFonts w:hint="eastAsia" w:ascii="宋体" w:hAnsi="宋体" w:eastAsia="宋体"/>
                <w:color w:val="auto"/>
                <w:spacing w:val="10"/>
                <w:sz w:val="21"/>
                <w:szCs w:val="21"/>
              </w:rPr>
              <w:t>聚合危害</w:t>
            </w:r>
          </w:p>
        </w:tc>
        <w:tc>
          <w:tcPr>
            <w:tcW w:w="1656" w:type="dxa"/>
            <w:gridSpan w:val="2"/>
            <w:vAlign w:val="center"/>
          </w:tcPr>
          <w:p>
            <w:pPr>
              <w:spacing w:line="360" w:lineRule="auto"/>
              <w:jc w:val="center"/>
              <w:rPr>
                <w:rFonts w:ascii="宋体" w:hAnsi="宋体" w:eastAsia="宋体"/>
                <w:color w:val="auto"/>
                <w:spacing w:val="10"/>
                <w:sz w:val="21"/>
                <w:szCs w:val="21"/>
              </w:rPr>
            </w:pPr>
            <w:r>
              <w:rPr>
                <w:rFonts w:hint="eastAsia" w:ascii="宋体" w:hAnsi="宋体" w:eastAsia="宋体"/>
                <w:color w:val="auto"/>
                <w:spacing w:val="10"/>
                <w:sz w:val="21"/>
                <w:szCs w:val="21"/>
              </w:rPr>
              <w:t>不聚合</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rPr>
          <w:trHeight w:val="510" w:hRule="atLeast"/>
          <w:jc w:val="center"/>
        </w:trPr>
        <w:tc>
          <w:tcPr>
            <w:tcW w:w="503" w:type="dxa"/>
            <w:vMerge w:val="continue"/>
            <w:vAlign w:val="center"/>
          </w:tcPr>
          <w:p>
            <w:pPr>
              <w:widowControl/>
              <w:spacing w:line="360" w:lineRule="auto"/>
              <w:rPr>
                <w:rFonts w:ascii="宋体" w:hAnsi="宋体" w:eastAsia="宋体" w:cs="Arial"/>
                <w:color w:val="auto"/>
                <w:spacing w:val="10"/>
                <w:sz w:val="21"/>
                <w:szCs w:val="21"/>
              </w:rPr>
            </w:pPr>
          </w:p>
        </w:tc>
        <w:tc>
          <w:tcPr>
            <w:tcW w:w="1888" w:type="dxa"/>
            <w:vAlign w:val="center"/>
          </w:tcPr>
          <w:p>
            <w:pPr>
              <w:spacing w:line="360" w:lineRule="auto"/>
              <w:jc w:val="center"/>
              <w:rPr>
                <w:rFonts w:ascii="宋体" w:hAnsi="宋体" w:eastAsia="宋体"/>
                <w:color w:val="auto"/>
                <w:spacing w:val="10"/>
                <w:sz w:val="21"/>
                <w:szCs w:val="21"/>
              </w:rPr>
            </w:pPr>
            <w:r>
              <w:rPr>
                <w:rFonts w:hint="eastAsia" w:ascii="宋体" w:hAnsi="宋体" w:eastAsia="宋体"/>
                <w:color w:val="auto"/>
                <w:spacing w:val="10"/>
                <w:sz w:val="21"/>
                <w:szCs w:val="21"/>
              </w:rPr>
              <w:t>禁忌物</w:t>
            </w:r>
          </w:p>
        </w:tc>
        <w:tc>
          <w:tcPr>
            <w:tcW w:w="7003" w:type="dxa"/>
            <w:gridSpan w:val="10"/>
            <w:vAlign w:val="center"/>
          </w:tcPr>
          <w:p>
            <w:pPr>
              <w:spacing w:line="360" w:lineRule="auto"/>
              <w:rPr>
                <w:rFonts w:ascii="宋体" w:hAnsi="宋体" w:eastAsia="宋体"/>
                <w:color w:val="auto"/>
                <w:spacing w:val="10"/>
                <w:sz w:val="21"/>
                <w:szCs w:val="21"/>
              </w:rPr>
            </w:pPr>
            <w:r>
              <w:rPr>
                <w:rFonts w:hint="eastAsia" w:ascii="宋体" w:hAnsi="宋体" w:eastAsia="宋体"/>
                <w:color w:val="auto"/>
                <w:sz w:val="21"/>
                <w:szCs w:val="21"/>
              </w:rPr>
              <w:t>强氧化剂、酰基氯、氯仿、强还原剂、卤素、氯代烃。</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503" w:type="dxa"/>
            <w:vMerge w:val="continue"/>
            <w:vAlign w:val="center"/>
          </w:tcPr>
          <w:p>
            <w:pPr>
              <w:widowControl/>
              <w:spacing w:line="360" w:lineRule="auto"/>
              <w:rPr>
                <w:rFonts w:ascii="宋体" w:hAnsi="宋体" w:eastAsia="宋体" w:cs="Arial"/>
                <w:color w:val="auto"/>
                <w:spacing w:val="10"/>
                <w:sz w:val="21"/>
                <w:szCs w:val="21"/>
              </w:rPr>
            </w:pPr>
          </w:p>
        </w:tc>
        <w:tc>
          <w:tcPr>
            <w:tcW w:w="1888" w:type="dxa"/>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危险特性</w:t>
            </w:r>
          </w:p>
        </w:tc>
        <w:tc>
          <w:tcPr>
            <w:tcW w:w="7003" w:type="dxa"/>
            <w:gridSpan w:val="10"/>
            <w:vAlign w:val="center"/>
          </w:tcPr>
          <w:p>
            <w:pPr>
              <w:spacing w:line="360" w:lineRule="auto"/>
              <w:rPr>
                <w:rFonts w:ascii="宋体" w:hAnsi="宋体" w:eastAsia="宋体" w:cs="Arial"/>
                <w:color w:val="auto"/>
                <w:spacing w:val="10"/>
                <w:sz w:val="21"/>
                <w:szCs w:val="21"/>
              </w:rPr>
            </w:pPr>
            <w:r>
              <w:rPr>
                <w:rFonts w:hint="eastAsia" w:ascii="宋体" w:hAnsi="宋体" w:eastAsia="宋体"/>
                <w:color w:val="auto"/>
                <w:sz w:val="21"/>
                <w:szCs w:val="21"/>
              </w:rPr>
              <w:t>易燃,遇明火、高热或与氧化剂接触,有引起燃烧爆炸的危险。能与浓硫酸、发烟硝酸猛烈反应，甚至发生爆炸。与卤化物（如四氯化碳）能发生强烈反应。</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rPr>
          <w:trHeight w:val="510" w:hRule="atLeast"/>
          <w:jc w:val="center"/>
        </w:trPr>
        <w:tc>
          <w:tcPr>
            <w:tcW w:w="503" w:type="dxa"/>
            <w:vMerge w:val="continue"/>
            <w:vAlign w:val="center"/>
          </w:tcPr>
          <w:p>
            <w:pPr>
              <w:widowControl/>
              <w:spacing w:line="360" w:lineRule="auto"/>
              <w:rPr>
                <w:rFonts w:ascii="宋体" w:hAnsi="宋体" w:eastAsia="宋体" w:cs="Arial"/>
                <w:color w:val="auto"/>
                <w:spacing w:val="10"/>
                <w:sz w:val="21"/>
                <w:szCs w:val="21"/>
              </w:rPr>
            </w:pPr>
          </w:p>
        </w:tc>
        <w:tc>
          <w:tcPr>
            <w:tcW w:w="1888" w:type="dxa"/>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储运条件</w:t>
            </w:r>
          </w:p>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与泄漏处理</w:t>
            </w:r>
          </w:p>
        </w:tc>
        <w:tc>
          <w:tcPr>
            <w:tcW w:w="7003" w:type="dxa"/>
            <w:gridSpan w:val="10"/>
            <w:vAlign w:val="center"/>
          </w:tcPr>
          <w:p>
            <w:pPr>
              <w:spacing w:line="360" w:lineRule="auto"/>
              <w:rPr>
                <w:rFonts w:ascii="宋体" w:hAnsi="宋体" w:eastAsia="宋体"/>
                <w:color w:val="auto"/>
                <w:sz w:val="21"/>
                <w:szCs w:val="21"/>
              </w:rPr>
            </w:pPr>
            <w:r>
              <w:rPr>
                <w:rFonts w:ascii="宋体" w:hAnsi="宋体" w:eastAsia="宋体" w:cs="Arial"/>
                <w:b/>
                <w:color w:val="auto"/>
                <w:spacing w:val="4"/>
                <w:sz w:val="21"/>
                <w:szCs w:val="21"/>
              </w:rPr>
              <w:t>储运条件</w:t>
            </w:r>
            <w:r>
              <w:rPr>
                <w:rFonts w:ascii="宋体" w:hAnsi="宋体" w:eastAsia="宋体" w:cs="Arial"/>
                <w:color w:val="auto"/>
                <w:spacing w:val="4"/>
                <w:sz w:val="21"/>
                <w:szCs w:val="21"/>
              </w:rPr>
              <w:t>：</w:t>
            </w:r>
            <w:r>
              <w:rPr>
                <w:rStyle w:val="245"/>
                <w:rFonts w:hint="default"/>
                <w:color w:val="auto"/>
                <w:sz w:val="21"/>
                <w:szCs w:val="21"/>
              </w:rPr>
              <w:t>储存于阴凉、通风仓间内。远离火种、热源。应与氧化剂、还原剂、卤素等分开存放,</w:t>
            </w:r>
            <w:r>
              <w:rPr>
                <w:rFonts w:hint="eastAsia" w:ascii="宋体" w:hAnsi="宋体" w:eastAsia="宋体"/>
                <w:color w:val="auto"/>
                <w:sz w:val="21"/>
                <w:szCs w:val="21"/>
              </w:rPr>
              <w:t xml:space="preserve"> </w:t>
            </w:r>
            <w:r>
              <w:rPr>
                <w:rStyle w:val="245"/>
                <w:rFonts w:hint="default"/>
                <w:color w:val="auto"/>
                <w:sz w:val="21"/>
                <w:szCs w:val="21"/>
              </w:rPr>
              <w:t>切忌混储。搬运时要轻装轻卸,防止包装及容器损坏。运输时所用的槽(罐)车应有接地链,槽内可设孔隔板以减少震荡产生静电。严禁与氧化剂、还原剂、卤素、食用化学品等混装混运。装运该物品的车辆排气管必须配备阻火装置,禁止使用易产生火花的机械备和工具装卸。公路运输时要按规定路线行驶，勿在居民区和人口稠密区停留。</w:t>
            </w:r>
          </w:p>
          <w:p>
            <w:pPr>
              <w:spacing w:line="360" w:lineRule="auto"/>
              <w:rPr>
                <w:rFonts w:ascii="宋体" w:hAnsi="宋体" w:eastAsia="宋体" w:cs="Arial"/>
                <w:color w:val="auto"/>
                <w:spacing w:val="4"/>
                <w:sz w:val="21"/>
                <w:szCs w:val="21"/>
              </w:rPr>
            </w:pPr>
            <w:r>
              <w:rPr>
                <w:rFonts w:ascii="宋体" w:hAnsi="宋体" w:eastAsia="宋体" w:cs="Arial"/>
                <w:b/>
                <w:color w:val="auto"/>
                <w:spacing w:val="4"/>
                <w:sz w:val="21"/>
                <w:szCs w:val="21"/>
              </w:rPr>
              <w:t>泄漏处理</w:t>
            </w:r>
            <w:r>
              <w:rPr>
                <w:rFonts w:hint="eastAsia" w:ascii="宋体" w:hAnsi="宋体" w:eastAsia="宋体" w:cs="Arial"/>
                <w:b/>
                <w:color w:val="auto"/>
                <w:spacing w:val="4"/>
                <w:sz w:val="21"/>
                <w:szCs w:val="21"/>
              </w:rPr>
              <w:t>：</w:t>
            </w:r>
            <w:r>
              <w:rPr>
                <w:rStyle w:val="245"/>
                <w:rFonts w:hint="default"/>
                <w:color w:val="auto"/>
                <w:sz w:val="21"/>
                <w:szCs w:val="21"/>
              </w:rPr>
              <w:t>疏散泄漏污染区人员至安全区,禁止无关人员进入污染区,切断火源。建议应急处理人员戴好放毒面具,穿化学防护服。少量泄漏:用不燃性分散剂制成的乳液刷洗,洗液稀释后放入废水系统。大量泄漏:构筑围堤或挖坑收容,用泡沫覆盖,降低蒸气灾害。用防爆泵转移至专用收集器,回收或运到废物处理场所处置。</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rPr>
          <w:trHeight w:val="510" w:hRule="atLeast"/>
          <w:jc w:val="center"/>
        </w:trPr>
        <w:tc>
          <w:tcPr>
            <w:tcW w:w="503" w:type="dxa"/>
            <w:vMerge w:val="continue"/>
            <w:vAlign w:val="center"/>
          </w:tcPr>
          <w:p>
            <w:pPr>
              <w:widowControl/>
              <w:spacing w:line="360" w:lineRule="auto"/>
              <w:rPr>
                <w:rFonts w:ascii="宋体" w:hAnsi="宋体" w:eastAsia="宋体" w:cs="Arial"/>
                <w:color w:val="auto"/>
                <w:spacing w:val="10"/>
                <w:sz w:val="21"/>
                <w:szCs w:val="21"/>
              </w:rPr>
            </w:pPr>
          </w:p>
        </w:tc>
        <w:tc>
          <w:tcPr>
            <w:tcW w:w="1888" w:type="dxa"/>
            <w:vAlign w:val="center"/>
          </w:tcPr>
          <w:p>
            <w:pPr>
              <w:spacing w:line="360" w:lineRule="auto"/>
              <w:jc w:val="center"/>
              <w:rPr>
                <w:rFonts w:ascii="宋体" w:hAnsi="宋体" w:eastAsia="宋体" w:cs="Arial"/>
                <w:color w:val="auto"/>
                <w:spacing w:val="10"/>
                <w:sz w:val="21"/>
                <w:szCs w:val="21"/>
              </w:rPr>
            </w:pPr>
            <w:r>
              <w:rPr>
                <w:rFonts w:ascii="宋体" w:hAnsi="宋体" w:eastAsia="宋体" w:cs="Arial"/>
                <w:color w:val="auto"/>
                <w:spacing w:val="10"/>
                <w:sz w:val="21"/>
                <w:szCs w:val="21"/>
              </w:rPr>
              <w:t>灭火方法</w:t>
            </w:r>
          </w:p>
        </w:tc>
        <w:tc>
          <w:tcPr>
            <w:tcW w:w="7003" w:type="dxa"/>
            <w:gridSpan w:val="10"/>
            <w:vAlign w:val="center"/>
          </w:tcPr>
          <w:p>
            <w:pPr>
              <w:spacing w:line="360" w:lineRule="auto"/>
              <w:rPr>
                <w:rFonts w:ascii="宋体" w:hAnsi="宋体" w:eastAsia="宋体" w:cs="Arial"/>
                <w:color w:val="auto"/>
                <w:spacing w:val="10"/>
                <w:sz w:val="21"/>
                <w:szCs w:val="21"/>
              </w:rPr>
            </w:pPr>
            <w:r>
              <w:rPr>
                <w:rFonts w:hint="eastAsia" w:ascii="宋体" w:hAnsi="宋体" w:eastAsia="宋体"/>
                <w:color w:val="auto"/>
                <w:sz w:val="21"/>
                <w:szCs w:val="21"/>
              </w:rPr>
              <w:t>灭火剂:雾状水、抗溶性泡沫、干粉、二氧化碳、砂土。尽可能将容器从火场移至空旷处。喷水保持火场容器冷却,直至灭火结束。</w:t>
            </w:r>
          </w:p>
        </w:tc>
      </w:tr>
    </w:tbl>
    <w:p>
      <w:pPr>
        <w:spacing w:line="560" w:lineRule="exact"/>
        <w:jc w:val="both"/>
        <w:outlineLvl w:val="1"/>
        <w:rPr>
          <w:rFonts w:ascii="楷体_GB2312" w:hAnsi="Times New Roman" w:eastAsia="楷体_GB2312" w:cs="Times New Roman"/>
          <w:bCs/>
          <w:color w:val="auto"/>
          <w:kern w:val="2"/>
          <w:sz w:val="32"/>
          <w:lang w:val="en-US" w:eastAsia="zh-CN" w:bidi="ar-SA"/>
        </w:rPr>
      </w:pPr>
      <w:bookmarkStart w:id="170" w:name="_Toc40045938"/>
      <w:bookmarkStart w:id="171" w:name="bookmark112"/>
      <w:r>
        <w:rPr>
          <w:rFonts w:ascii="楷体_GB2312" w:hAnsi="Times New Roman" w:eastAsia="楷体_GB2312" w:cs="Times New Roman"/>
          <w:bCs/>
          <w:color w:val="auto"/>
          <w:kern w:val="2"/>
          <w:sz w:val="32"/>
          <w:lang w:val="en-US" w:eastAsia="zh-CN" w:bidi="ar-SA"/>
        </w:rPr>
        <w:t>附件1.2</w:t>
      </w:r>
      <w:r>
        <w:rPr>
          <w:rFonts w:hint="eastAsia" w:ascii="楷体_GB2312" w:hAnsi="Times New Roman" w:eastAsia="楷体_GB2312" w:cs="Times New Roman"/>
          <w:bCs/>
          <w:color w:val="auto"/>
          <w:kern w:val="2"/>
          <w:sz w:val="32"/>
          <w:lang w:val="en-US" w:eastAsia="zh-CN" w:bidi="ar-SA"/>
        </w:rPr>
        <w:t>重点监管的危险化学品</w:t>
      </w:r>
      <w:r>
        <w:rPr>
          <w:rFonts w:ascii="楷体_GB2312" w:hAnsi="Times New Roman" w:eastAsia="楷体_GB2312" w:cs="Times New Roman"/>
          <w:bCs/>
          <w:color w:val="auto"/>
          <w:kern w:val="2"/>
          <w:sz w:val="32"/>
          <w:lang w:val="en-US" w:eastAsia="zh-CN" w:bidi="ar-SA"/>
        </w:rPr>
        <w:t>辨识</w:t>
      </w:r>
      <w:bookmarkEnd w:id="170"/>
    </w:p>
    <w:p>
      <w:pPr>
        <w:spacing w:line="560" w:lineRule="exact"/>
        <w:ind w:firstLine="528" w:firstLineChars="200"/>
        <w:rPr>
          <w:rFonts w:ascii="宋体" w:hAnsi="宋体" w:eastAsia="宋体"/>
          <w:bCs/>
          <w:snapToGrid w:val="0"/>
          <w:color w:val="auto"/>
          <w:spacing w:val="-8"/>
          <w:sz w:val="28"/>
          <w:szCs w:val="28"/>
          <w:lang w:eastAsia="zh-CN"/>
        </w:rPr>
      </w:pPr>
      <w:r>
        <w:rPr>
          <w:rFonts w:hint="eastAsia" w:ascii="宋体" w:hAnsi="宋体" w:eastAsia="宋体"/>
          <w:bCs/>
          <w:snapToGrid w:val="0"/>
          <w:color w:val="auto"/>
          <w:spacing w:val="-8"/>
          <w:sz w:val="28"/>
          <w:szCs w:val="28"/>
        </w:rPr>
        <w:t>根据国家安全监管总局《关于公布首批重点监管的危险化学品名录的通知》(安监总管三〔2011〕95号) 和《关于公布第二批重点监管危险化学品名录的通知》安监总管三〔2013〕12号的要求,对照重点监管的危险化学品名录进行辨识，该公司涉及的危险化学品中，乙酸乙酯（2651）、苯乙烯（96）、硝化纤维素溶液[含氮量≤12.6%，含硝化纤维素≤55%]（2208）已列入名录范围之内，具体见下表。</w:t>
      </w:r>
    </w:p>
    <w:tbl>
      <w:tblPr>
        <w:tblStyle w:val="45"/>
        <w:tblW w:w="90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29"/>
        <w:gridCol w:w="1843"/>
        <w:gridCol w:w="3830"/>
        <w:gridCol w:w="14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5" w:hRule="atLeast"/>
          <w:jc w:val="center"/>
        </w:trPr>
        <w:tc>
          <w:tcPr>
            <w:tcW w:w="1929"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宋体" w:hAnsi="宋体" w:eastAsia="宋体"/>
                <w:b/>
                <w:snapToGrid w:val="0"/>
                <w:color w:val="auto"/>
                <w:spacing w:val="-8"/>
                <w:sz w:val="21"/>
                <w:szCs w:val="21"/>
              </w:rPr>
            </w:pPr>
            <w:r>
              <w:rPr>
                <w:rFonts w:hint="eastAsia" w:ascii="宋体" w:hAnsi="宋体" w:eastAsia="宋体"/>
                <w:b/>
                <w:snapToGrid w:val="0"/>
                <w:color w:val="auto"/>
                <w:spacing w:val="-8"/>
                <w:sz w:val="21"/>
                <w:szCs w:val="21"/>
              </w:rPr>
              <w:t>危险化学品序号</w:t>
            </w:r>
          </w:p>
        </w:tc>
        <w:tc>
          <w:tcPr>
            <w:tcW w:w="1843"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宋体" w:hAnsi="宋体" w:eastAsia="宋体"/>
                <w:b/>
                <w:snapToGrid w:val="0"/>
                <w:color w:val="auto"/>
                <w:spacing w:val="-8"/>
                <w:sz w:val="21"/>
                <w:szCs w:val="21"/>
              </w:rPr>
            </w:pPr>
            <w:r>
              <w:rPr>
                <w:rFonts w:hint="eastAsia" w:ascii="宋体" w:hAnsi="宋体" w:eastAsia="宋体"/>
                <w:b/>
                <w:snapToGrid w:val="0"/>
                <w:color w:val="auto"/>
                <w:spacing w:val="-8"/>
                <w:sz w:val="21"/>
                <w:szCs w:val="21"/>
              </w:rPr>
              <w:t>化学品名称</w:t>
            </w:r>
          </w:p>
        </w:tc>
        <w:tc>
          <w:tcPr>
            <w:tcW w:w="3830" w:type="dxa"/>
            <w:tcBorders>
              <w:top w:val="single" w:color="auto" w:sz="4" w:space="0"/>
              <w:left w:val="single" w:color="auto" w:sz="4" w:space="0"/>
              <w:bottom w:val="single" w:color="auto" w:sz="4" w:space="0"/>
              <w:right w:val="single" w:color="auto" w:sz="4" w:space="0"/>
            </w:tcBorders>
            <w:vAlign w:val="center"/>
          </w:tcPr>
          <w:p>
            <w:pPr>
              <w:spacing w:line="560" w:lineRule="exact"/>
              <w:ind w:firstLine="390" w:firstLineChars="200"/>
              <w:jc w:val="center"/>
              <w:rPr>
                <w:rFonts w:ascii="宋体" w:hAnsi="宋体" w:eastAsia="宋体"/>
                <w:b/>
                <w:snapToGrid w:val="0"/>
                <w:color w:val="auto"/>
                <w:spacing w:val="-8"/>
                <w:sz w:val="21"/>
                <w:szCs w:val="21"/>
              </w:rPr>
            </w:pPr>
            <w:r>
              <w:rPr>
                <w:rFonts w:hint="eastAsia" w:ascii="宋体" w:hAnsi="宋体" w:eastAsia="宋体"/>
                <w:b/>
                <w:snapToGrid w:val="0"/>
                <w:color w:val="auto"/>
                <w:spacing w:val="-8"/>
                <w:sz w:val="21"/>
                <w:szCs w:val="21"/>
              </w:rPr>
              <w:t>别名</w:t>
            </w:r>
          </w:p>
        </w:tc>
        <w:tc>
          <w:tcPr>
            <w:tcW w:w="1470" w:type="dxa"/>
            <w:tcBorders>
              <w:top w:val="single" w:color="auto" w:sz="4" w:space="0"/>
              <w:left w:val="single" w:color="auto" w:sz="4" w:space="0"/>
              <w:bottom w:val="single" w:color="auto" w:sz="4" w:space="0"/>
              <w:right w:val="single" w:color="auto" w:sz="4" w:space="0"/>
            </w:tcBorders>
            <w:vAlign w:val="center"/>
          </w:tcPr>
          <w:p>
            <w:pPr>
              <w:spacing w:line="560" w:lineRule="exact"/>
              <w:ind w:firstLine="390" w:firstLineChars="200"/>
              <w:jc w:val="center"/>
              <w:rPr>
                <w:rFonts w:ascii="宋体" w:hAnsi="宋体" w:eastAsia="宋体"/>
                <w:b/>
                <w:snapToGrid w:val="0"/>
                <w:color w:val="auto"/>
                <w:spacing w:val="-8"/>
                <w:sz w:val="21"/>
                <w:szCs w:val="21"/>
              </w:rPr>
            </w:pPr>
            <w:r>
              <w:rPr>
                <w:rFonts w:hint="eastAsia" w:ascii="宋体" w:hAnsi="宋体" w:eastAsia="宋体"/>
                <w:b/>
                <w:snapToGrid w:val="0"/>
                <w:color w:val="auto"/>
                <w:spacing w:val="-8"/>
                <w:sz w:val="21"/>
                <w:szCs w:val="21"/>
              </w:rPr>
              <w:t>CAS号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929" w:type="dxa"/>
            <w:vAlign w:val="center"/>
          </w:tcPr>
          <w:p>
            <w:pPr>
              <w:spacing w:line="560" w:lineRule="exact"/>
              <w:jc w:val="center"/>
              <w:rPr>
                <w:rFonts w:ascii="宋体" w:hAnsi="宋体" w:eastAsia="宋体"/>
                <w:bCs/>
                <w:snapToGrid w:val="0"/>
                <w:color w:val="auto"/>
                <w:sz w:val="21"/>
                <w:szCs w:val="21"/>
              </w:rPr>
            </w:pPr>
            <w:r>
              <w:rPr>
                <w:rFonts w:hint="eastAsia" w:ascii="宋体" w:hAnsi="宋体" w:eastAsia="宋体"/>
                <w:bCs/>
                <w:snapToGrid w:val="0"/>
                <w:color w:val="auto"/>
                <w:spacing w:val="0"/>
                <w:kern w:val="0"/>
                <w:sz w:val="21"/>
                <w:szCs w:val="21"/>
                <w:fitText w:val="210" w:id="1925193258"/>
              </w:rPr>
              <w:t>96</w:t>
            </w:r>
          </w:p>
        </w:tc>
        <w:tc>
          <w:tcPr>
            <w:tcW w:w="1843" w:type="dxa"/>
            <w:vAlign w:val="center"/>
          </w:tcPr>
          <w:p>
            <w:pPr>
              <w:spacing w:line="560" w:lineRule="exact"/>
              <w:jc w:val="center"/>
              <w:rPr>
                <w:rFonts w:ascii="宋体" w:hAnsi="宋体" w:eastAsia="宋体"/>
                <w:bCs/>
                <w:snapToGrid w:val="0"/>
                <w:color w:val="auto"/>
                <w:sz w:val="21"/>
                <w:szCs w:val="21"/>
              </w:rPr>
            </w:pPr>
            <w:r>
              <w:rPr>
                <w:rFonts w:hint="eastAsia" w:ascii="宋体" w:hAnsi="宋体" w:eastAsia="宋体"/>
                <w:bCs/>
                <w:snapToGrid w:val="0"/>
                <w:color w:val="auto"/>
                <w:spacing w:val="0"/>
                <w:kern w:val="0"/>
                <w:sz w:val="21"/>
                <w:szCs w:val="21"/>
                <w:fitText w:val="630" w:id="1"/>
              </w:rPr>
              <w:t>苯乙烯</w:t>
            </w:r>
          </w:p>
        </w:tc>
        <w:tc>
          <w:tcPr>
            <w:tcW w:w="3830" w:type="dxa"/>
            <w:vAlign w:val="center"/>
          </w:tcPr>
          <w:p>
            <w:pPr>
              <w:spacing w:line="560" w:lineRule="exact"/>
              <w:jc w:val="center"/>
              <w:rPr>
                <w:rFonts w:ascii="宋体" w:hAnsi="宋体" w:eastAsia="宋体"/>
                <w:bCs/>
                <w:snapToGrid w:val="0"/>
                <w:color w:val="auto"/>
                <w:sz w:val="21"/>
                <w:szCs w:val="21"/>
              </w:rPr>
            </w:pPr>
            <w:r>
              <w:rPr>
                <w:rFonts w:hint="eastAsia" w:ascii="宋体" w:hAnsi="宋体" w:eastAsia="宋体"/>
                <w:bCs/>
                <w:snapToGrid w:val="0"/>
                <w:color w:val="auto"/>
                <w:spacing w:val="0"/>
                <w:kern w:val="0"/>
                <w:sz w:val="21"/>
                <w:szCs w:val="21"/>
                <w:fitText w:val="3570" w:id="2"/>
              </w:rPr>
              <w:t>苯乙烯；乙烯基苯；乙烯苯；苏合香烯</w:t>
            </w:r>
          </w:p>
        </w:tc>
        <w:tc>
          <w:tcPr>
            <w:tcW w:w="1470" w:type="dxa"/>
            <w:vAlign w:val="center"/>
          </w:tcPr>
          <w:p>
            <w:pPr>
              <w:spacing w:line="560" w:lineRule="exact"/>
              <w:jc w:val="center"/>
              <w:rPr>
                <w:rFonts w:ascii="宋体" w:hAnsi="宋体" w:eastAsia="宋体"/>
                <w:bCs/>
                <w:snapToGrid w:val="0"/>
                <w:color w:val="auto"/>
                <w:sz w:val="21"/>
                <w:szCs w:val="21"/>
              </w:rPr>
            </w:pPr>
            <w:r>
              <w:rPr>
                <w:rFonts w:hint="eastAsia" w:ascii="宋体" w:hAnsi="宋体" w:eastAsia="宋体"/>
                <w:bCs/>
                <w:snapToGrid w:val="0"/>
                <w:color w:val="auto"/>
                <w:spacing w:val="0"/>
                <w:kern w:val="0"/>
                <w:sz w:val="21"/>
                <w:szCs w:val="21"/>
                <w:fitText w:val="840" w:id="3"/>
              </w:rPr>
              <w:t>100-42-5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929" w:type="dxa"/>
            <w:vAlign w:val="center"/>
          </w:tcPr>
          <w:p>
            <w:pPr>
              <w:spacing w:line="560" w:lineRule="exact"/>
              <w:jc w:val="center"/>
              <w:rPr>
                <w:rFonts w:ascii="宋体" w:hAnsi="宋体" w:eastAsia="宋体"/>
                <w:bCs/>
                <w:snapToGrid w:val="0"/>
                <w:color w:val="auto"/>
                <w:sz w:val="21"/>
                <w:szCs w:val="21"/>
                <w:lang w:eastAsia="zh-CN"/>
              </w:rPr>
            </w:pPr>
            <w:r>
              <w:rPr>
                <w:rFonts w:hint="eastAsia" w:ascii="宋体" w:hAnsi="宋体" w:eastAsia="宋体"/>
                <w:bCs/>
                <w:snapToGrid w:val="0"/>
                <w:color w:val="auto"/>
                <w:sz w:val="21"/>
                <w:szCs w:val="21"/>
                <w:lang w:eastAsia="zh-CN"/>
              </w:rPr>
              <w:t>2651</w:t>
            </w:r>
          </w:p>
        </w:tc>
        <w:tc>
          <w:tcPr>
            <w:tcW w:w="1843" w:type="dxa"/>
            <w:vAlign w:val="center"/>
          </w:tcPr>
          <w:p>
            <w:pPr>
              <w:spacing w:line="560" w:lineRule="exact"/>
              <w:jc w:val="center"/>
              <w:rPr>
                <w:rFonts w:ascii="宋体" w:hAnsi="宋体" w:eastAsia="宋体"/>
                <w:bCs/>
                <w:snapToGrid w:val="0"/>
                <w:color w:val="auto"/>
                <w:sz w:val="21"/>
                <w:szCs w:val="21"/>
              </w:rPr>
            </w:pPr>
            <w:r>
              <w:rPr>
                <w:rFonts w:hint="eastAsia" w:ascii="宋体" w:hAnsi="宋体" w:eastAsia="宋体"/>
                <w:bCs/>
                <w:snapToGrid w:val="0"/>
                <w:color w:val="auto"/>
                <w:spacing w:val="0"/>
                <w:kern w:val="0"/>
                <w:sz w:val="21"/>
                <w:szCs w:val="21"/>
                <w:fitText w:val="840" w:id="4"/>
              </w:rPr>
              <w:t>乙酸乙酯</w:t>
            </w:r>
          </w:p>
        </w:tc>
        <w:tc>
          <w:tcPr>
            <w:tcW w:w="3830" w:type="dxa"/>
            <w:vAlign w:val="center"/>
          </w:tcPr>
          <w:p>
            <w:pPr>
              <w:spacing w:line="560" w:lineRule="exact"/>
              <w:jc w:val="center"/>
              <w:rPr>
                <w:rFonts w:ascii="宋体" w:hAnsi="宋体" w:eastAsia="宋体"/>
                <w:bCs/>
                <w:snapToGrid w:val="0"/>
                <w:color w:val="auto"/>
                <w:sz w:val="21"/>
                <w:szCs w:val="21"/>
              </w:rPr>
            </w:pPr>
            <w:r>
              <w:rPr>
                <w:rFonts w:hint="eastAsia" w:ascii="宋体" w:hAnsi="宋体" w:eastAsia="宋体"/>
                <w:bCs/>
                <w:snapToGrid w:val="0"/>
                <w:color w:val="auto"/>
                <w:spacing w:val="0"/>
                <w:kern w:val="0"/>
                <w:sz w:val="21"/>
                <w:szCs w:val="21"/>
                <w:fitText w:val="840" w:id="5"/>
              </w:rPr>
              <w:t>醋酸乙酯</w:t>
            </w:r>
          </w:p>
        </w:tc>
        <w:tc>
          <w:tcPr>
            <w:tcW w:w="1470" w:type="dxa"/>
            <w:vAlign w:val="center"/>
          </w:tcPr>
          <w:p>
            <w:pPr>
              <w:spacing w:line="560" w:lineRule="exact"/>
              <w:jc w:val="center"/>
              <w:rPr>
                <w:rFonts w:ascii="宋体" w:hAnsi="宋体" w:eastAsia="宋体"/>
                <w:bCs/>
                <w:snapToGrid w:val="0"/>
                <w:color w:val="auto"/>
                <w:sz w:val="21"/>
                <w:szCs w:val="21"/>
              </w:rPr>
            </w:pPr>
            <w:r>
              <w:rPr>
                <w:rFonts w:hint="eastAsia" w:ascii="宋体" w:hAnsi="宋体" w:eastAsia="宋体"/>
                <w:bCs/>
                <w:snapToGrid w:val="0"/>
                <w:color w:val="auto"/>
                <w:spacing w:val="0"/>
                <w:kern w:val="0"/>
                <w:sz w:val="21"/>
                <w:szCs w:val="21"/>
                <w:fitText w:val="840" w:id="6"/>
              </w:rPr>
              <w:t>141-78-6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5" w:hRule="atLeast"/>
          <w:jc w:val="center"/>
        </w:trPr>
        <w:tc>
          <w:tcPr>
            <w:tcW w:w="1929" w:type="dxa"/>
            <w:vAlign w:val="center"/>
          </w:tcPr>
          <w:p>
            <w:pPr>
              <w:spacing w:line="560" w:lineRule="exact"/>
              <w:jc w:val="center"/>
              <w:rPr>
                <w:rFonts w:ascii="宋体" w:hAnsi="宋体" w:eastAsia="宋体"/>
                <w:bCs/>
                <w:snapToGrid w:val="0"/>
                <w:color w:val="auto"/>
                <w:sz w:val="21"/>
                <w:szCs w:val="21"/>
                <w:lang w:eastAsia="zh-CN"/>
              </w:rPr>
            </w:pPr>
            <w:r>
              <w:rPr>
                <w:rFonts w:hint="eastAsia" w:ascii="宋体" w:hAnsi="宋体" w:eastAsia="宋体"/>
                <w:bCs/>
                <w:snapToGrid w:val="0"/>
                <w:color w:val="auto"/>
                <w:sz w:val="21"/>
                <w:szCs w:val="21"/>
                <w:lang w:eastAsia="zh-CN"/>
              </w:rPr>
              <w:t>2208</w:t>
            </w:r>
          </w:p>
        </w:tc>
        <w:tc>
          <w:tcPr>
            <w:tcW w:w="1843" w:type="dxa"/>
            <w:vAlign w:val="center"/>
          </w:tcPr>
          <w:p>
            <w:pPr>
              <w:spacing w:line="560" w:lineRule="exact"/>
              <w:jc w:val="center"/>
              <w:rPr>
                <w:rFonts w:ascii="宋体" w:hAnsi="宋体" w:eastAsia="宋体"/>
                <w:bCs/>
                <w:snapToGrid w:val="0"/>
                <w:color w:val="auto"/>
                <w:sz w:val="21"/>
                <w:szCs w:val="21"/>
              </w:rPr>
            </w:pPr>
            <w:r>
              <w:rPr>
                <w:rFonts w:hint="eastAsia" w:ascii="宋体" w:hAnsi="宋体" w:eastAsia="宋体"/>
                <w:color w:val="auto"/>
                <w:sz w:val="21"/>
                <w:szCs w:val="21"/>
              </w:rPr>
              <w:t>硝化纤维素溶液</w:t>
            </w:r>
            <w:r>
              <w:rPr>
                <w:rFonts w:ascii="宋体" w:hAnsi="宋体" w:eastAsia="宋体"/>
                <w:color w:val="auto"/>
                <w:sz w:val="21"/>
                <w:szCs w:val="21"/>
              </w:rPr>
              <w:t>[</w:t>
            </w:r>
            <w:r>
              <w:rPr>
                <w:rFonts w:hint="eastAsia" w:ascii="宋体" w:hAnsi="宋体" w:eastAsia="宋体"/>
                <w:color w:val="auto"/>
                <w:sz w:val="21"/>
                <w:szCs w:val="21"/>
              </w:rPr>
              <w:t>含氮量≤</w:t>
            </w:r>
            <w:r>
              <w:rPr>
                <w:rFonts w:ascii="宋体" w:hAnsi="宋体" w:eastAsia="宋体"/>
                <w:color w:val="auto"/>
                <w:sz w:val="21"/>
                <w:szCs w:val="21"/>
              </w:rPr>
              <w:t>12.6%</w:t>
            </w:r>
            <w:r>
              <w:rPr>
                <w:rFonts w:hint="eastAsia" w:ascii="宋体" w:hAnsi="宋体" w:eastAsia="宋体"/>
                <w:color w:val="auto"/>
                <w:sz w:val="21"/>
                <w:szCs w:val="21"/>
              </w:rPr>
              <w:t>，含硝化纤维素≤</w:t>
            </w:r>
            <w:r>
              <w:rPr>
                <w:rFonts w:ascii="宋体" w:hAnsi="宋体" w:eastAsia="宋体"/>
                <w:color w:val="auto"/>
                <w:sz w:val="21"/>
                <w:szCs w:val="21"/>
              </w:rPr>
              <w:t>55%]</w:t>
            </w:r>
          </w:p>
        </w:tc>
        <w:tc>
          <w:tcPr>
            <w:tcW w:w="3830" w:type="dxa"/>
            <w:vAlign w:val="center"/>
          </w:tcPr>
          <w:p>
            <w:pPr>
              <w:spacing w:line="560" w:lineRule="exact"/>
              <w:jc w:val="center"/>
              <w:rPr>
                <w:rFonts w:ascii="宋体" w:hAnsi="宋体" w:eastAsia="宋体"/>
                <w:bCs/>
                <w:snapToGrid w:val="0"/>
                <w:color w:val="auto"/>
                <w:sz w:val="21"/>
                <w:szCs w:val="21"/>
              </w:rPr>
            </w:pPr>
            <w:r>
              <w:rPr>
                <w:rFonts w:hint="eastAsia" w:ascii="宋体" w:hAnsi="宋体" w:eastAsia="宋体"/>
                <w:bCs/>
                <w:snapToGrid w:val="0"/>
                <w:color w:val="auto"/>
                <w:spacing w:val="0"/>
                <w:kern w:val="0"/>
                <w:sz w:val="21"/>
                <w:szCs w:val="21"/>
                <w:fitText w:val="1890" w:id="8"/>
              </w:rPr>
              <w:t>硝化棉溶液，胶棉液</w:t>
            </w:r>
          </w:p>
        </w:tc>
        <w:tc>
          <w:tcPr>
            <w:tcW w:w="1470" w:type="dxa"/>
            <w:vAlign w:val="center"/>
          </w:tcPr>
          <w:p>
            <w:pPr>
              <w:spacing w:line="560" w:lineRule="exact"/>
              <w:jc w:val="center"/>
              <w:rPr>
                <w:rFonts w:ascii="宋体" w:hAnsi="宋体" w:eastAsia="宋体"/>
                <w:bCs/>
                <w:snapToGrid w:val="0"/>
                <w:color w:val="auto"/>
                <w:sz w:val="21"/>
                <w:szCs w:val="21"/>
              </w:rPr>
            </w:pPr>
            <w:r>
              <w:rPr>
                <w:rFonts w:ascii="宋体" w:hAnsi="宋体" w:eastAsia="宋体"/>
                <w:bCs/>
                <w:snapToGrid w:val="0"/>
                <w:color w:val="auto"/>
                <w:spacing w:val="0"/>
                <w:kern w:val="0"/>
                <w:sz w:val="21"/>
                <w:szCs w:val="21"/>
                <w:fitText w:val="945" w:id="9"/>
              </w:rPr>
              <w:t>9004-70-0</w:t>
            </w:r>
          </w:p>
        </w:tc>
      </w:tr>
    </w:tbl>
    <w:p>
      <w:pPr>
        <w:spacing w:line="560" w:lineRule="exact"/>
        <w:ind w:firstLine="528" w:firstLineChars="200"/>
        <w:rPr>
          <w:rFonts w:ascii="宋体" w:hAnsi="宋体" w:eastAsia="宋体"/>
          <w:snapToGrid w:val="0"/>
          <w:color w:val="auto"/>
          <w:spacing w:val="-8"/>
          <w:sz w:val="28"/>
          <w:szCs w:val="28"/>
        </w:rPr>
      </w:pPr>
      <w:r>
        <w:rPr>
          <w:rFonts w:hint="eastAsia" w:ascii="宋体" w:hAnsi="宋体" w:eastAsia="宋体"/>
          <w:snapToGrid w:val="0"/>
          <w:color w:val="auto"/>
          <w:spacing w:val="-8"/>
          <w:sz w:val="28"/>
          <w:szCs w:val="28"/>
        </w:rPr>
        <w:t>该公司已按照文件的要求对涉及重点监管的危险化学品的生产、储存装置，由具有甲级资质的化工行业设计单位进行设计。已根据本企业工艺特点，装备功能完善的电气控制系统，严格工艺、设备管理。已针对产品特性，按照有关规定编制完善的、可操作性强的危险化学品事故应急预案，配备必要的应急救援器材、设备，加强应急演练，提高应急处置能力。</w:t>
      </w:r>
    </w:p>
    <w:p>
      <w:pPr>
        <w:jc w:val="center"/>
        <w:rPr>
          <w:rFonts w:ascii="宋体" w:hAnsi="宋体"/>
          <w:b/>
          <w:color w:val="auto"/>
          <w:sz w:val="28"/>
        </w:rPr>
      </w:pPr>
      <w:bookmarkStart w:id="172" w:name="_Toc292543312"/>
      <w:bookmarkStart w:id="173" w:name="_Toc284969824"/>
    </w:p>
    <w:p>
      <w:pPr>
        <w:jc w:val="center"/>
        <w:rPr>
          <w:rFonts w:ascii="宋体" w:hAnsi="宋体" w:eastAsiaTheme="minorEastAsia"/>
          <w:b/>
          <w:color w:val="auto"/>
          <w:sz w:val="28"/>
          <w:lang w:eastAsia="zh-CN"/>
        </w:rPr>
      </w:pPr>
      <w:r>
        <w:rPr>
          <w:rFonts w:hint="eastAsia" w:ascii="宋体" w:hAnsi="宋体"/>
          <w:b/>
          <w:color w:val="auto"/>
          <w:sz w:val="28"/>
        </w:rPr>
        <w:t>苯乙烯</w:t>
      </w:r>
      <w:bookmarkEnd w:id="172"/>
      <w:bookmarkEnd w:id="173"/>
    </w:p>
    <w:tbl>
      <w:tblPr>
        <w:tblStyle w:val="45"/>
        <w:tblW w:w="96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6120"/>
        <w:gridCol w:w="28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648" w:type="dxa"/>
            <w:vAlign w:val="center"/>
          </w:tcPr>
          <w:p>
            <w:pPr>
              <w:pStyle w:val="489"/>
              <w:widowControl w:val="0"/>
              <w:spacing w:line="240" w:lineRule="auto"/>
              <w:rPr>
                <w:b/>
                <w:color w:val="auto"/>
                <w:sz w:val="21"/>
                <w:szCs w:val="21"/>
              </w:rPr>
            </w:pPr>
            <w:r>
              <w:rPr>
                <w:rFonts w:hint="eastAsia"/>
                <w:b/>
                <w:color w:val="auto"/>
                <w:sz w:val="21"/>
                <w:szCs w:val="21"/>
              </w:rPr>
              <w:t>项目</w:t>
            </w:r>
          </w:p>
        </w:tc>
        <w:tc>
          <w:tcPr>
            <w:tcW w:w="6120" w:type="dxa"/>
            <w:vAlign w:val="center"/>
          </w:tcPr>
          <w:p>
            <w:pPr>
              <w:pStyle w:val="40"/>
              <w:ind w:firstLine="632" w:firstLineChars="300"/>
              <w:jc w:val="both"/>
              <w:rPr>
                <w:b/>
                <w:color w:val="auto"/>
                <w:sz w:val="21"/>
                <w:szCs w:val="21"/>
              </w:rPr>
            </w:pPr>
            <w:r>
              <w:rPr>
                <w:rFonts w:hint="eastAsia"/>
                <w:b/>
                <w:color w:val="auto"/>
                <w:sz w:val="21"/>
                <w:szCs w:val="21"/>
              </w:rPr>
              <w:t>安监总局（安监总厅管三〔2011〕142号）文件要求</w:t>
            </w:r>
          </w:p>
        </w:tc>
        <w:tc>
          <w:tcPr>
            <w:tcW w:w="2880" w:type="dxa"/>
            <w:vAlign w:val="center"/>
          </w:tcPr>
          <w:p>
            <w:pPr>
              <w:pStyle w:val="40"/>
              <w:spacing w:before="0" w:beforeAutospacing="0" w:after="0" w:afterAutospacing="0"/>
              <w:jc w:val="center"/>
              <w:rPr>
                <w:b/>
                <w:color w:val="auto"/>
                <w:sz w:val="21"/>
                <w:szCs w:val="21"/>
              </w:rPr>
            </w:pPr>
            <w:r>
              <w:rPr>
                <w:rFonts w:hint="eastAsia"/>
                <w:b/>
                <w:color w:val="auto"/>
                <w:sz w:val="21"/>
                <w:szCs w:val="21"/>
              </w:rPr>
              <w:t>实际符合情况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8" w:hRule="atLeast"/>
        </w:trPr>
        <w:tc>
          <w:tcPr>
            <w:tcW w:w="648" w:type="dxa"/>
            <w:vMerge w:val="restart"/>
            <w:vAlign w:val="center"/>
          </w:tcPr>
          <w:p>
            <w:pPr>
              <w:pStyle w:val="489"/>
              <w:widowControl w:val="0"/>
              <w:spacing w:before="0" w:beforeAutospacing="0" w:after="0" w:afterAutospacing="0" w:line="240" w:lineRule="auto"/>
              <w:jc w:val="center"/>
              <w:rPr>
                <w:b/>
                <w:color w:val="auto"/>
                <w:sz w:val="21"/>
                <w:szCs w:val="21"/>
              </w:rPr>
            </w:pPr>
            <w:r>
              <w:rPr>
                <w:rFonts w:hint="eastAsia"/>
                <w:b/>
                <w:color w:val="auto"/>
                <w:sz w:val="21"/>
                <w:szCs w:val="21"/>
              </w:rPr>
              <w:t>安</w:t>
            </w:r>
          </w:p>
          <w:p>
            <w:pPr>
              <w:pStyle w:val="489"/>
              <w:widowControl w:val="0"/>
              <w:spacing w:before="0" w:beforeAutospacing="0" w:after="0" w:afterAutospacing="0" w:line="240" w:lineRule="auto"/>
              <w:jc w:val="center"/>
              <w:rPr>
                <w:b/>
                <w:color w:val="auto"/>
                <w:sz w:val="21"/>
                <w:szCs w:val="21"/>
              </w:rPr>
            </w:pPr>
            <w:r>
              <w:rPr>
                <w:rFonts w:hint="eastAsia"/>
                <w:b/>
                <w:color w:val="auto"/>
                <w:sz w:val="21"/>
                <w:szCs w:val="21"/>
              </w:rPr>
              <w:t>全</w:t>
            </w:r>
          </w:p>
          <w:p>
            <w:pPr>
              <w:pStyle w:val="489"/>
              <w:widowControl w:val="0"/>
              <w:spacing w:before="0" w:beforeAutospacing="0" w:after="0" w:afterAutospacing="0" w:line="240" w:lineRule="auto"/>
              <w:jc w:val="center"/>
              <w:rPr>
                <w:b/>
                <w:color w:val="auto"/>
                <w:sz w:val="21"/>
                <w:szCs w:val="21"/>
              </w:rPr>
            </w:pPr>
            <w:r>
              <w:rPr>
                <w:rFonts w:hint="eastAsia"/>
                <w:b/>
                <w:color w:val="auto"/>
                <w:sz w:val="21"/>
                <w:szCs w:val="21"/>
              </w:rPr>
              <w:t>措</w:t>
            </w:r>
          </w:p>
          <w:p>
            <w:pPr>
              <w:pStyle w:val="489"/>
              <w:widowControl w:val="0"/>
              <w:spacing w:before="0" w:beforeAutospacing="0" w:after="0" w:afterAutospacing="0" w:line="240" w:lineRule="auto"/>
              <w:jc w:val="center"/>
              <w:rPr>
                <w:b/>
                <w:color w:val="auto"/>
                <w:sz w:val="21"/>
                <w:szCs w:val="21"/>
              </w:rPr>
            </w:pPr>
            <w:r>
              <w:rPr>
                <w:rFonts w:hint="eastAsia"/>
                <w:b/>
                <w:color w:val="auto"/>
                <w:sz w:val="21"/>
                <w:szCs w:val="21"/>
              </w:rPr>
              <w:t>施</w:t>
            </w:r>
          </w:p>
        </w:tc>
        <w:tc>
          <w:tcPr>
            <w:tcW w:w="6120" w:type="dxa"/>
            <w:vAlign w:val="center"/>
          </w:tcPr>
          <w:p>
            <w:pPr>
              <w:pStyle w:val="40"/>
              <w:jc w:val="both"/>
              <w:rPr>
                <w:rStyle w:val="245"/>
                <w:rFonts w:hint="default"/>
                <w:b/>
                <w:color w:val="auto"/>
                <w:sz w:val="21"/>
                <w:szCs w:val="21"/>
              </w:rPr>
            </w:pPr>
            <w:r>
              <w:rPr>
                <w:rStyle w:val="245"/>
                <w:rFonts w:hint="default"/>
                <w:b/>
                <w:color w:val="auto"/>
                <w:sz w:val="21"/>
                <w:szCs w:val="21"/>
              </w:rPr>
              <w:t>一、【一般要求】</w:t>
            </w:r>
          </w:p>
        </w:tc>
        <w:tc>
          <w:tcPr>
            <w:tcW w:w="2880" w:type="dxa"/>
            <w:vAlign w:val="center"/>
          </w:tcPr>
          <w:p>
            <w:pPr>
              <w:rPr>
                <w:rStyle w:val="245"/>
                <w:rFonts w:hint="default"/>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2" w:hRule="atLeast"/>
        </w:trPr>
        <w:tc>
          <w:tcPr>
            <w:tcW w:w="648" w:type="dxa"/>
            <w:vMerge w:val="continue"/>
            <w:vAlign w:val="center"/>
          </w:tcPr>
          <w:p>
            <w:pPr>
              <w:pStyle w:val="489"/>
              <w:widowControl w:val="0"/>
              <w:spacing w:before="0" w:beforeAutospacing="0" w:after="0" w:afterAutospacing="0" w:line="240" w:lineRule="auto"/>
              <w:jc w:val="center"/>
              <w:rPr>
                <w:b/>
                <w:color w:val="auto"/>
                <w:sz w:val="21"/>
                <w:szCs w:val="21"/>
              </w:rPr>
            </w:pPr>
          </w:p>
        </w:tc>
        <w:tc>
          <w:tcPr>
            <w:tcW w:w="6120" w:type="dxa"/>
            <w:vAlign w:val="center"/>
          </w:tcPr>
          <w:p>
            <w:pPr>
              <w:pStyle w:val="40"/>
              <w:spacing w:before="0" w:beforeAutospacing="0" w:after="0" w:afterAutospacing="0"/>
              <w:ind w:firstLine="420" w:firstLineChars="200"/>
              <w:rPr>
                <w:rStyle w:val="245"/>
                <w:rFonts w:hint="default"/>
                <w:color w:val="auto"/>
                <w:sz w:val="21"/>
                <w:szCs w:val="21"/>
              </w:rPr>
            </w:pPr>
            <w:r>
              <w:rPr>
                <w:rStyle w:val="245"/>
                <w:rFonts w:hint="default"/>
                <w:color w:val="auto"/>
                <w:sz w:val="21"/>
                <w:szCs w:val="21"/>
              </w:rPr>
              <w:t>（1）操作人员必须经过专门培训，严格遵守操作规程。熟练掌握操作技能，具备应急处置知识。</w:t>
            </w:r>
          </w:p>
        </w:tc>
        <w:tc>
          <w:tcPr>
            <w:tcW w:w="2880" w:type="dxa"/>
            <w:vAlign w:val="center"/>
          </w:tcPr>
          <w:p>
            <w:pPr>
              <w:rPr>
                <w:rStyle w:val="245"/>
                <w:rFonts w:hint="default"/>
                <w:color w:val="auto"/>
                <w:sz w:val="21"/>
                <w:szCs w:val="21"/>
              </w:rPr>
            </w:pPr>
            <w:r>
              <w:rPr>
                <w:rStyle w:val="245"/>
                <w:rFonts w:hint="default"/>
                <w:color w:val="auto"/>
                <w:sz w:val="21"/>
                <w:szCs w:val="21"/>
              </w:rPr>
              <w:t>操作人员均经过公司内部培训或委托专业培训合格后上岗，具有防火、防爆、防静电事故和预防职业病的知识和操作能力，遵守操作规程。符合要求。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71" w:hRule="atLeast"/>
        </w:trPr>
        <w:tc>
          <w:tcPr>
            <w:tcW w:w="648" w:type="dxa"/>
            <w:vMerge w:val="continue"/>
            <w:vAlign w:val="center"/>
          </w:tcPr>
          <w:p>
            <w:pPr>
              <w:pStyle w:val="489"/>
              <w:widowControl w:val="0"/>
              <w:spacing w:before="0" w:beforeAutospacing="0" w:after="0" w:afterAutospacing="0" w:line="240" w:lineRule="auto"/>
              <w:jc w:val="center"/>
              <w:rPr>
                <w:b/>
                <w:color w:val="auto"/>
                <w:sz w:val="21"/>
                <w:szCs w:val="21"/>
              </w:rPr>
            </w:pPr>
          </w:p>
        </w:tc>
        <w:tc>
          <w:tcPr>
            <w:tcW w:w="6120" w:type="dxa"/>
            <w:vAlign w:val="center"/>
          </w:tcPr>
          <w:p>
            <w:pPr>
              <w:pStyle w:val="40"/>
              <w:spacing w:before="0" w:beforeAutospacing="0" w:after="0" w:afterAutospacing="0"/>
              <w:ind w:firstLine="420" w:firstLineChars="200"/>
              <w:rPr>
                <w:rStyle w:val="245"/>
                <w:rFonts w:hint="default"/>
                <w:color w:val="auto"/>
                <w:sz w:val="21"/>
                <w:szCs w:val="21"/>
              </w:rPr>
            </w:pPr>
            <w:r>
              <w:rPr>
                <w:rStyle w:val="245"/>
                <w:rFonts w:hint="default"/>
                <w:color w:val="auto"/>
                <w:sz w:val="21"/>
                <w:szCs w:val="21"/>
              </w:rPr>
              <w:t>（2）操作应严加密闭。要求有局部排风设施和全面通风。</w:t>
            </w:r>
          </w:p>
        </w:tc>
        <w:tc>
          <w:tcPr>
            <w:tcW w:w="2880" w:type="dxa"/>
            <w:vAlign w:val="center"/>
          </w:tcPr>
          <w:p>
            <w:pPr>
              <w:rPr>
                <w:rStyle w:val="245"/>
                <w:rFonts w:hint="default"/>
                <w:color w:val="auto"/>
                <w:sz w:val="21"/>
                <w:szCs w:val="21"/>
                <w:lang w:eastAsia="zh-CN"/>
              </w:rPr>
            </w:pPr>
            <w:r>
              <w:rPr>
                <w:rStyle w:val="245"/>
                <w:rFonts w:hint="default"/>
                <w:color w:val="auto"/>
                <w:sz w:val="21"/>
                <w:szCs w:val="21"/>
              </w:rPr>
              <w:t>在</w:t>
            </w:r>
            <w:r>
              <w:rPr>
                <w:rStyle w:val="245"/>
                <w:rFonts w:hint="default"/>
                <w:color w:val="auto"/>
                <w:sz w:val="21"/>
                <w:szCs w:val="21"/>
                <w:lang w:eastAsia="zh-CN"/>
              </w:rPr>
              <w:t>苯乙烯</w:t>
            </w:r>
            <w:r>
              <w:rPr>
                <w:rStyle w:val="245"/>
                <w:rFonts w:hint="default"/>
                <w:color w:val="auto"/>
                <w:sz w:val="21"/>
                <w:szCs w:val="21"/>
              </w:rPr>
              <w:t>储存和使用场所</w:t>
            </w:r>
            <w:r>
              <w:rPr>
                <w:rStyle w:val="245"/>
                <w:rFonts w:hint="default"/>
                <w:color w:val="auto"/>
                <w:sz w:val="21"/>
                <w:szCs w:val="21"/>
                <w:lang w:eastAsia="zh-CN"/>
              </w:rPr>
              <w:t>中的排风措施符合要求，仓库内为全面通风，生产车间则为全面通风和设有局部排风设施。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87" w:hRule="atLeast"/>
        </w:trPr>
        <w:tc>
          <w:tcPr>
            <w:tcW w:w="648" w:type="dxa"/>
            <w:vMerge w:val="continue"/>
            <w:vAlign w:val="center"/>
          </w:tcPr>
          <w:p>
            <w:pPr>
              <w:pStyle w:val="489"/>
              <w:widowControl w:val="0"/>
              <w:spacing w:before="0" w:beforeAutospacing="0" w:after="0" w:afterAutospacing="0" w:line="240" w:lineRule="auto"/>
              <w:jc w:val="center"/>
              <w:rPr>
                <w:b/>
                <w:color w:val="auto"/>
                <w:sz w:val="21"/>
                <w:szCs w:val="21"/>
              </w:rPr>
            </w:pPr>
          </w:p>
        </w:tc>
        <w:tc>
          <w:tcPr>
            <w:tcW w:w="6120" w:type="dxa"/>
            <w:vAlign w:val="center"/>
          </w:tcPr>
          <w:p>
            <w:pPr>
              <w:pStyle w:val="40"/>
              <w:spacing w:before="0" w:beforeAutospacing="0" w:after="0" w:afterAutospacing="0"/>
              <w:ind w:firstLine="420" w:firstLineChars="200"/>
              <w:rPr>
                <w:rStyle w:val="245"/>
                <w:rFonts w:hint="default"/>
                <w:color w:val="auto"/>
                <w:sz w:val="21"/>
                <w:szCs w:val="21"/>
              </w:rPr>
            </w:pPr>
            <w:r>
              <w:rPr>
                <w:rStyle w:val="245"/>
                <w:rFonts w:hint="default"/>
                <w:color w:val="auto"/>
                <w:sz w:val="21"/>
                <w:szCs w:val="21"/>
              </w:rPr>
              <w:t>（3）设置固定式可燃气体报警器，或配备便携式可燃气体报警器，宜增设有毒气体报警仪。选用屏蔽泵或磁力泵等无泄漏泵来输送本介质。苯乙烯储罐采取人工脱水方式时，应增配检测有毒气体检测报警仪（固定式或便携式）。采样宜采用循环密闭采样系统。使用防爆型的通风系统和设备，穿工作服，戴防护手套。空气中浓度超标时，佩戴防毒面具。紧急事态抢救或撤离时，佩戴正压自给式空气呼吸器。在作业现场应提供安全淋浴和洗眼设备。安全喷淋、洗眼器应在生产装置开车时进行校验。工作场所严禁吸烟。</w:t>
            </w:r>
          </w:p>
        </w:tc>
        <w:tc>
          <w:tcPr>
            <w:tcW w:w="2880" w:type="dxa"/>
            <w:vAlign w:val="center"/>
          </w:tcPr>
          <w:p>
            <w:pPr>
              <w:rPr>
                <w:rStyle w:val="245"/>
                <w:rFonts w:hint="default"/>
                <w:color w:val="auto"/>
                <w:sz w:val="21"/>
                <w:szCs w:val="21"/>
                <w:lang w:eastAsia="zh-CN"/>
              </w:rPr>
            </w:pPr>
            <w:r>
              <w:rPr>
                <w:rStyle w:val="245"/>
                <w:rFonts w:hint="default"/>
                <w:color w:val="auto"/>
                <w:sz w:val="21"/>
                <w:szCs w:val="21"/>
                <w:lang w:eastAsia="zh-CN"/>
              </w:rPr>
              <w:t>苯乙烯的使用、储存场所中安装的可燃气体报警装置数量及距离符合相关要求，工作人员配备有防毒面具、手套、工作服等个人防护永平，按要求配置有洗眼喷淋装置。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57" w:hRule="atLeast"/>
        </w:trPr>
        <w:tc>
          <w:tcPr>
            <w:tcW w:w="648" w:type="dxa"/>
            <w:vMerge w:val="continue"/>
            <w:vAlign w:val="center"/>
          </w:tcPr>
          <w:p>
            <w:pPr>
              <w:pStyle w:val="489"/>
              <w:widowControl w:val="0"/>
              <w:spacing w:before="0" w:beforeAutospacing="0" w:after="0" w:afterAutospacing="0" w:line="240" w:lineRule="auto"/>
              <w:jc w:val="center"/>
              <w:rPr>
                <w:b/>
                <w:color w:val="auto"/>
                <w:sz w:val="21"/>
                <w:szCs w:val="21"/>
              </w:rPr>
            </w:pPr>
          </w:p>
        </w:tc>
        <w:tc>
          <w:tcPr>
            <w:tcW w:w="6120" w:type="dxa"/>
            <w:vAlign w:val="center"/>
          </w:tcPr>
          <w:p>
            <w:pPr>
              <w:pStyle w:val="40"/>
              <w:spacing w:before="0" w:beforeAutospacing="0" w:after="0" w:afterAutospacing="0"/>
              <w:ind w:firstLine="420" w:firstLineChars="200"/>
              <w:rPr>
                <w:rStyle w:val="245"/>
                <w:rFonts w:hint="default"/>
                <w:color w:val="auto"/>
                <w:sz w:val="21"/>
                <w:szCs w:val="21"/>
              </w:rPr>
            </w:pPr>
            <w:r>
              <w:rPr>
                <w:rStyle w:val="245"/>
                <w:rFonts w:hint="default"/>
                <w:color w:val="auto"/>
                <w:sz w:val="21"/>
                <w:szCs w:val="21"/>
              </w:rPr>
              <w:t>（4）储罐等容器和设备应设置液位计、温度计，并应装有带液位、温度远传记录和报警功能的安全装置。</w:t>
            </w:r>
          </w:p>
        </w:tc>
        <w:tc>
          <w:tcPr>
            <w:tcW w:w="2880" w:type="dxa"/>
            <w:vAlign w:val="center"/>
          </w:tcPr>
          <w:p>
            <w:pPr>
              <w:rPr>
                <w:rStyle w:val="245"/>
                <w:rFonts w:hint="default"/>
                <w:color w:val="auto"/>
                <w:sz w:val="21"/>
                <w:szCs w:val="21"/>
                <w:lang w:eastAsia="zh-CN"/>
              </w:rPr>
            </w:pPr>
            <w:r>
              <w:rPr>
                <w:rStyle w:val="245"/>
                <w:rFonts w:hint="default"/>
                <w:color w:val="auto"/>
                <w:sz w:val="21"/>
                <w:szCs w:val="21"/>
                <w:lang w:eastAsia="zh-CN"/>
              </w:rPr>
              <w:t>该公司苯乙烯为桶装储存。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23" w:hRule="atLeast"/>
        </w:trPr>
        <w:tc>
          <w:tcPr>
            <w:tcW w:w="648" w:type="dxa"/>
            <w:vMerge w:val="continue"/>
            <w:vAlign w:val="center"/>
          </w:tcPr>
          <w:p>
            <w:pPr>
              <w:pStyle w:val="489"/>
              <w:widowControl w:val="0"/>
              <w:spacing w:before="0" w:beforeAutospacing="0" w:after="0" w:afterAutospacing="0" w:line="240" w:lineRule="auto"/>
              <w:jc w:val="center"/>
              <w:rPr>
                <w:b/>
                <w:color w:val="auto"/>
                <w:sz w:val="21"/>
                <w:szCs w:val="21"/>
              </w:rPr>
            </w:pPr>
          </w:p>
        </w:tc>
        <w:tc>
          <w:tcPr>
            <w:tcW w:w="6120" w:type="dxa"/>
            <w:vAlign w:val="center"/>
          </w:tcPr>
          <w:p>
            <w:pPr>
              <w:pStyle w:val="40"/>
              <w:spacing w:before="0" w:beforeAutospacing="0" w:after="0" w:afterAutospacing="0"/>
              <w:ind w:firstLine="420" w:firstLineChars="200"/>
              <w:rPr>
                <w:rStyle w:val="245"/>
                <w:rFonts w:hint="default"/>
                <w:color w:val="auto"/>
                <w:sz w:val="21"/>
                <w:szCs w:val="21"/>
              </w:rPr>
            </w:pPr>
            <w:r>
              <w:rPr>
                <w:rStyle w:val="245"/>
                <w:rFonts w:hint="default"/>
                <w:color w:val="auto"/>
                <w:sz w:val="21"/>
                <w:szCs w:val="21"/>
              </w:rPr>
              <w:t>（5）生产中为防止自聚所用到的阻聚剂属于高毒或剧毒类化学品，加注时除应采用自吸式的设备或装置外，还应在加注岗位附近设置冲洗设施以备应急之用。对加注的阻聚剂的安全和职业卫生防护知识应进行针对性培训。</w:t>
            </w:r>
          </w:p>
        </w:tc>
        <w:tc>
          <w:tcPr>
            <w:tcW w:w="2880" w:type="dxa"/>
            <w:vAlign w:val="center"/>
          </w:tcPr>
          <w:p>
            <w:pPr>
              <w:jc w:val="both"/>
              <w:rPr>
                <w:rStyle w:val="245"/>
                <w:rFonts w:hint="default"/>
                <w:color w:val="auto"/>
                <w:sz w:val="21"/>
                <w:szCs w:val="21"/>
                <w:lang w:eastAsia="zh-CN"/>
              </w:rPr>
            </w:pPr>
            <w:r>
              <w:rPr>
                <w:rStyle w:val="245"/>
                <w:rFonts w:hint="default"/>
                <w:color w:val="auto"/>
                <w:sz w:val="21"/>
                <w:szCs w:val="21"/>
                <w:lang w:eastAsia="zh-CN"/>
              </w:rPr>
              <w:t>该公司生产工艺不涉及苯乙烯的生产。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2" w:hRule="atLeast"/>
        </w:trPr>
        <w:tc>
          <w:tcPr>
            <w:tcW w:w="648" w:type="dxa"/>
            <w:vMerge w:val="continue"/>
            <w:vAlign w:val="center"/>
          </w:tcPr>
          <w:p>
            <w:pPr>
              <w:pStyle w:val="489"/>
              <w:widowControl w:val="0"/>
              <w:spacing w:before="0" w:beforeAutospacing="0" w:after="0" w:afterAutospacing="0" w:line="240" w:lineRule="auto"/>
              <w:jc w:val="center"/>
              <w:rPr>
                <w:b/>
                <w:color w:val="auto"/>
                <w:sz w:val="21"/>
                <w:szCs w:val="21"/>
              </w:rPr>
            </w:pPr>
          </w:p>
        </w:tc>
        <w:tc>
          <w:tcPr>
            <w:tcW w:w="6120" w:type="dxa"/>
            <w:vAlign w:val="center"/>
          </w:tcPr>
          <w:p>
            <w:pPr>
              <w:pStyle w:val="40"/>
              <w:spacing w:before="0" w:beforeAutospacing="0" w:after="0" w:afterAutospacing="0"/>
              <w:ind w:firstLine="420" w:firstLineChars="200"/>
              <w:rPr>
                <w:rStyle w:val="245"/>
                <w:rFonts w:hint="default"/>
                <w:color w:val="auto"/>
                <w:sz w:val="21"/>
                <w:szCs w:val="21"/>
              </w:rPr>
            </w:pPr>
            <w:r>
              <w:rPr>
                <w:rStyle w:val="245"/>
                <w:rFonts w:hint="default"/>
                <w:color w:val="auto"/>
                <w:sz w:val="21"/>
                <w:szCs w:val="21"/>
              </w:rPr>
              <w:t>与氧化剂、酸类等反应。能发生聚合放热，避免接触光照、接触空气。</w:t>
            </w:r>
          </w:p>
        </w:tc>
        <w:tc>
          <w:tcPr>
            <w:tcW w:w="2880" w:type="dxa"/>
            <w:vAlign w:val="center"/>
          </w:tcPr>
          <w:p>
            <w:pPr>
              <w:jc w:val="both"/>
              <w:rPr>
                <w:rStyle w:val="245"/>
                <w:rFonts w:hint="default"/>
                <w:color w:val="auto"/>
                <w:sz w:val="21"/>
                <w:szCs w:val="21"/>
                <w:lang w:eastAsia="zh-CN"/>
              </w:rPr>
            </w:pPr>
            <w:r>
              <w:rPr>
                <w:rStyle w:val="245"/>
                <w:rFonts w:hint="default"/>
                <w:color w:val="auto"/>
                <w:sz w:val="21"/>
                <w:szCs w:val="21"/>
                <w:lang w:eastAsia="zh-CN"/>
              </w:rPr>
              <w:t>苯乙烯不与氧化剂、酸类等禁忌物混存储存。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8" w:hRule="atLeast"/>
        </w:trPr>
        <w:tc>
          <w:tcPr>
            <w:tcW w:w="648" w:type="dxa"/>
            <w:vMerge w:val="continue"/>
            <w:vAlign w:val="center"/>
          </w:tcPr>
          <w:p>
            <w:pPr>
              <w:pStyle w:val="489"/>
              <w:widowControl w:val="0"/>
              <w:spacing w:before="0" w:beforeAutospacing="0" w:after="0" w:afterAutospacing="0" w:line="240" w:lineRule="auto"/>
              <w:jc w:val="center"/>
              <w:rPr>
                <w:b/>
                <w:color w:val="auto"/>
                <w:sz w:val="21"/>
                <w:szCs w:val="21"/>
              </w:rPr>
            </w:pPr>
          </w:p>
        </w:tc>
        <w:tc>
          <w:tcPr>
            <w:tcW w:w="6120" w:type="dxa"/>
            <w:vAlign w:val="center"/>
          </w:tcPr>
          <w:p>
            <w:pPr>
              <w:pStyle w:val="40"/>
              <w:jc w:val="both"/>
              <w:rPr>
                <w:rStyle w:val="245"/>
                <w:rFonts w:hint="default"/>
                <w:b/>
                <w:color w:val="auto"/>
                <w:sz w:val="21"/>
                <w:szCs w:val="21"/>
              </w:rPr>
            </w:pPr>
            <w:r>
              <w:rPr>
                <w:rStyle w:val="245"/>
                <w:rFonts w:hint="default"/>
                <w:b/>
                <w:color w:val="auto"/>
                <w:sz w:val="21"/>
                <w:szCs w:val="21"/>
              </w:rPr>
              <w:t>二、【特殊要求】</w:t>
            </w:r>
          </w:p>
        </w:tc>
        <w:tc>
          <w:tcPr>
            <w:tcW w:w="2880" w:type="dxa"/>
            <w:vAlign w:val="center"/>
          </w:tcPr>
          <w:p>
            <w:pPr>
              <w:rPr>
                <w:rStyle w:val="245"/>
                <w:rFonts w:hint="default"/>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5" w:hRule="atLeast"/>
        </w:trPr>
        <w:tc>
          <w:tcPr>
            <w:tcW w:w="648" w:type="dxa"/>
            <w:vMerge w:val="continue"/>
            <w:vAlign w:val="center"/>
          </w:tcPr>
          <w:p>
            <w:pPr>
              <w:pStyle w:val="489"/>
              <w:widowControl w:val="0"/>
              <w:spacing w:before="0" w:beforeAutospacing="0" w:after="0" w:afterAutospacing="0" w:line="240" w:lineRule="auto"/>
              <w:jc w:val="center"/>
              <w:rPr>
                <w:b/>
                <w:color w:val="auto"/>
                <w:sz w:val="21"/>
                <w:szCs w:val="21"/>
              </w:rPr>
            </w:pPr>
          </w:p>
        </w:tc>
        <w:tc>
          <w:tcPr>
            <w:tcW w:w="6120" w:type="dxa"/>
            <w:vAlign w:val="center"/>
          </w:tcPr>
          <w:p>
            <w:pPr>
              <w:pStyle w:val="40"/>
              <w:jc w:val="both"/>
              <w:rPr>
                <w:rStyle w:val="245"/>
                <w:rFonts w:hint="default"/>
                <w:color w:val="auto"/>
                <w:sz w:val="21"/>
                <w:szCs w:val="21"/>
              </w:rPr>
            </w:pPr>
            <w:r>
              <w:rPr>
                <w:rStyle w:val="245"/>
                <w:rFonts w:hint="default"/>
                <w:color w:val="auto"/>
                <w:sz w:val="21"/>
                <w:szCs w:val="21"/>
              </w:rPr>
              <w:t>（一）【操作安全】</w:t>
            </w:r>
          </w:p>
        </w:tc>
        <w:tc>
          <w:tcPr>
            <w:tcW w:w="2880" w:type="dxa"/>
            <w:vAlign w:val="center"/>
          </w:tcPr>
          <w:p>
            <w:pPr>
              <w:rPr>
                <w:rStyle w:val="245"/>
                <w:rFonts w:hint="default"/>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8" w:hRule="atLeast"/>
        </w:trPr>
        <w:tc>
          <w:tcPr>
            <w:tcW w:w="648" w:type="dxa"/>
            <w:vMerge w:val="continue"/>
            <w:vAlign w:val="center"/>
          </w:tcPr>
          <w:p>
            <w:pPr>
              <w:pStyle w:val="489"/>
              <w:widowControl w:val="0"/>
              <w:spacing w:before="0" w:beforeAutospacing="0" w:after="0" w:afterAutospacing="0" w:line="240" w:lineRule="auto"/>
              <w:jc w:val="center"/>
              <w:rPr>
                <w:b/>
                <w:color w:val="auto"/>
                <w:sz w:val="21"/>
                <w:szCs w:val="21"/>
              </w:rPr>
            </w:pPr>
          </w:p>
        </w:tc>
        <w:tc>
          <w:tcPr>
            <w:tcW w:w="6120" w:type="dxa"/>
            <w:vAlign w:val="center"/>
          </w:tcPr>
          <w:p>
            <w:pPr>
              <w:pStyle w:val="40"/>
              <w:spacing w:before="0" w:beforeAutospacing="0" w:after="0" w:afterAutospacing="0"/>
              <w:ind w:firstLine="420" w:firstLineChars="200"/>
              <w:rPr>
                <w:rStyle w:val="245"/>
                <w:rFonts w:hint="default"/>
                <w:color w:val="auto"/>
                <w:sz w:val="21"/>
                <w:szCs w:val="21"/>
              </w:rPr>
            </w:pPr>
            <w:r>
              <w:rPr>
                <w:rStyle w:val="245"/>
                <w:rFonts w:hint="default"/>
                <w:color w:val="auto"/>
                <w:sz w:val="21"/>
                <w:szCs w:val="21"/>
              </w:rPr>
              <w:t>（1）设置必要的安全联锁及紧急排放系统、有毒有害易燃物质检测报警系统以及正常及事故通风设施，通风设施应每年进行一次检查。</w:t>
            </w:r>
          </w:p>
        </w:tc>
        <w:tc>
          <w:tcPr>
            <w:tcW w:w="2880" w:type="dxa"/>
            <w:vAlign w:val="center"/>
          </w:tcPr>
          <w:p>
            <w:pPr>
              <w:rPr>
                <w:rStyle w:val="245"/>
                <w:rFonts w:hint="default"/>
                <w:color w:val="auto"/>
                <w:sz w:val="21"/>
                <w:szCs w:val="21"/>
                <w:lang w:eastAsia="zh-CN"/>
              </w:rPr>
            </w:pPr>
            <w:r>
              <w:rPr>
                <w:rStyle w:val="245"/>
                <w:rFonts w:hint="default"/>
                <w:color w:val="auto"/>
                <w:sz w:val="21"/>
                <w:szCs w:val="21"/>
                <w:lang w:eastAsia="zh-CN"/>
              </w:rPr>
              <w:t>苯乙烯的使用、储存场所设有可燃气体报警装置，仓库内为全面通风，生产车间内为全面通风和局部机械排风。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6" w:hRule="atLeast"/>
        </w:trPr>
        <w:tc>
          <w:tcPr>
            <w:tcW w:w="648" w:type="dxa"/>
            <w:vMerge w:val="continue"/>
            <w:vAlign w:val="center"/>
          </w:tcPr>
          <w:p>
            <w:pPr>
              <w:pStyle w:val="489"/>
              <w:widowControl w:val="0"/>
              <w:spacing w:before="0" w:beforeAutospacing="0" w:after="0" w:afterAutospacing="0" w:line="240" w:lineRule="auto"/>
              <w:jc w:val="center"/>
              <w:rPr>
                <w:b/>
                <w:color w:val="auto"/>
                <w:sz w:val="21"/>
                <w:szCs w:val="21"/>
              </w:rPr>
            </w:pPr>
          </w:p>
        </w:tc>
        <w:tc>
          <w:tcPr>
            <w:tcW w:w="6120" w:type="dxa"/>
            <w:vAlign w:val="center"/>
          </w:tcPr>
          <w:p>
            <w:pPr>
              <w:pStyle w:val="40"/>
              <w:spacing w:before="0" w:beforeAutospacing="0" w:after="0" w:afterAutospacing="0"/>
              <w:ind w:firstLine="420" w:firstLineChars="200"/>
              <w:rPr>
                <w:rStyle w:val="245"/>
                <w:rFonts w:hint="default"/>
                <w:color w:val="auto"/>
                <w:sz w:val="21"/>
                <w:szCs w:val="21"/>
              </w:rPr>
            </w:pPr>
            <w:r>
              <w:rPr>
                <w:rStyle w:val="245"/>
                <w:rFonts w:hint="default"/>
                <w:color w:val="auto"/>
                <w:sz w:val="21"/>
                <w:szCs w:val="21"/>
              </w:rPr>
              <w:t>（2）在传送过程中，容器、管道必须接地和跨接，防止产生静电。</w:t>
            </w:r>
          </w:p>
        </w:tc>
        <w:tc>
          <w:tcPr>
            <w:tcW w:w="2880" w:type="dxa"/>
            <w:vAlign w:val="center"/>
          </w:tcPr>
          <w:p>
            <w:pPr>
              <w:rPr>
                <w:rStyle w:val="245"/>
                <w:rFonts w:hint="default"/>
                <w:color w:val="auto"/>
                <w:sz w:val="21"/>
                <w:szCs w:val="21"/>
                <w:lang w:eastAsia="zh-CN"/>
              </w:rPr>
            </w:pPr>
            <w:r>
              <w:rPr>
                <w:rStyle w:val="245"/>
                <w:rFonts w:hint="default"/>
                <w:color w:val="auto"/>
                <w:sz w:val="21"/>
                <w:szCs w:val="21"/>
                <w:lang w:eastAsia="zh-CN"/>
              </w:rPr>
              <w:t>生产过程中，原料的运输为人工搬运，生产设备均有静电接地，且符合防爆要求。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4" w:hRule="atLeast"/>
        </w:trPr>
        <w:tc>
          <w:tcPr>
            <w:tcW w:w="648" w:type="dxa"/>
            <w:vMerge w:val="continue"/>
            <w:vAlign w:val="center"/>
          </w:tcPr>
          <w:p>
            <w:pPr>
              <w:pStyle w:val="489"/>
              <w:widowControl w:val="0"/>
              <w:spacing w:before="0" w:beforeAutospacing="0" w:after="0" w:afterAutospacing="0" w:line="240" w:lineRule="auto"/>
              <w:jc w:val="center"/>
              <w:rPr>
                <w:b/>
                <w:color w:val="auto"/>
                <w:sz w:val="21"/>
                <w:szCs w:val="21"/>
              </w:rPr>
            </w:pPr>
          </w:p>
        </w:tc>
        <w:tc>
          <w:tcPr>
            <w:tcW w:w="6120" w:type="dxa"/>
            <w:vAlign w:val="center"/>
          </w:tcPr>
          <w:p>
            <w:pPr>
              <w:pStyle w:val="40"/>
              <w:spacing w:before="0" w:beforeAutospacing="0" w:after="0" w:afterAutospacing="0"/>
              <w:ind w:firstLine="420" w:firstLineChars="200"/>
              <w:rPr>
                <w:rStyle w:val="245"/>
                <w:rFonts w:hint="default"/>
                <w:color w:val="auto"/>
                <w:sz w:val="21"/>
                <w:szCs w:val="21"/>
              </w:rPr>
            </w:pPr>
            <w:r>
              <w:rPr>
                <w:rStyle w:val="245"/>
                <w:rFonts w:hint="default"/>
                <w:color w:val="auto"/>
                <w:sz w:val="21"/>
                <w:szCs w:val="21"/>
              </w:rPr>
              <w:t>（3）苯乙烯物料有自聚性质，因此要注意对操作温度的检查和按规定添加阻聚剂，防止物料发生高温自聚而堵塞设备和管道。</w:t>
            </w:r>
          </w:p>
        </w:tc>
        <w:tc>
          <w:tcPr>
            <w:tcW w:w="2880" w:type="dxa"/>
            <w:vAlign w:val="center"/>
          </w:tcPr>
          <w:p>
            <w:pPr>
              <w:rPr>
                <w:rStyle w:val="245"/>
                <w:rFonts w:hint="default"/>
                <w:color w:val="auto"/>
                <w:sz w:val="21"/>
                <w:szCs w:val="21"/>
              </w:rPr>
            </w:pPr>
            <w:r>
              <w:rPr>
                <w:rStyle w:val="245"/>
                <w:rFonts w:hint="default"/>
                <w:color w:val="auto"/>
                <w:sz w:val="21"/>
                <w:szCs w:val="21"/>
              </w:rPr>
              <w:t>整个生产都在常温常压下生产，没有调温环境。符合要求。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648" w:type="dxa"/>
            <w:vMerge w:val="continue"/>
            <w:vAlign w:val="center"/>
          </w:tcPr>
          <w:p>
            <w:pPr>
              <w:pStyle w:val="489"/>
              <w:widowControl w:val="0"/>
              <w:spacing w:before="0" w:beforeAutospacing="0" w:after="0" w:afterAutospacing="0" w:line="240" w:lineRule="auto"/>
              <w:jc w:val="center"/>
              <w:rPr>
                <w:b/>
                <w:color w:val="auto"/>
                <w:sz w:val="21"/>
                <w:szCs w:val="21"/>
              </w:rPr>
            </w:pPr>
          </w:p>
        </w:tc>
        <w:tc>
          <w:tcPr>
            <w:tcW w:w="6120" w:type="dxa"/>
            <w:vAlign w:val="center"/>
          </w:tcPr>
          <w:p>
            <w:pPr>
              <w:pStyle w:val="40"/>
              <w:jc w:val="both"/>
              <w:rPr>
                <w:rStyle w:val="245"/>
                <w:rFonts w:hint="default"/>
                <w:color w:val="auto"/>
                <w:sz w:val="21"/>
                <w:szCs w:val="21"/>
              </w:rPr>
            </w:pPr>
            <w:r>
              <w:rPr>
                <w:rStyle w:val="245"/>
                <w:rFonts w:hint="default"/>
                <w:color w:val="auto"/>
                <w:sz w:val="21"/>
                <w:szCs w:val="21"/>
              </w:rPr>
              <w:t>（二）【储存安全】</w:t>
            </w:r>
          </w:p>
        </w:tc>
        <w:tc>
          <w:tcPr>
            <w:tcW w:w="2880" w:type="dxa"/>
            <w:vAlign w:val="center"/>
          </w:tcPr>
          <w:p>
            <w:pPr>
              <w:rPr>
                <w:rStyle w:val="245"/>
                <w:rFonts w:hint="default"/>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0" w:hRule="atLeast"/>
        </w:trPr>
        <w:tc>
          <w:tcPr>
            <w:tcW w:w="648" w:type="dxa"/>
            <w:vMerge w:val="continue"/>
            <w:vAlign w:val="center"/>
          </w:tcPr>
          <w:p>
            <w:pPr>
              <w:pStyle w:val="489"/>
              <w:widowControl w:val="0"/>
              <w:spacing w:before="0" w:beforeAutospacing="0" w:after="0" w:afterAutospacing="0" w:line="240" w:lineRule="auto"/>
              <w:jc w:val="center"/>
              <w:rPr>
                <w:b/>
                <w:color w:val="auto"/>
                <w:sz w:val="21"/>
                <w:szCs w:val="21"/>
              </w:rPr>
            </w:pPr>
          </w:p>
        </w:tc>
        <w:tc>
          <w:tcPr>
            <w:tcW w:w="6120" w:type="dxa"/>
            <w:vAlign w:val="center"/>
          </w:tcPr>
          <w:p>
            <w:pPr>
              <w:pStyle w:val="40"/>
              <w:spacing w:before="0" w:beforeAutospacing="0" w:after="0" w:afterAutospacing="0"/>
              <w:ind w:firstLine="420" w:firstLineChars="200"/>
              <w:rPr>
                <w:rStyle w:val="245"/>
                <w:rFonts w:hint="default"/>
                <w:color w:val="auto"/>
                <w:sz w:val="21"/>
                <w:szCs w:val="21"/>
              </w:rPr>
            </w:pPr>
            <w:r>
              <w:rPr>
                <w:rStyle w:val="245"/>
                <w:rFonts w:hint="default"/>
                <w:color w:val="auto"/>
                <w:sz w:val="21"/>
                <w:szCs w:val="21"/>
              </w:rPr>
              <w:t>（1）通常加有稳定剂。储存于阴凉、通风仓库内。远离火种、热源。库房温度不宜超过37℃。防止阳光直射。包装要求密封，不可与空气接触。不宜大量或久存。</w:t>
            </w:r>
          </w:p>
        </w:tc>
        <w:tc>
          <w:tcPr>
            <w:tcW w:w="2880" w:type="dxa"/>
            <w:vAlign w:val="center"/>
          </w:tcPr>
          <w:p>
            <w:pPr>
              <w:rPr>
                <w:rStyle w:val="245"/>
                <w:rFonts w:hint="default"/>
                <w:color w:val="auto"/>
                <w:sz w:val="21"/>
                <w:szCs w:val="21"/>
              </w:rPr>
            </w:pPr>
            <w:r>
              <w:rPr>
                <w:rStyle w:val="245"/>
                <w:rFonts w:hint="default"/>
                <w:color w:val="auto"/>
                <w:sz w:val="21"/>
                <w:szCs w:val="21"/>
              </w:rPr>
              <w:t>储存于阴凉</w:t>
            </w:r>
            <w:r>
              <w:rPr>
                <w:rStyle w:val="245"/>
                <w:rFonts w:hint="default"/>
                <w:color w:val="auto"/>
                <w:sz w:val="21"/>
                <w:szCs w:val="21"/>
                <w:lang w:eastAsia="zh-CN"/>
              </w:rPr>
              <w:t>、</w:t>
            </w:r>
            <w:r>
              <w:rPr>
                <w:rStyle w:val="245"/>
                <w:rFonts w:hint="default"/>
                <w:color w:val="auto"/>
                <w:sz w:val="21"/>
                <w:szCs w:val="21"/>
              </w:rPr>
              <w:t>通风的甲类原料</w:t>
            </w:r>
            <w:r>
              <w:rPr>
                <w:rStyle w:val="245"/>
                <w:rFonts w:hint="default"/>
                <w:color w:val="auto"/>
                <w:sz w:val="21"/>
                <w:szCs w:val="21"/>
                <w:lang w:eastAsia="zh-CN"/>
              </w:rPr>
              <w:t>仓库</w:t>
            </w:r>
            <w:r>
              <w:rPr>
                <w:rStyle w:val="245"/>
                <w:rFonts w:hint="default"/>
                <w:color w:val="auto"/>
                <w:sz w:val="21"/>
                <w:szCs w:val="21"/>
              </w:rPr>
              <w:t>内。远离火种，热源。库房内温度不超过30℃。</w:t>
            </w:r>
            <w:r>
              <w:rPr>
                <w:rStyle w:val="245"/>
                <w:rFonts w:hint="default"/>
                <w:color w:val="auto"/>
                <w:sz w:val="21"/>
                <w:szCs w:val="21"/>
                <w:lang w:eastAsia="zh-CN"/>
              </w:rPr>
              <w:t>苯乙烯</w:t>
            </w:r>
            <w:r>
              <w:rPr>
                <w:rStyle w:val="245"/>
                <w:rFonts w:hint="default"/>
                <w:color w:val="auto"/>
                <w:sz w:val="21"/>
                <w:szCs w:val="21"/>
              </w:rPr>
              <w:t>装在200L的密封性能好的铁桶内。符合要求。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96" w:hRule="atLeast"/>
        </w:trPr>
        <w:tc>
          <w:tcPr>
            <w:tcW w:w="648" w:type="dxa"/>
            <w:vMerge w:val="continue"/>
            <w:vAlign w:val="center"/>
          </w:tcPr>
          <w:p>
            <w:pPr>
              <w:pStyle w:val="489"/>
              <w:widowControl w:val="0"/>
              <w:spacing w:before="0" w:beforeAutospacing="0" w:after="0" w:afterAutospacing="0" w:line="240" w:lineRule="auto"/>
              <w:jc w:val="center"/>
              <w:rPr>
                <w:b/>
                <w:color w:val="auto"/>
                <w:sz w:val="21"/>
                <w:szCs w:val="21"/>
              </w:rPr>
            </w:pPr>
          </w:p>
        </w:tc>
        <w:tc>
          <w:tcPr>
            <w:tcW w:w="6120" w:type="dxa"/>
            <w:vAlign w:val="center"/>
          </w:tcPr>
          <w:p>
            <w:pPr>
              <w:pStyle w:val="40"/>
              <w:spacing w:before="0" w:beforeAutospacing="0" w:after="0" w:afterAutospacing="0"/>
              <w:ind w:firstLine="420" w:firstLineChars="200"/>
              <w:rPr>
                <w:rStyle w:val="245"/>
                <w:rFonts w:hint="default"/>
                <w:color w:val="auto"/>
                <w:sz w:val="21"/>
                <w:szCs w:val="21"/>
              </w:rPr>
            </w:pPr>
            <w:r>
              <w:rPr>
                <w:rStyle w:val="245"/>
                <w:rFonts w:hint="default"/>
                <w:color w:val="auto"/>
                <w:sz w:val="21"/>
                <w:szCs w:val="21"/>
              </w:rPr>
              <w:t>（2）应与氧化剂、酸类分开存放。储存间内的照明、通风等设施应采用防爆型。罐储时要有防火防爆技术措施。禁止使用易产生火花的机械设备和工具。灌装时应注意流速（不超过3m/s），且有接地装置，防止静电积聚。搬运时要轻装轻卸，防止包装及容器损坏。</w:t>
            </w:r>
          </w:p>
        </w:tc>
        <w:tc>
          <w:tcPr>
            <w:tcW w:w="2880" w:type="dxa"/>
            <w:vAlign w:val="center"/>
          </w:tcPr>
          <w:p>
            <w:pPr>
              <w:rPr>
                <w:rStyle w:val="245"/>
                <w:rFonts w:hint="default"/>
                <w:color w:val="auto"/>
                <w:sz w:val="21"/>
                <w:szCs w:val="21"/>
              </w:rPr>
            </w:pPr>
            <w:r>
              <w:rPr>
                <w:rStyle w:val="245"/>
                <w:rFonts w:hint="default"/>
                <w:color w:val="auto"/>
                <w:sz w:val="21"/>
                <w:szCs w:val="21"/>
              </w:rPr>
              <w:t>生产区和储存区没有氧化剂、酸类、碱类、食用化学品。库房内没有安装电器设施。按要求配备有4kg干粉灭火器，消防器材。禁止使用易产生火花的机械设备和工具。每天检查仓库，备有泄漏应急处理设备和合适的收容材料。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7" w:hRule="atLeast"/>
        </w:trPr>
        <w:tc>
          <w:tcPr>
            <w:tcW w:w="648" w:type="dxa"/>
            <w:vMerge w:val="continue"/>
            <w:vAlign w:val="center"/>
          </w:tcPr>
          <w:p>
            <w:pPr>
              <w:pStyle w:val="489"/>
              <w:widowControl w:val="0"/>
              <w:spacing w:before="0" w:beforeAutospacing="0" w:after="0" w:afterAutospacing="0" w:line="240" w:lineRule="auto"/>
              <w:jc w:val="center"/>
              <w:rPr>
                <w:b/>
                <w:color w:val="auto"/>
                <w:sz w:val="21"/>
                <w:szCs w:val="21"/>
              </w:rPr>
            </w:pPr>
          </w:p>
        </w:tc>
        <w:tc>
          <w:tcPr>
            <w:tcW w:w="6120" w:type="dxa"/>
            <w:vAlign w:val="center"/>
          </w:tcPr>
          <w:p>
            <w:pPr>
              <w:pStyle w:val="40"/>
              <w:spacing w:before="0" w:beforeAutospacing="0" w:after="0" w:afterAutospacing="0"/>
              <w:ind w:firstLine="420" w:firstLineChars="200"/>
              <w:rPr>
                <w:rStyle w:val="245"/>
                <w:rFonts w:hint="default"/>
                <w:color w:val="auto"/>
                <w:sz w:val="21"/>
                <w:szCs w:val="21"/>
              </w:rPr>
            </w:pPr>
            <w:r>
              <w:rPr>
                <w:rStyle w:val="245"/>
                <w:rFonts w:hint="default"/>
                <w:color w:val="auto"/>
                <w:sz w:val="21"/>
                <w:szCs w:val="21"/>
              </w:rPr>
              <w:t>（3）储罐宜采用氮封系统或者内浮顶，但采用内浮顶罐储存苯乙烯时应有相应的对策措施防范可能出现的苯乙烯自聚，并确保内浮盘良好的密封性能。生产装置重要岗位如罐区设置工业电视监控。储罐应设固定或移动式消防冷却水系统。</w:t>
            </w:r>
          </w:p>
        </w:tc>
        <w:tc>
          <w:tcPr>
            <w:tcW w:w="2880" w:type="dxa"/>
            <w:vAlign w:val="center"/>
          </w:tcPr>
          <w:p>
            <w:pPr>
              <w:jc w:val="both"/>
              <w:rPr>
                <w:rStyle w:val="245"/>
                <w:rFonts w:hint="default"/>
                <w:color w:val="auto"/>
                <w:sz w:val="21"/>
                <w:szCs w:val="21"/>
                <w:lang w:eastAsia="zh-CN"/>
              </w:rPr>
            </w:pPr>
            <w:r>
              <w:rPr>
                <w:rStyle w:val="245"/>
                <w:rFonts w:hint="default"/>
                <w:color w:val="auto"/>
                <w:sz w:val="21"/>
                <w:szCs w:val="21"/>
                <w:lang w:eastAsia="zh-CN"/>
              </w:rPr>
              <w:t>苯乙烯为桶装储存。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648" w:type="dxa"/>
            <w:vMerge w:val="continue"/>
            <w:vAlign w:val="center"/>
          </w:tcPr>
          <w:p>
            <w:pPr>
              <w:pStyle w:val="489"/>
              <w:widowControl w:val="0"/>
              <w:spacing w:before="0" w:beforeAutospacing="0" w:after="0" w:afterAutospacing="0" w:line="240" w:lineRule="auto"/>
              <w:jc w:val="center"/>
              <w:rPr>
                <w:b/>
                <w:color w:val="auto"/>
                <w:sz w:val="21"/>
                <w:szCs w:val="21"/>
              </w:rPr>
            </w:pPr>
          </w:p>
        </w:tc>
        <w:tc>
          <w:tcPr>
            <w:tcW w:w="6120" w:type="dxa"/>
            <w:vAlign w:val="center"/>
          </w:tcPr>
          <w:p>
            <w:pPr>
              <w:pStyle w:val="40"/>
              <w:ind w:firstLine="420" w:firstLineChars="200"/>
              <w:jc w:val="both"/>
              <w:rPr>
                <w:rStyle w:val="245"/>
                <w:rFonts w:hint="default"/>
                <w:color w:val="auto"/>
                <w:sz w:val="21"/>
                <w:szCs w:val="21"/>
              </w:rPr>
            </w:pPr>
            <w:r>
              <w:rPr>
                <w:rStyle w:val="245"/>
                <w:rFonts w:hint="default"/>
                <w:color w:val="auto"/>
                <w:sz w:val="21"/>
                <w:szCs w:val="21"/>
              </w:rPr>
              <w:t>三．【运输安全】</w:t>
            </w:r>
          </w:p>
        </w:tc>
        <w:tc>
          <w:tcPr>
            <w:tcW w:w="2880" w:type="dxa"/>
            <w:vAlign w:val="center"/>
          </w:tcPr>
          <w:p>
            <w:pPr>
              <w:rPr>
                <w:rStyle w:val="245"/>
                <w:rFonts w:hint="default"/>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4" w:hRule="atLeast"/>
        </w:trPr>
        <w:tc>
          <w:tcPr>
            <w:tcW w:w="648" w:type="dxa"/>
            <w:vMerge w:val="continue"/>
            <w:vAlign w:val="center"/>
          </w:tcPr>
          <w:p>
            <w:pPr>
              <w:pStyle w:val="489"/>
              <w:widowControl w:val="0"/>
              <w:spacing w:before="0" w:beforeAutospacing="0" w:after="0" w:afterAutospacing="0" w:line="240" w:lineRule="auto"/>
              <w:jc w:val="center"/>
              <w:rPr>
                <w:b/>
                <w:color w:val="auto"/>
                <w:sz w:val="21"/>
                <w:szCs w:val="21"/>
              </w:rPr>
            </w:pPr>
          </w:p>
        </w:tc>
        <w:tc>
          <w:tcPr>
            <w:tcW w:w="6120" w:type="dxa"/>
            <w:vAlign w:val="center"/>
          </w:tcPr>
          <w:p>
            <w:pPr>
              <w:pStyle w:val="40"/>
              <w:spacing w:before="0" w:beforeAutospacing="0" w:after="0" w:afterAutospacing="0"/>
              <w:ind w:firstLine="420" w:firstLineChars="200"/>
              <w:rPr>
                <w:rStyle w:val="245"/>
                <w:rFonts w:hint="default"/>
                <w:color w:val="auto"/>
                <w:sz w:val="21"/>
                <w:szCs w:val="21"/>
              </w:rPr>
            </w:pPr>
            <w:r>
              <w:rPr>
                <w:rStyle w:val="245"/>
                <w:rFonts w:hint="default"/>
                <w:color w:val="auto"/>
                <w:sz w:val="21"/>
                <w:szCs w:val="21"/>
              </w:rPr>
              <w:t>（1）运输车辆应有危险货物运输标志、安装具有行驶记录功能的卫星定位装置。未经公安机关批准，运输车辆不得进入危险化学品运输车辆限制通行的区域。</w:t>
            </w:r>
          </w:p>
        </w:tc>
        <w:tc>
          <w:tcPr>
            <w:tcW w:w="2880" w:type="dxa"/>
            <w:vAlign w:val="center"/>
          </w:tcPr>
          <w:p>
            <w:pPr>
              <w:rPr>
                <w:rStyle w:val="245"/>
                <w:rFonts w:hint="default"/>
                <w:color w:val="auto"/>
                <w:sz w:val="21"/>
                <w:szCs w:val="21"/>
              </w:rPr>
            </w:pPr>
            <w:r>
              <w:rPr>
                <w:rStyle w:val="245"/>
                <w:rFonts w:hint="default"/>
                <w:color w:val="auto"/>
                <w:sz w:val="21"/>
                <w:szCs w:val="21"/>
              </w:rPr>
              <w:t>不参与运输，由经营单位送货到厂区内。符合要求。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7" w:hRule="atLeast"/>
        </w:trPr>
        <w:tc>
          <w:tcPr>
            <w:tcW w:w="648" w:type="dxa"/>
            <w:vMerge w:val="continue"/>
            <w:vAlign w:val="center"/>
          </w:tcPr>
          <w:p>
            <w:pPr>
              <w:pStyle w:val="489"/>
              <w:widowControl w:val="0"/>
              <w:spacing w:before="0" w:beforeAutospacing="0" w:after="0" w:afterAutospacing="0" w:line="240" w:lineRule="auto"/>
              <w:jc w:val="center"/>
              <w:rPr>
                <w:b/>
                <w:color w:val="auto"/>
                <w:sz w:val="21"/>
                <w:szCs w:val="21"/>
              </w:rPr>
            </w:pPr>
          </w:p>
        </w:tc>
        <w:tc>
          <w:tcPr>
            <w:tcW w:w="6120" w:type="dxa"/>
            <w:vAlign w:val="center"/>
          </w:tcPr>
          <w:p>
            <w:pPr>
              <w:pStyle w:val="40"/>
              <w:spacing w:before="0" w:beforeAutospacing="0" w:after="0" w:afterAutospacing="0"/>
              <w:ind w:firstLine="420" w:firstLineChars="200"/>
              <w:rPr>
                <w:rStyle w:val="245"/>
                <w:rFonts w:hint="default"/>
                <w:color w:val="auto"/>
                <w:sz w:val="21"/>
                <w:szCs w:val="21"/>
              </w:rPr>
            </w:pPr>
            <w:r>
              <w:rPr>
                <w:rStyle w:val="245"/>
                <w:rFonts w:hint="default"/>
                <w:color w:val="auto"/>
                <w:sz w:val="21"/>
                <w:szCs w:val="21"/>
              </w:rPr>
              <w:t>（2）槽车运输时要用专用槽车。槽车安装的阻火器（火星熄灭器）必须完好。槽车和运输卡车要有导静电拖线；槽车上要备有2只以上干粉或二氧化碳灭火器和防爆工具。</w:t>
            </w:r>
          </w:p>
        </w:tc>
        <w:tc>
          <w:tcPr>
            <w:tcW w:w="2880" w:type="dxa"/>
            <w:vAlign w:val="center"/>
          </w:tcPr>
          <w:p>
            <w:pPr>
              <w:rPr>
                <w:rStyle w:val="245"/>
                <w:rFonts w:hint="default"/>
                <w:color w:val="auto"/>
                <w:sz w:val="21"/>
                <w:szCs w:val="21"/>
              </w:rPr>
            </w:pPr>
            <w:r>
              <w:rPr>
                <w:rStyle w:val="245"/>
                <w:rFonts w:hint="default"/>
                <w:color w:val="auto"/>
                <w:sz w:val="21"/>
                <w:szCs w:val="21"/>
              </w:rPr>
              <w:t>不参与运输，由经营单位送货到厂区内。符合要求。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6" w:hRule="atLeast"/>
        </w:trPr>
        <w:tc>
          <w:tcPr>
            <w:tcW w:w="648" w:type="dxa"/>
            <w:vMerge w:val="continue"/>
            <w:vAlign w:val="center"/>
          </w:tcPr>
          <w:p>
            <w:pPr>
              <w:pStyle w:val="489"/>
              <w:widowControl w:val="0"/>
              <w:spacing w:before="0" w:beforeAutospacing="0" w:after="0" w:afterAutospacing="0" w:line="240" w:lineRule="auto"/>
              <w:jc w:val="center"/>
              <w:rPr>
                <w:b/>
                <w:color w:val="auto"/>
                <w:sz w:val="21"/>
                <w:szCs w:val="21"/>
              </w:rPr>
            </w:pPr>
          </w:p>
        </w:tc>
        <w:tc>
          <w:tcPr>
            <w:tcW w:w="6120" w:type="dxa"/>
            <w:vAlign w:val="center"/>
          </w:tcPr>
          <w:p>
            <w:pPr>
              <w:pStyle w:val="40"/>
              <w:ind w:firstLine="420" w:firstLineChars="200"/>
              <w:rPr>
                <w:rStyle w:val="245"/>
                <w:rFonts w:hint="default"/>
                <w:color w:val="auto"/>
                <w:sz w:val="21"/>
                <w:szCs w:val="21"/>
              </w:rPr>
            </w:pPr>
            <w:r>
              <w:rPr>
                <w:rStyle w:val="245"/>
                <w:rFonts w:hint="default"/>
                <w:color w:val="auto"/>
                <w:sz w:val="21"/>
                <w:szCs w:val="21"/>
              </w:rPr>
              <w:t>（3）车辆运输钢瓶时,瓶口一律朝向车辆行驶方向的右方，堆放高度不得超过车辆的防护栏板，并用三角木垫卡牢，防止滚动。不准同车混装有抵触性质的物品和让无关人员搭车。运输途中远离火种，不准在有明火地点或人多地段停车，停车时要有人看管。</w:t>
            </w:r>
          </w:p>
        </w:tc>
        <w:tc>
          <w:tcPr>
            <w:tcW w:w="2880" w:type="dxa"/>
            <w:vAlign w:val="center"/>
          </w:tcPr>
          <w:p>
            <w:pPr>
              <w:jc w:val="both"/>
              <w:rPr>
                <w:rStyle w:val="245"/>
                <w:rFonts w:hint="default"/>
                <w:color w:val="auto"/>
                <w:sz w:val="21"/>
                <w:szCs w:val="21"/>
              </w:rPr>
            </w:pPr>
            <w:r>
              <w:rPr>
                <w:rStyle w:val="245"/>
                <w:rFonts w:hint="default"/>
                <w:color w:val="auto"/>
                <w:sz w:val="21"/>
                <w:szCs w:val="21"/>
              </w:rPr>
              <w:t>不参与运输，由经营单位送货到厂区内。符合要求。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21" w:hRule="atLeast"/>
        </w:trPr>
        <w:tc>
          <w:tcPr>
            <w:tcW w:w="648" w:type="dxa"/>
            <w:vMerge w:val="restart"/>
            <w:tcBorders>
              <w:bottom w:val="single" w:color="auto" w:sz="4" w:space="0"/>
            </w:tcBorders>
            <w:vAlign w:val="center"/>
          </w:tcPr>
          <w:p>
            <w:pPr>
              <w:pStyle w:val="489"/>
              <w:widowControl w:val="0"/>
              <w:spacing w:before="0" w:beforeAutospacing="0" w:after="0" w:afterAutospacing="0" w:line="240" w:lineRule="auto"/>
              <w:jc w:val="center"/>
              <w:rPr>
                <w:b/>
                <w:color w:val="auto"/>
                <w:sz w:val="21"/>
                <w:szCs w:val="21"/>
              </w:rPr>
            </w:pPr>
            <w:r>
              <w:rPr>
                <w:rFonts w:hint="eastAsia"/>
                <w:b/>
                <w:color w:val="auto"/>
                <w:sz w:val="21"/>
                <w:szCs w:val="21"/>
              </w:rPr>
              <w:t>应</w:t>
            </w:r>
          </w:p>
          <w:p>
            <w:pPr>
              <w:pStyle w:val="489"/>
              <w:widowControl w:val="0"/>
              <w:spacing w:before="0" w:beforeAutospacing="0" w:after="0" w:afterAutospacing="0" w:line="240" w:lineRule="auto"/>
              <w:jc w:val="center"/>
              <w:rPr>
                <w:b/>
                <w:color w:val="auto"/>
                <w:sz w:val="21"/>
                <w:szCs w:val="21"/>
              </w:rPr>
            </w:pPr>
            <w:r>
              <w:rPr>
                <w:rFonts w:hint="eastAsia"/>
                <w:b/>
                <w:color w:val="auto"/>
                <w:sz w:val="21"/>
                <w:szCs w:val="21"/>
              </w:rPr>
              <w:t>急</w:t>
            </w:r>
          </w:p>
          <w:p>
            <w:pPr>
              <w:pStyle w:val="489"/>
              <w:widowControl w:val="0"/>
              <w:spacing w:before="0" w:beforeAutospacing="0" w:after="0" w:afterAutospacing="0" w:line="240" w:lineRule="auto"/>
              <w:jc w:val="center"/>
              <w:rPr>
                <w:b/>
                <w:color w:val="auto"/>
                <w:sz w:val="21"/>
                <w:szCs w:val="21"/>
              </w:rPr>
            </w:pPr>
            <w:r>
              <w:rPr>
                <w:rFonts w:hint="eastAsia"/>
                <w:b/>
                <w:color w:val="auto"/>
                <w:sz w:val="21"/>
                <w:szCs w:val="21"/>
              </w:rPr>
              <w:t>处</w:t>
            </w:r>
          </w:p>
          <w:p>
            <w:pPr>
              <w:pStyle w:val="489"/>
              <w:widowControl w:val="0"/>
              <w:spacing w:before="0" w:beforeAutospacing="0" w:after="0" w:afterAutospacing="0" w:line="240" w:lineRule="auto"/>
              <w:jc w:val="center"/>
              <w:rPr>
                <w:b/>
                <w:color w:val="auto"/>
                <w:sz w:val="21"/>
                <w:szCs w:val="21"/>
              </w:rPr>
            </w:pPr>
            <w:r>
              <w:rPr>
                <w:rFonts w:hint="eastAsia"/>
                <w:b/>
                <w:color w:val="auto"/>
                <w:sz w:val="21"/>
                <w:szCs w:val="21"/>
              </w:rPr>
              <w:t>置</w:t>
            </w:r>
          </w:p>
          <w:p>
            <w:pPr>
              <w:pStyle w:val="489"/>
              <w:widowControl w:val="0"/>
              <w:spacing w:before="0" w:beforeAutospacing="0" w:after="0" w:afterAutospacing="0" w:line="240" w:lineRule="auto"/>
              <w:jc w:val="center"/>
              <w:rPr>
                <w:b/>
                <w:color w:val="auto"/>
                <w:sz w:val="21"/>
                <w:szCs w:val="21"/>
              </w:rPr>
            </w:pPr>
            <w:r>
              <w:rPr>
                <w:rFonts w:hint="eastAsia"/>
                <w:b/>
                <w:color w:val="auto"/>
                <w:sz w:val="21"/>
                <w:szCs w:val="21"/>
              </w:rPr>
              <w:t>原</w:t>
            </w:r>
          </w:p>
          <w:p>
            <w:pPr>
              <w:pStyle w:val="489"/>
              <w:widowControl w:val="0"/>
              <w:spacing w:before="0" w:beforeAutospacing="0" w:after="0" w:afterAutospacing="0" w:line="240" w:lineRule="auto"/>
              <w:jc w:val="center"/>
              <w:rPr>
                <w:color w:val="auto"/>
                <w:sz w:val="21"/>
                <w:szCs w:val="21"/>
              </w:rPr>
            </w:pPr>
            <w:r>
              <w:rPr>
                <w:rFonts w:hint="eastAsia"/>
                <w:b/>
                <w:color w:val="auto"/>
                <w:sz w:val="21"/>
                <w:szCs w:val="21"/>
              </w:rPr>
              <w:t>则</w:t>
            </w:r>
          </w:p>
        </w:tc>
        <w:tc>
          <w:tcPr>
            <w:tcW w:w="6120" w:type="dxa"/>
            <w:tcBorders>
              <w:bottom w:val="single" w:color="auto" w:sz="4" w:space="0"/>
            </w:tcBorders>
            <w:vAlign w:val="center"/>
          </w:tcPr>
          <w:p>
            <w:pPr>
              <w:rPr>
                <w:rFonts w:ascii="宋体" w:hAnsi="宋体" w:eastAsia="宋体"/>
                <w:b/>
                <w:color w:val="auto"/>
                <w:sz w:val="21"/>
                <w:szCs w:val="21"/>
              </w:rPr>
            </w:pPr>
            <w:r>
              <w:rPr>
                <w:rFonts w:hint="eastAsia" w:ascii="宋体" w:hAnsi="宋体" w:eastAsia="宋体"/>
                <w:color w:val="auto"/>
                <w:sz w:val="21"/>
                <w:szCs w:val="21"/>
              </w:rPr>
              <w:t>【急救措施】</w:t>
            </w:r>
          </w:p>
          <w:p>
            <w:pPr>
              <w:pStyle w:val="40"/>
              <w:spacing w:before="0" w:beforeAutospacing="0" w:after="0" w:afterAutospacing="0"/>
              <w:ind w:firstLine="420" w:firstLineChars="200"/>
              <w:rPr>
                <w:rStyle w:val="245"/>
                <w:rFonts w:hint="default"/>
                <w:color w:val="auto"/>
                <w:sz w:val="21"/>
                <w:szCs w:val="21"/>
              </w:rPr>
            </w:pPr>
            <w:r>
              <w:rPr>
                <w:rStyle w:val="245"/>
                <w:rFonts w:hint="default"/>
                <w:color w:val="auto"/>
                <w:sz w:val="21"/>
                <w:szCs w:val="21"/>
              </w:rPr>
              <w:t>吸入：迅速脱离现场至空气新鲜处。保持呼吸道通畅。如呼吸困难，给氧。如呼吸停止，立即进行人工呼吸。就医。</w:t>
            </w:r>
          </w:p>
          <w:p>
            <w:pPr>
              <w:pStyle w:val="40"/>
              <w:spacing w:before="0" w:beforeAutospacing="0" w:after="0" w:afterAutospacing="0"/>
              <w:ind w:firstLine="420" w:firstLineChars="200"/>
              <w:rPr>
                <w:rStyle w:val="245"/>
                <w:rFonts w:hint="default"/>
                <w:color w:val="auto"/>
                <w:sz w:val="21"/>
                <w:szCs w:val="21"/>
              </w:rPr>
            </w:pPr>
            <w:r>
              <w:rPr>
                <w:rStyle w:val="245"/>
                <w:rFonts w:hint="default"/>
                <w:color w:val="auto"/>
                <w:sz w:val="21"/>
                <w:szCs w:val="21"/>
              </w:rPr>
              <w:t>食入：饮足量温水，催吐。就医。</w:t>
            </w:r>
          </w:p>
          <w:p>
            <w:pPr>
              <w:pStyle w:val="40"/>
              <w:spacing w:before="0" w:beforeAutospacing="0" w:after="0" w:afterAutospacing="0"/>
              <w:ind w:firstLine="420" w:firstLineChars="200"/>
              <w:rPr>
                <w:rStyle w:val="245"/>
                <w:rFonts w:hint="default"/>
                <w:color w:val="auto"/>
                <w:sz w:val="21"/>
                <w:szCs w:val="21"/>
              </w:rPr>
            </w:pPr>
            <w:r>
              <w:rPr>
                <w:rStyle w:val="245"/>
                <w:rFonts w:hint="default"/>
                <w:color w:val="auto"/>
                <w:sz w:val="21"/>
                <w:szCs w:val="21"/>
              </w:rPr>
              <w:t>皮肤接触：脱去污染的衣着，用肥皂水和清水彻底冲洗皮肤。</w:t>
            </w:r>
          </w:p>
          <w:p>
            <w:pPr>
              <w:pStyle w:val="40"/>
              <w:spacing w:before="0" w:beforeAutospacing="0" w:after="0" w:afterAutospacing="0"/>
              <w:ind w:firstLine="420" w:firstLineChars="200"/>
              <w:rPr>
                <w:color w:val="auto"/>
                <w:sz w:val="21"/>
                <w:szCs w:val="21"/>
              </w:rPr>
            </w:pPr>
            <w:r>
              <w:rPr>
                <w:rStyle w:val="245"/>
                <w:rFonts w:hint="default"/>
                <w:color w:val="auto"/>
                <w:sz w:val="21"/>
                <w:szCs w:val="21"/>
              </w:rPr>
              <w:t>眼睛接触：立即提起眼睑，用大量流动清水或生理盐水彻底冲洗至少15分钟。就医。</w:t>
            </w:r>
          </w:p>
        </w:tc>
        <w:tc>
          <w:tcPr>
            <w:tcW w:w="2880" w:type="dxa"/>
            <w:tcBorders>
              <w:bottom w:val="single" w:color="auto" w:sz="4" w:space="0"/>
            </w:tcBorders>
            <w:vAlign w:val="center"/>
          </w:tcPr>
          <w:p>
            <w:pPr>
              <w:pStyle w:val="40"/>
              <w:spacing w:before="0" w:beforeAutospacing="0" w:after="0" w:afterAutospacing="0"/>
              <w:jc w:val="both"/>
              <w:rPr>
                <w:color w:val="auto"/>
                <w:sz w:val="21"/>
                <w:szCs w:val="21"/>
              </w:rPr>
            </w:pPr>
            <w:r>
              <w:rPr>
                <w:rFonts w:hint="eastAsia"/>
                <w:color w:val="auto"/>
                <w:sz w:val="21"/>
                <w:szCs w:val="21"/>
              </w:rPr>
              <w:t>现场配备有洗眼设备等，</w:t>
            </w:r>
            <w:r>
              <w:rPr>
                <w:rStyle w:val="245"/>
                <w:rFonts w:hint="default"/>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97" w:hRule="atLeast"/>
        </w:trPr>
        <w:tc>
          <w:tcPr>
            <w:tcW w:w="648" w:type="dxa"/>
            <w:vMerge w:val="continue"/>
            <w:vAlign w:val="center"/>
          </w:tcPr>
          <w:p>
            <w:pPr>
              <w:pStyle w:val="489"/>
              <w:widowControl w:val="0"/>
              <w:spacing w:before="0" w:beforeAutospacing="0" w:after="0" w:afterAutospacing="0" w:line="240" w:lineRule="auto"/>
              <w:jc w:val="center"/>
              <w:rPr>
                <w:b/>
                <w:color w:val="auto"/>
                <w:sz w:val="21"/>
                <w:szCs w:val="21"/>
              </w:rPr>
            </w:pPr>
          </w:p>
        </w:tc>
        <w:tc>
          <w:tcPr>
            <w:tcW w:w="6120" w:type="dxa"/>
            <w:vAlign w:val="center"/>
          </w:tcPr>
          <w:p>
            <w:pPr>
              <w:rPr>
                <w:rFonts w:ascii="宋体" w:hAnsi="宋体" w:eastAsia="宋体"/>
                <w:b/>
                <w:color w:val="auto"/>
                <w:sz w:val="21"/>
                <w:szCs w:val="21"/>
              </w:rPr>
            </w:pPr>
            <w:r>
              <w:rPr>
                <w:rFonts w:hint="eastAsia" w:ascii="宋体" w:hAnsi="宋体" w:eastAsia="宋体"/>
                <w:color w:val="auto"/>
                <w:sz w:val="21"/>
                <w:szCs w:val="21"/>
              </w:rPr>
              <w:t>【灭火方法】</w:t>
            </w:r>
          </w:p>
          <w:p>
            <w:pPr>
              <w:pStyle w:val="40"/>
              <w:spacing w:before="0" w:beforeAutospacing="0" w:after="0" w:afterAutospacing="0"/>
              <w:ind w:firstLine="420" w:firstLineChars="200"/>
              <w:rPr>
                <w:rStyle w:val="245"/>
                <w:rFonts w:hint="default"/>
                <w:color w:val="auto"/>
                <w:sz w:val="21"/>
                <w:szCs w:val="21"/>
              </w:rPr>
            </w:pPr>
            <w:r>
              <w:rPr>
                <w:rStyle w:val="245"/>
                <w:rFonts w:hint="default"/>
                <w:color w:val="auto"/>
                <w:sz w:val="21"/>
                <w:szCs w:val="21"/>
              </w:rPr>
              <w:t>尽可能将容器从火场移至空旷处。喷水保持火场容器冷却，直至灭火结束。</w:t>
            </w:r>
          </w:p>
          <w:p>
            <w:pPr>
              <w:ind w:firstLine="420" w:firstLineChars="200"/>
              <w:rPr>
                <w:rStyle w:val="245"/>
                <w:rFonts w:hint="default"/>
                <w:b/>
                <w:color w:val="auto"/>
                <w:sz w:val="21"/>
                <w:szCs w:val="21"/>
              </w:rPr>
            </w:pPr>
            <w:r>
              <w:rPr>
                <w:rStyle w:val="245"/>
                <w:rFonts w:hint="default"/>
                <w:color w:val="auto"/>
                <w:sz w:val="21"/>
                <w:szCs w:val="21"/>
              </w:rPr>
              <w:t>灭火剂：泡沫、干粉、二氧化碳、砂土。用水灭火无效。遇大火，消防人员须在有防护掩蔽处操作。</w:t>
            </w:r>
          </w:p>
        </w:tc>
        <w:tc>
          <w:tcPr>
            <w:tcW w:w="2880" w:type="dxa"/>
            <w:vAlign w:val="center"/>
          </w:tcPr>
          <w:p>
            <w:pPr>
              <w:pStyle w:val="40"/>
              <w:spacing w:before="0" w:beforeAutospacing="0" w:after="0" w:afterAutospacing="0"/>
              <w:jc w:val="both"/>
              <w:rPr>
                <w:color w:val="auto"/>
                <w:sz w:val="21"/>
                <w:szCs w:val="21"/>
              </w:rPr>
            </w:pPr>
            <w:r>
              <w:rPr>
                <w:rFonts w:hint="eastAsia"/>
                <w:color w:val="auto"/>
                <w:sz w:val="21"/>
                <w:szCs w:val="21"/>
              </w:rPr>
              <w:t>使用和储存现场配置有干粉灭火器等消防器材。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67" w:hRule="atLeast"/>
        </w:trPr>
        <w:tc>
          <w:tcPr>
            <w:tcW w:w="648" w:type="dxa"/>
            <w:vMerge w:val="continue"/>
            <w:vAlign w:val="center"/>
          </w:tcPr>
          <w:p>
            <w:pPr>
              <w:pStyle w:val="489"/>
              <w:widowControl w:val="0"/>
              <w:spacing w:before="0" w:beforeAutospacing="0" w:after="0" w:afterAutospacing="0" w:line="240" w:lineRule="auto"/>
              <w:jc w:val="center"/>
              <w:rPr>
                <w:b/>
                <w:color w:val="auto"/>
                <w:sz w:val="21"/>
                <w:szCs w:val="21"/>
              </w:rPr>
            </w:pPr>
          </w:p>
        </w:tc>
        <w:tc>
          <w:tcPr>
            <w:tcW w:w="6120" w:type="dxa"/>
            <w:vAlign w:val="center"/>
          </w:tcPr>
          <w:p>
            <w:pPr>
              <w:rPr>
                <w:rFonts w:ascii="宋体" w:hAnsi="宋体" w:eastAsia="宋体"/>
                <w:b/>
                <w:color w:val="auto"/>
                <w:sz w:val="21"/>
                <w:szCs w:val="21"/>
              </w:rPr>
            </w:pPr>
            <w:r>
              <w:rPr>
                <w:rFonts w:hint="eastAsia" w:ascii="宋体" w:hAnsi="宋体" w:eastAsia="宋体"/>
                <w:color w:val="auto"/>
                <w:sz w:val="21"/>
                <w:szCs w:val="21"/>
              </w:rPr>
              <w:t>【泄漏应急处置】</w:t>
            </w:r>
          </w:p>
          <w:p>
            <w:pPr>
              <w:ind w:firstLine="435"/>
              <w:rPr>
                <w:rStyle w:val="245"/>
                <w:rFonts w:hint="default"/>
                <w:color w:val="auto"/>
                <w:sz w:val="21"/>
                <w:szCs w:val="21"/>
              </w:rPr>
            </w:pPr>
            <w:r>
              <w:rPr>
                <w:rStyle w:val="245"/>
                <w:rFonts w:hint="default"/>
                <w:color w:val="auto"/>
                <w:sz w:val="21"/>
                <w:szCs w:val="21"/>
              </w:rPr>
              <w:t>消除所有点火源。根据液体流动和蒸气扩散的影响区域划定警戒区，无关人员从侧风、上风向撤离至安全区。建议应急处理人员戴正压自给式空气呼吸器，穿防静电服。作业时使用的所有设备应接地。禁止接触或跨越泄漏物。尽可能切断泄漏源。防止泄漏物进入水体、下水道、地下室或密闭性空间。小量泄漏：用砂土或其它不燃材料吸收。使用洁净的无火花工具收集吸收材料。大量泄漏：构筑围堤或挖坑收容。用石灰粉吸收大量液体。用泡沫覆盖，减少蒸发。喷水雾能减少蒸发，但不能降低泄漏物在受限制空间内的易燃性。用防爆泵转移至槽车或专用收集器内。</w:t>
            </w:r>
          </w:p>
          <w:p>
            <w:pPr>
              <w:pStyle w:val="40"/>
              <w:spacing w:before="0" w:beforeAutospacing="0" w:after="0" w:afterAutospacing="0"/>
              <w:ind w:firstLine="420" w:firstLineChars="200"/>
              <w:jc w:val="both"/>
              <w:rPr>
                <w:color w:val="auto"/>
                <w:sz w:val="21"/>
                <w:szCs w:val="21"/>
              </w:rPr>
            </w:pPr>
            <w:r>
              <w:rPr>
                <w:rStyle w:val="245"/>
                <w:rFonts w:hint="default"/>
                <w:color w:val="auto"/>
                <w:sz w:val="21"/>
                <w:szCs w:val="21"/>
              </w:rPr>
              <w:t>作为一项紧急预防措施，泄漏隔离距离至少为100m。如果为大量泄漏，下风向的初始疏散距离应至少为800m。</w:t>
            </w:r>
          </w:p>
        </w:tc>
        <w:tc>
          <w:tcPr>
            <w:tcW w:w="2880" w:type="dxa"/>
            <w:vAlign w:val="center"/>
          </w:tcPr>
          <w:p>
            <w:pPr>
              <w:pStyle w:val="40"/>
              <w:spacing w:before="0" w:beforeAutospacing="0" w:after="0" w:afterAutospacing="0"/>
              <w:jc w:val="both"/>
              <w:rPr>
                <w:color w:val="auto"/>
                <w:sz w:val="21"/>
                <w:szCs w:val="21"/>
              </w:rPr>
            </w:pPr>
            <w:r>
              <w:rPr>
                <w:rFonts w:hint="eastAsia"/>
                <w:color w:val="auto"/>
                <w:sz w:val="21"/>
                <w:szCs w:val="21"/>
              </w:rPr>
              <w:t>应急处置已在编制好的应急预案中有所反映。</w:t>
            </w:r>
            <w:r>
              <w:rPr>
                <w:rStyle w:val="245"/>
                <w:rFonts w:hint="default"/>
                <w:color w:val="auto"/>
                <w:sz w:val="21"/>
                <w:szCs w:val="21"/>
              </w:rPr>
              <w:t>生产车间所有设备已接地。</w:t>
            </w:r>
          </w:p>
        </w:tc>
      </w:tr>
    </w:tbl>
    <w:p>
      <w:pPr>
        <w:rPr>
          <w:rFonts w:ascii="宋体" w:hAnsi="宋体" w:eastAsiaTheme="minorEastAsia"/>
          <w:b/>
          <w:color w:val="auto"/>
          <w:sz w:val="28"/>
          <w:lang w:eastAsia="zh-CN"/>
        </w:rPr>
      </w:pPr>
    </w:p>
    <w:p>
      <w:pPr>
        <w:jc w:val="center"/>
        <w:rPr>
          <w:rFonts w:ascii="宋体" w:hAnsi="宋体"/>
          <w:b/>
          <w:color w:val="auto"/>
          <w:sz w:val="28"/>
        </w:rPr>
      </w:pPr>
      <w:r>
        <w:rPr>
          <w:rFonts w:hint="eastAsia" w:ascii="宋体" w:hAnsi="宋体"/>
          <w:b/>
          <w:color w:val="auto"/>
          <w:sz w:val="28"/>
        </w:rPr>
        <w:t>乙酸乙酯</w:t>
      </w:r>
    </w:p>
    <w:tbl>
      <w:tblPr>
        <w:tblStyle w:val="4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6120"/>
        <w:gridCol w:w="28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648" w:type="dxa"/>
            <w:vAlign w:val="center"/>
          </w:tcPr>
          <w:p>
            <w:pPr>
              <w:pStyle w:val="489"/>
              <w:widowControl w:val="0"/>
              <w:spacing w:line="240" w:lineRule="auto"/>
              <w:rPr>
                <w:b/>
                <w:color w:val="auto"/>
                <w:sz w:val="21"/>
                <w:szCs w:val="21"/>
              </w:rPr>
            </w:pPr>
            <w:r>
              <w:rPr>
                <w:rFonts w:hint="eastAsia"/>
                <w:b/>
                <w:color w:val="auto"/>
                <w:sz w:val="21"/>
                <w:szCs w:val="21"/>
              </w:rPr>
              <w:t>项目</w:t>
            </w:r>
          </w:p>
        </w:tc>
        <w:tc>
          <w:tcPr>
            <w:tcW w:w="6120" w:type="dxa"/>
            <w:vAlign w:val="center"/>
          </w:tcPr>
          <w:p>
            <w:pPr>
              <w:pStyle w:val="40"/>
              <w:ind w:firstLine="632" w:firstLineChars="300"/>
              <w:jc w:val="both"/>
              <w:rPr>
                <w:b/>
                <w:color w:val="auto"/>
                <w:sz w:val="21"/>
                <w:szCs w:val="21"/>
              </w:rPr>
            </w:pPr>
            <w:r>
              <w:rPr>
                <w:rFonts w:hint="eastAsia"/>
                <w:b/>
                <w:color w:val="auto"/>
                <w:sz w:val="21"/>
                <w:szCs w:val="21"/>
              </w:rPr>
              <w:t>安监总局（安监总厅管三〔2011〕142号）文件要求</w:t>
            </w:r>
          </w:p>
        </w:tc>
        <w:tc>
          <w:tcPr>
            <w:tcW w:w="2880" w:type="dxa"/>
            <w:vAlign w:val="center"/>
          </w:tcPr>
          <w:p>
            <w:pPr>
              <w:pStyle w:val="40"/>
              <w:spacing w:before="0" w:beforeAutospacing="0" w:after="0" w:afterAutospacing="0"/>
              <w:jc w:val="center"/>
              <w:rPr>
                <w:b/>
                <w:color w:val="auto"/>
                <w:sz w:val="21"/>
                <w:szCs w:val="21"/>
              </w:rPr>
            </w:pPr>
            <w:r>
              <w:rPr>
                <w:rFonts w:hint="eastAsia"/>
                <w:b/>
                <w:color w:val="auto"/>
                <w:sz w:val="21"/>
                <w:szCs w:val="21"/>
              </w:rPr>
              <w:t>实际符合情况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8" w:hRule="atLeast"/>
        </w:trPr>
        <w:tc>
          <w:tcPr>
            <w:tcW w:w="648" w:type="dxa"/>
            <w:vMerge w:val="restart"/>
            <w:vAlign w:val="center"/>
          </w:tcPr>
          <w:p>
            <w:pPr>
              <w:pStyle w:val="489"/>
              <w:widowControl w:val="0"/>
              <w:spacing w:before="0" w:beforeAutospacing="0" w:after="0" w:afterAutospacing="0" w:line="240" w:lineRule="auto"/>
              <w:jc w:val="center"/>
              <w:rPr>
                <w:b/>
                <w:color w:val="auto"/>
                <w:sz w:val="21"/>
                <w:szCs w:val="21"/>
              </w:rPr>
            </w:pPr>
            <w:r>
              <w:rPr>
                <w:rFonts w:hint="eastAsia"/>
                <w:b/>
                <w:color w:val="auto"/>
                <w:sz w:val="21"/>
                <w:szCs w:val="21"/>
              </w:rPr>
              <w:t>安</w:t>
            </w:r>
          </w:p>
          <w:p>
            <w:pPr>
              <w:pStyle w:val="489"/>
              <w:widowControl w:val="0"/>
              <w:spacing w:before="0" w:beforeAutospacing="0" w:after="0" w:afterAutospacing="0" w:line="240" w:lineRule="auto"/>
              <w:jc w:val="center"/>
              <w:rPr>
                <w:b/>
                <w:color w:val="auto"/>
                <w:sz w:val="21"/>
                <w:szCs w:val="21"/>
              </w:rPr>
            </w:pPr>
            <w:r>
              <w:rPr>
                <w:rFonts w:hint="eastAsia"/>
                <w:b/>
                <w:color w:val="auto"/>
                <w:sz w:val="21"/>
                <w:szCs w:val="21"/>
              </w:rPr>
              <w:t>全</w:t>
            </w:r>
          </w:p>
          <w:p>
            <w:pPr>
              <w:pStyle w:val="489"/>
              <w:widowControl w:val="0"/>
              <w:spacing w:before="0" w:beforeAutospacing="0" w:after="0" w:afterAutospacing="0" w:line="240" w:lineRule="auto"/>
              <w:jc w:val="center"/>
              <w:rPr>
                <w:b/>
                <w:color w:val="auto"/>
                <w:sz w:val="21"/>
                <w:szCs w:val="21"/>
              </w:rPr>
            </w:pPr>
            <w:r>
              <w:rPr>
                <w:rFonts w:hint="eastAsia"/>
                <w:b/>
                <w:color w:val="auto"/>
                <w:sz w:val="21"/>
                <w:szCs w:val="21"/>
              </w:rPr>
              <w:t>措</w:t>
            </w:r>
          </w:p>
          <w:p>
            <w:pPr>
              <w:pStyle w:val="489"/>
              <w:widowControl w:val="0"/>
              <w:spacing w:before="0" w:beforeAutospacing="0" w:after="0" w:afterAutospacing="0" w:line="240" w:lineRule="auto"/>
              <w:jc w:val="center"/>
              <w:rPr>
                <w:b/>
                <w:color w:val="auto"/>
                <w:sz w:val="21"/>
                <w:szCs w:val="21"/>
              </w:rPr>
            </w:pPr>
            <w:r>
              <w:rPr>
                <w:rFonts w:hint="eastAsia"/>
                <w:b/>
                <w:color w:val="auto"/>
                <w:sz w:val="21"/>
                <w:szCs w:val="21"/>
              </w:rPr>
              <w:t>施</w:t>
            </w:r>
          </w:p>
        </w:tc>
        <w:tc>
          <w:tcPr>
            <w:tcW w:w="6120" w:type="dxa"/>
            <w:vAlign w:val="center"/>
          </w:tcPr>
          <w:p>
            <w:pPr>
              <w:pStyle w:val="40"/>
              <w:jc w:val="both"/>
              <w:rPr>
                <w:rStyle w:val="245"/>
                <w:rFonts w:hint="default"/>
                <w:b/>
                <w:color w:val="auto"/>
                <w:sz w:val="21"/>
                <w:szCs w:val="21"/>
              </w:rPr>
            </w:pPr>
            <w:r>
              <w:rPr>
                <w:rStyle w:val="245"/>
                <w:rFonts w:hint="default"/>
                <w:b/>
                <w:color w:val="auto"/>
                <w:sz w:val="21"/>
                <w:szCs w:val="21"/>
              </w:rPr>
              <w:t>一、【一般要求】</w:t>
            </w:r>
          </w:p>
        </w:tc>
        <w:tc>
          <w:tcPr>
            <w:tcW w:w="2880" w:type="dxa"/>
            <w:vAlign w:val="center"/>
          </w:tcPr>
          <w:p>
            <w:pPr>
              <w:rPr>
                <w:rStyle w:val="245"/>
                <w:rFonts w:hint="default"/>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2" w:hRule="atLeast"/>
        </w:trPr>
        <w:tc>
          <w:tcPr>
            <w:tcW w:w="648" w:type="dxa"/>
            <w:vMerge w:val="continue"/>
            <w:vAlign w:val="center"/>
          </w:tcPr>
          <w:p>
            <w:pPr>
              <w:pStyle w:val="489"/>
              <w:widowControl w:val="0"/>
              <w:spacing w:before="0" w:beforeAutospacing="0" w:after="0" w:afterAutospacing="0" w:line="240" w:lineRule="auto"/>
              <w:jc w:val="center"/>
              <w:rPr>
                <w:b/>
                <w:color w:val="auto"/>
                <w:sz w:val="21"/>
                <w:szCs w:val="21"/>
              </w:rPr>
            </w:pPr>
          </w:p>
        </w:tc>
        <w:tc>
          <w:tcPr>
            <w:tcW w:w="6120" w:type="dxa"/>
            <w:vAlign w:val="center"/>
          </w:tcPr>
          <w:p>
            <w:pPr>
              <w:widowControl/>
              <w:spacing w:line="360" w:lineRule="exact"/>
              <w:ind w:firstLine="420" w:firstLineChars="200"/>
              <w:rPr>
                <w:rStyle w:val="245"/>
                <w:rFonts w:hint="default"/>
                <w:color w:val="auto"/>
                <w:sz w:val="21"/>
                <w:szCs w:val="21"/>
              </w:rPr>
            </w:pPr>
            <w:r>
              <w:rPr>
                <w:rStyle w:val="245"/>
                <w:rFonts w:hint="default"/>
                <w:color w:val="auto"/>
                <w:sz w:val="21"/>
                <w:szCs w:val="21"/>
              </w:rPr>
              <w:t>（1）操作人员必须经过专门培训，应具有防火、防爆、防静电事故和预防职业病的知识和操作能力，严格遵守操作规程。</w:t>
            </w:r>
          </w:p>
        </w:tc>
        <w:tc>
          <w:tcPr>
            <w:tcW w:w="2880" w:type="dxa"/>
            <w:vAlign w:val="center"/>
          </w:tcPr>
          <w:p>
            <w:pPr>
              <w:rPr>
                <w:rStyle w:val="245"/>
                <w:rFonts w:hint="default"/>
                <w:color w:val="auto"/>
                <w:sz w:val="21"/>
                <w:szCs w:val="21"/>
              </w:rPr>
            </w:pPr>
            <w:r>
              <w:rPr>
                <w:rStyle w:val="245"/>
                <w:rFonts w:hint="default"/>
                <w:color w:val="auto"/>
                <w:sz w:val="21"/>
                <w:szCs w:val="21"/>
              </w:rPr>
              <w:t>操作人员均经过公司内部培训或委托专业培训合格后上岗，具有防火、防爆、防静电事故和预防职业病的知识和操作能力，遵守操作规程。符合要求。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71" w:hRule="atLeast"/>
        </w:trPr>
        <w:tc>
          <w:tcPr>
            <w:tcW w:w="648" w:type="dxa"/>
            <w:vMerge w:val="continue"/>
            <w:vAlign w:val="center"/>
          </w:tcPr>
          <w:p>
            <w:pPr>
              <w:pStyle w:val="489"/>
              <w:widowControl w:val="0"/>
              <w:spacing w:before="0" w:beforeAutospacing="0" w:after="0" w:afterAutospacing="0" w:line="240" w:lineRule="auto"/>
              <w:jc w:val="center"/>
              <w:rPr>
                <w:b/>
                <w:color w:val="auto"/>
                <w:sz w:val="21"/>
                <w:szCs w:val="21"/>
              </w:rPr>
            </w:pPr>
          </w:p>
        </w:tc>
        <w:tc>
          <w:tcPr>
            <w:tcW w:w="6120" w:type="dxa"/>
            <w:vAlign w:val="center"/>
          </w:tcPr>
          <w:p>
            <w:pPr>
              <w:widowControl/>
              <w:spacing w:line="360" w:lineRule="exact"/>
              <w:ind w:firstLine="315" w:firstLineChars="150"/>
              <w:rPr>
                <w:rStyle w:val="245"/>
                <w:rFonts w:hint="default"/>
                <w:color w:val="auto"/>
                <w:sz w:val="21"/>
                <w:szCs w:val="21"/>
              </w:rPr>
            </w:pPr>
            <w:r>
              <w:rPr>
                <w:rStyle w:val="245"/>
                <w:rFonts w:hint="default"/>
                <w:color w:val="auto"/>
                <w:sz w:val="21"/>
                <w:szCs w:val="21"/>
              </w:rPr>
              <w:t>（2）生产过程密闭，全面通风。防止乙酸乙酯蒸气泄漏到工作场所空气中；在有乙酸乙酯存在或使用乙酸乙酯的场所，设置可燃气体检测报警仪，并与应急通风联锁。禁止接触高温和明火。可能接触其蒸气时，应佩戴自吸过滤式防毒面具，穿防静电工作服。戴乳胶手套。工作现场禁止吸烟。工作毕，沐浴更衣。注意个人清洁卫生。紧急事态抢救或撤离时，应佩戴正压自给式空气呼吸器。戴化学安全防护眼镜。提供安全淋浴和洗眼设备。</w:t>
            </w:r>
          </w:p>
        </w:tc>
        <w:tc>
          <w:tcPr>
            <w:tcW w:w="2880" w:type="dxa"/>
            <w:vAlign w:val="center"/>
          </w:tcPr>
          <w:p>
            <w:pPr>
              <w:rPr>
                <w:rStyle w:val="245"/>
                <w:rFonts w:hint="default"/>
                <w:color w:val="auto"/>
                <w:sz w:val="21"/>
                <w:szCs w:val="21"/>
              </w:rPr>
            </w:pPr>
            <w:r>
              <w:rPr>
                <w:rStyle w:val="245"/>
                <w:rFonts w:hint="default"/>
                <w:color w:val="auto"/>
                <w:sz w:val="21"/>
                <w:szCs w:val="21"/>
              </w:rPr>
              <w:t>在乙酸乙酯储存和使用场所，设置有可燃气体检测报警仪和禁烟火安全警示标志；为生产作业人员提供有防毒面具和防静电工作服、乳胶手套；现场有洗眼设备，符合要求。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87" w:hRule="atLeast"/>
        </w:trPr>
        <w:tc>
          <w:tcPr>
            <w:tcW w:w="648" w:type="dxa"/>
            <w:vMerge w:val="continue"/>
            <w:vAlign w:val="center"/>
          </w:tcPr>
          <w:p>
            <w:pPr>
              <w:pStyle w:val="489"/>
              <w:widowControl w:val="0"/>
              <w:spacing w:before="0" w:beforeAutospacing="0" w:after="0" w:afterAutospacing="0" w:line="240" w:lineRule="auto"/>
              <w:jc w:val="center"/>
              <w:rPr>
                <w:b/>
                <w:color w:val="auto"/>
                <w:sz w:val="21"/>
                <w:szCs w:val="21"/>
              </w:rPr>
            </w:pPr>
          </w:p>
        </w:tc>
        <w:tc>
          <w:tcPr>
            <w:tcW w:w="6120" w:type="dxa"/>
            <w:vAlign w:val="center"/>
          </w:tcPr>
          <w:p>
            <w:pPr>
              <w:widowControl/>
              <w:spacing w:line="360" w:lineRule="exact"/>
              <w:ind w:firstLine="315" w:firstLineChars="150"/>
              <w:rPr>
                <w:rStyle w:val="245"/>
                <w:rFonts w:hint="default"/>
                <w:color w:val="auto"/>
                <w:sz w:val="21"/>
                <w:szCs w:val="21"/>
              </w:rPr>
            </w:pPr>
            <w:r>
              <w:rPr>
                <w:rStyle w:val="245"/>
                <w:rFonts w:hint="default"/>
                <w:color w:val="auto"/>
                <w:sz w:val="21"/>
                <w:szCs w:val="21"/>
              </w:rPr>
              <w:t>（3）储罐等容器和设备应设置液位计、温度计，并应装有带液位、温度远传记录和报警功能的安全装置。</w:t>
            </w:r>
          </w:p>
        </w:tc>
        <w:tc>
          <w:tcPr>
            <w:tcW w:w="2880" w:type="dxa"/>
            <w:vAlign w:val="center"/>
          </w:tcPr>
          <w:p>
            <w:pPr>
              <w:rPr>
                <w:rStyle w:val="245"/>
                <w:rFonts w:hint="default"/>
                <w:color w:val="auto"/>
                <w:sz w:val="21"/>
                <w:szCs w:val="21"/>
              </w:rPr>
            </w:pPr>
            <w:r>
              <w:rPr>
                <w:rStyle w:val="245"/>
                <w:rFonts w:hint="default"/>
                <w:color w:val="auto"/>
                <w:sz w:val="21"/>
                <w:szCs w:val="21"/>
              </w:rPr>
              <w:t>乙酸乙酯没有采用储罐储存，而是采用200L铁桶装存放在仓库；生产中在常温常压下与其它物料混合没有化学反应，设备在生产中没有液位、温度变化，因此，油漆、稀释剂生产设备不需要设置液位计、温度计和带液位、温度远传记录和报警功能的安全装置。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57" w:hRule="atLeast"/>
        </w:trPr>
        <w:tc>
          <w:tcPr>
            <w:tcW w:w="648" w:type="dxa"/>
            <w:vMerge w:val="continue"/>
            <w:vAlign w:val="center"/>
          </w:tcPr>
          <w:p>
            <w:pPr>
              <w:pStyle w:val="489"/>
              <w:widowControl w:val="0"/>
              <w:spacing w:before="0" w:beforeAutospacing="0" w:after="0" w:afterAutospacing="0" w:line="240" w:lineRule="auto"/>
              <w:jc w:val="center"/>
              <w:rPr>
                <w:b/>
                <w:color w:val="auto"/>
                <w:sz w:val="21"/>
                <w:szCs w:val="21"/>
              </w:rPr>
            </w:pPr>
          </w:p>
        </w:tc>
        <w:tc>
          <w:tcPr>
            <w:tcW w:w="6120" w:type="dxa"/>
            <w:vAlign w:val="center"/>
          </w:tcPr>
          <w:p>
            <w:pPr>
              <w:widowControl/>
              <w:spacing w:line="360" w:lineRule="exact"/>
              <w:ind w:firstLine="420" w:firstLineChars="200"/>
              <w:rPr>
                <w:rStyle w:val="245"/>
                <w:rFonts w:hint="default"/>
                <w:color w:val="auto"/>
                <w:sz w:val="21"/>
                <w:szCs w:val="21"/>
                <w:lang w:val="en-US"/>
              </w:rPr>
            </w:pPr>
            <w:r>
              <w:rPr>
                <w:rStyle w:val="245"/>
                <w:rFonts w:hint="default"/>
                <w:color w:val="auto"/>
                <w:sz w:val="21"/>
                <w:szCs w:val="21"/>
              </w:rPr>
              <w:t>（4）避免与强氧化剂、酸类、碱类接触。</w:t>
            </w:r>
          </w:p>
        </w:tc>
        <w:tc>
          <w:tcPr>
            <w:tcW w:w="2880" w:type="dxa"/>
            <w:vAlign w:val="center"/>
          </w:tcPr>
          <w:p>
            <w:pPr>
              <w:rPr>
                <w:rStyle w:val="245"/>
                <w:rFonts w:hint="default"/>
                <w:color w:val="auto"/>
                <w:sz w:val="21"/>
                <w:szCs w:val="21"/>
              </w:rPr>
            </w:pPr>
            <w:r>
              <w:rPr>
                <w:rStyle w:val="245"/>
                <w:rFonts w:hint="default"/>
                <w:color w:val="auto"/>
                <w:sz w:val="21"/>
                <w:szCs w:val="21"/>
              </w:rPr>
              <w:t>生产、储存场所无强氧化剂、酸类、碱类。符合要求。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1" w:hRule="atLeast"/>
        </w:trPr>
        <w:tc>
          <w:tcPr>
            <w:tcW w:w="648" w:type="dxa"/>
            <w:vMerge w:val="continue"/>
            <w:vAlign w:val="center"/>
          </w:tcPr>
          <w:p>
            <w:pPr>
              <w:pStyle w:val="489"/>
              <w:widowControl w:val="0"/>
              <w:spacing w:before="0" w:beforeAutospacing="0" w:after="0" w:afterAutospacing="0" w:line="240" w:lineRule="auto"/>
              <w:jc w:val="center"/>
              <w:rPr>
                <w:b/>
                <w:color w:val="auto"/>
                <w:sz w:val="21"/>
                <w:szCs w:val="21"/>
              </w:rPr>
            </w:pPr>
          </w:p>
        </w:tc>
        <w:tc>
          <w:tcPr>
            <w:tcW w:w="6120" w:type="dxa"/>
            <w:vAlign w:val="center"/>
          </w:tcPr>
          <w:p>
            <w:pPr>
              <w:widowControl/>
              <w:spacing w:line="360" w:lineRule="exact"/>
              <w:ind w:firstLine="420" w:firstLineChars="200"/>
              <w:rPr>
                <w:rStyle w:val="245"/>
                <w:rFonts w:hint="default"/>
                <w:color w:val="auto"/>
                <w:sz w:val="21"/>
                <w:szCs w:val="21"/>
                <w:lang w:val="en-US"/>
              </w:rPr>
            </w:pPr>
            <w:r>
              <w:rPr>
                <w:rStyle w:val="245"/>
                <w:rFonts w:hint="default"/>
                <w:color w:val="auto"/>
                <w:sz w:val="21"/>
                <w:szCs w:val="21"/>
              </w:rPr>
              <w:t>（5）生产、储存区域应设置安全警示标志。禁止使用易产生火花的机械设备和工具装卸。进入作业场所时，应去除身体携带的静电。</w:t>
            </w:r>
          </w:p>
        </w:tc>
        <w:tc>
          <w:tcPr>
            <w:tcW w:w="2880" w:type="dxa"/>
            <w:vAlign w:val="center"/>
          </w:tcPr>
          <w:p>
            <w:pPr>
              <w:rPr>
                <w:rStyle w:val="245"/>
                <w:rFonts w:hint="default"/>
                <w:color w:val="auto"/>
                <w:sz w:val="21"/>
                <w:szCs w:val="21"/>
              </w:rPr>
            </w:pPr>
            <w:r>
              <w:rPr>
                <w:rStyle w:val="245"/>
                <w:rFonts w:hint="default"/>
                <w:color w:val="auto"/>
                <w:sz w:val="21"/>
                <w:szCs w:val="21"/>
              </w:rPr>
              <w:t>生产、储存区域设置禁火等安全警示标志。生产储存场所禁止使用易产生火花的机械设备和工具装卸；在仓库入口和车间入口设有去除身体携带静电的装置，符合要求。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8" w:hRule="atLeast"/>
        </w:trPr>
        <w:tc>
          <w:tcPr>
            <w:tcW w:w="648" w:type="dxa"/>
            <w:vMerge w:val="continue"/>
            <w:vAlign w:val="center"/>
          </w:tcPr>
          <w:p>
            <w:pPr>
              <w:pStyle w:val="489"/>
              <w:widowControl w:val="0"/>
              <w:spacing w:before="0" w:beforeAutospacing="0" w:after="0" w:afterAutospacing="0" w:line="240" w:lineRule="auto"/>
              <w:jc w:val="center"/>
              <w:rPr>
                <w:b/>
                <w:color w:val="auto"/>
                <w:sz w:val="21"/>
                <w:szCs w:val="21"/>
              </w:rPr>
            </w:pPr>
          </w:p>
        </w:tc>
        <w:tc>
          <w:tcPr>
            <w:tcW w:w="6120" w:type="dxa"/>
            <w:vAlign w:val="center"/>
          </w:tcPr>
          <w:p>
            <w:pPr>
              <w:pStyle w:val="40"/>
              <w:jc w:val="both"/>
              <w:rPr>
                <w:rStyle w:val="245"/>
                <w:rFonts w:hint="default"/>
                <w:b/>
                <w:color w:val="auto"/>
                <w:sz w:val="21"/>
                <w:szCs w:val="21"/>
              </w:rPr>
            </w:pPr>
            <w:r>
              <w:rPr>
                <w:rStyle w:val="245"/>
                <w:rFonts w:hint="default"/>
                <w:b/>
                <w:color w:val="auto"/>
                <w:sz w:val="21"/>
                <w:szCs w:val="21"/>
              </w:rPr>
              <w:t>二、【特殊要求】</w:t>
            </w:r>
          </w:p>
        </w:tc>
        <w:tc>
          <w:tcPr>
            <w:tcW w:w="2880" w:type="dxa"/>
            <w:vAlign w:val="center"/>
          </w:tcPr>
          <w:p>
            <w:pPr>
              <w:rPr>
                <w:rStyle w:val="245"/>
                <w:rFonts w:hint="default"/>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5" w:hRule="atLeast"/>
        </w:trPr>
        <w:tc>
          <w:tcPr>
            <w:tcW w:w="648" w:type="dxa"/>
            <w:vMerge w:val="continue"/>
            <w:vAlign w:val="center"/>
          </w:tcPr>
          <w:p>
            <w:pPr>
              <w:pStyle w:val="489"/>
              <w:widowControl w:val="0"/>
              <w:spacing w:before="0" w:beforeAutospacing="0" w:after="0" w:afterAutospacing="0" w:line="240" w:lineRule="auto"/>
              <w:jc w:val="center"/>
              <w:rPr>
                <w:b/>
                <w:color w:val="auto"/>
                <w:sz w:val="21"/>
                <w:szCs w:val="21"/>
              </w:rPr>
            </w:pPr>
          </w:p>
        </w:tc>
        <w:tc>
          <w:tcPr>
            <w:tcW w:w="6120" w:type="dxa"/>
            <w:vAlign w:val="center"/>
          </w:tcPr>
          <w:p>
            <w:pPr>
              <w:pStyle w:val="40"/>
              <w:jc w:val="both"/>
              <w:rPr>
                <w:rStyle w:val="245"/>
                <w:rFonts w:hint="default"/>
                <w:color w:val="auto"/>
                <w:sz w:val="21"/>
                <w:szCs w:val="21"/>
              </w:rPr>
            </w:pPr>
            <w:r>
              <w:rPr>
                <w:rStyle w:val="245"/>
                <w:rFonts w:hint="default"/>
                <w:color w:val="auto"/>
                <w:sz w:val="21"/>
                <w:szCs w:val="21"/>
              </w:rPr>
              <w:t>（一）【操作安全】</w:t>
            </w:r>
          </w:p>
        </w:tc>
        <w:tc>
          <w:tcPr>
            <w:tcW w:w="2880" w:type="dxa"/>
            <w:vAlign w:val="center"/>
          </w:tcPr>
          <w:p>
            <w:pPr>
              <w:rPr>
                <w:rStyle w:val="245"/>
                <w:rFonts w:hint="default"/>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8" w:hRule="atLeast"/>
        </w:trPr>
        <w:tc>
          <w:tcPr>
            <w:tcW w:w="648" w:type="dxa"/>
            <w:vMerge w:val="continue"/>
            <w:vAlign w:val="center"/>
          </w:tcPr>
          <w:p>
            <w:pPr>
              <w:pStyle w:val="489"/>
              <w:widowControl w:val="0"/>
              <w:spacing w:before="0" w:beforeAutospacing="0" w:after="0" w:afterAutospacing="0" w:line="240" w:lineRule="auto"/>
              <w:jc w:val="center"/>
              <w:rPr>
                <w:b/>
                <w:color w:val="auto"/>
                <w:sz w:val="21"/>
                <w:szCs w:val="21"/>
              </w:rPr>
            </w:pPr>
          </w:p>
        </w:tc>
        <w:tc>
          <w:tcPr>
            <w:tcW w:w="6120" w:type="dxa"/>
            <w:vAlign w:val="center"/>
          </w:tcPr>
          <w:p>
            <w:pPr>
              <w:widowControl/>
              <w:spacing w:line="360" w:lineRule="exact"/>
              <w:ind w:firstLine="320"/>
              <w:rPr>
                <w:rStyle w:val="245"/>
                <w:rFonts w:hint="default"/>
                <w:color w:val="auto"/>
                <w:sz w:val="21"/>
                <w:szCs w:val="21"/>
                <w:lang w:val="en-US"/>
              </w:rPr>
            </w:pPr>
            <w:r>
              <w:rPr>
                <w:rStyle w:val="245"/>
                <w:rFonts w:hint="default"/>
                <w:color w:val="auto"/>
                <w:sz w:val="21"/>
                <w:szCs w:val="21"/>
              </w:rPr>
              <w:t>（1）乙酸乙酯挥发性极强，在大量存在乙酸乙酯的区域或使用乙酸乙酯作业的人员，应配备便携式可燃气体检测报警仪。</w:t>
            </w:r>
          </w:p>
        </w:tc>
        <w:tc>
          <w:tcPr>
            <w:tcW w:w="2880" w:type="dxa"/>
            <w:vAlign w:val="center"/>
          </w:tcPr>
          <w:p>
            <w:pPr>
              <w:rPr>
                <w:rStyle w:val="245"/>
                <w:rFonts w:hint="default"/>
                <w:color w:val="auto"/>
                <w:sz w:val="21"/>
                <w:szCs w:val="21"/>
              </w:rPr>
            </w:pPr>
            <w:r>
              <w:rPr>
                <w:rStyle w:val="245"/>
                <w:rFonts w:hint="default"/>
                <w:color w:val="auto"/>
                <w:sz w:val="21"/>
                <w:szCs w:val="21"/>
              </w:rPr>
              <w:t>乙酸乙酯使用和储存场所安装有固定式可燃气体检测报警仪。符合要求。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6" w:hRule="atLeast"/>
        </w:trPr>
        <w:tc>
          <w:tcPr>
            <w:tcW w:w="648" w:type="dxa"/>
            <w:vMerge w:val="continue"/>
            <w:vAlign w:val="center"/>
          </w:tcPr>
          <w:p>
            <w:pPr>
              <w:pStyle w:val="489"/>
              <w:widowControl w:val="0"/>
              <w:spacing w:before="0" w:beforeAutospacing="0" w:after="0" w:afterAutospacing="0" w:line="240" w:lineRule="auto"/>
              <w:jc w:val="center"/>
              <w:rPr>
                <w:b/>
                <w:color w:val="auto"/>
                <w:sz w:val="21"/>
                <w:szCs w:val="21"/>
              </w:rPr>
            </w:pPr>
          </w:p>
        </w:tc>
        <w:tc>
          <w:tcPr>
            <w:tcW w:w="6120" w:type="dxa"/>
            <w:vAlign w:val="center"/>
          </w:tcPr>
          <w:p>
            <w:pPr>
              <w:widowControl/>
              <w:spacing w:line="340" w:lineRule="exact"/>
              <w:ind w:firstLine="320"/>
              <w:rPr>
                <w:rStyle w:val="245"/>
                <w:rFonts w:hint="default"/>
                <w:color w:val="auto"/>
                <w:sz w:val="21"/>
                <w:szCs w:val="21"/>
                <w:lang w:val="en-US"/>
              </w:rPr>
            </w:pPr>
            <w:r>
              <w:rPr>
                <w:rStyle w:val="245"/>
                <w:rFonts w:hint="default"/>
                <w:color w:val="auto"/>
                <w:sz w:val="21"/>
                <w:szCs w:val="21"/>
              </w:rPr>
              <w:t>（2）灌装时控制管道内流速小于3m/s，且有良好接地装置，防止静电积聚。</w:t>
            </w:r>
          </w:p>
        </w:tc>
        <w:tc>
          <w:tcPr>
            <w:tcW w:w="2880" w:type="dxa"/>
            <w:vAlign w:val="center"/>
          </w:tcPr>
          <w:p>
            <w:pPr>
              <w:spacing w:line="340" w:lineRule="exact"/>
              <w:rPr>
                <w:rStyle w:val="245"/>
                <w:rFonts w:hint="default"/>
                <w:color w:val="auto"/>
                <w:sz w:val="21"/>
                <w:szCs w:val="21"/>
              </w:rPr>
            </w:pPr>
            <w:r>
              <w:rPr>
                <w:rStyle w:val="245"/>
                <w:rFonts w:hint="default"/>
                <w:color w:val="auto"/>
                <w:sz w:val="21"/>
                <w:szCs w:val="21"/>
              </w:rPr>
              <w:t>使用乙酸乙酯生产出来的油漆灌装时控制管道内流速小于3m/s，且有良好接地装置，防止静电积聚。符合要求。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4" w:hRule="atLeast"/>
        </w:trPr>
        <w:tc>
          <w:tcPr>
            <w:tcW w:w="648" w:type="dxa"/>
            <w:vMerge w:val="continue"/>
            <w:vAlign w:val="center"/>
          </w:tcPr>
          <w:p>
            <w:pPr>
              <w:pStyle w:val="489"/>
              <w:widowControl w:val="0"/>
              <w:spacing w:before="0" w:beforeAutospacing="0" w:after="0" w:afterAutospacing="0" w:line="240" w:lineRule="auto"/>
              <w:jc w:val="center"/>
              <w:rPr>
                <w:b/>
                <w:color w:val="auto"/>
                <w:sz w:val="21"/>
                <w:szCs w:val="21"/>
              </w:rPr>
            </w:pPr>
          </w:p>
        </w:tc>
        <w:tc>
          <w:tcPr>
            <w:tcW w:w="6120" w:type="dxa"/>
            <w:vAlign w:val="center"/>
          </w:tcPr>
          <w:p>
            <w:pPr>
              <w:widowControl/>
              <w:spacing w:line="340" w:lineRule="exact"/>
              <w:ind w:firstLine="320"/>
              <w:rPr>
                <w:rStyle w:val="245"/>
                <w:rFonts w:hint="default"/>
                <w:color w:val="auto"/>
                <w:sz w:val="21"/>
                <w:szCs w:val="21"/>
                <w:lang w:val="en-US"/>
              </w:rPr>
            </w:pPr>
            <w:r>
              <w:rPr>
                <w:rStyle w:val="245"/>
                <w:rFonts w:hint="default"/>
                <w:color w:val="auto"/>
                <w:sz w:val="21"/>
                <w:szCs w:val="21"/>
              </w:rPr>
              <w:t>（3）避免将容器置于调温环境中，以免发生泄漏和爆炸。</w:t>
            </w:r>
          </w:p>
        </w:tc>
        <w:tc>
          <w:tcPr>
            <w:tcW w:w="2880" w:type="dxa"/>
            <w:vAlign w:val="center"/>
          </w:tcPr>
          <w:p>
            <w:pPr>
              <w:spacing w:line="340" w:lineRule="exact"/>
              <w:rPr>
                <w:rStyle w:val="245"/>
                <w:rFonts w:hint="default"/>
                <w:color w:val="auto"/>
                <w:sz w:val="21"/>
                <w:szCs w:val="21"/>
              </w:rPr>
            </w:pPr>
            <w:r>
              <w:rPr>
                <w:rStyle w:val="245"/>
                <w:rFonts w:hint="default"/>
                <w:color w:val="auto"/>
                <w:sz w:val="21"/>
                <w:szCs w:val="21"/>
              </w:rPr>
              <w:t>整个生产都在常温常压下生产，没有调温环境。符合要求。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8" w:hRule="atLeast"/>
        </w:trPr>
        <w:tc>
          <w:tcPr>
            <w:tcW w:w="648" w:type="dxa"/>
            <w:vMerge w:val="continue"/>
            <w:vAlign w:val="center"/>
          </w:tcPr>
          <w:p>
            <w:pPr>
              <w:pStyle w:val="489"/>
              <w:widowControl w:val="0"/>
              <w:spacing w:before="0" w:beforeAutospacing="0" w:after="0" w:afterAutospacing="0" w:line="240" w:lineRule="auto"/>
              <w:jc w:val="center"/>
              <w:rPr>
                <w:b/>
                <w:color w:val="auto"/>
                <w:sz w:val="21"/>
                <w:szCs w:val="21"/>
              </w:rPr>
            </w:pPr>
          </w:p>
        </w:tc>
        <w:tc>
          <w:tcPr>
            <w:tcW w:w="6120" w:type="dxa"/>
            <w:vAlign w:val="center"/>
          </w:tcPr>
          <w:p>
            <w:pPr>
              <w:widowControl/>
              <w:spacing w:line="340" w:lineRule="exact"/>
              <w:ind w:firstLine="320"/>
              <w:rPr>
                <w:rStyle w:val="245"/>
                <w:rFonts w:hint="default"/>
                <w:color w:val="auto"/>
                <w:sz w:val="21"/>
                <w:szCs w:val="21"/>
                <w:lang w:val="en-US"/>
              </w:rPr>
            </w:pPr>
            <w:r>
              <w:rPr>
                <w:rStyle w:val="245"/>
                <w:rFonts w:hint="default"/>
                <w:color w:val="auto"/>
                <w:sz w:val="21"/>
                <w:szCs w:val="21"/>
              </w:rPr>
              <w:t>（4）生产装置中宜采用微负压操作，以免蒸气泄漏。</w:t>
            </w:r>
          </w:p>
        </w:tc>
        <w:tc>
          <w:tcPr>
            <w:tcW w:w="2880" w:type="dxa"/>
            <w:vAlign w:val="center"/>
          </w:tcPr>
          <w:p>
            <w:pPr>
              <w:spacing w:line="340" w:lineRule="exact"/>
              <w:rPr>
                <w:rStyle w:val="245"/>
                <w:rFonts w:hint="default"/>
                <w:color w:val="auto"/>
                <w:sz w:val="21"/>
                <w:szCs w:val="21"/>
              </w:rPr>
            </w:pPr>
            <w:r>
              <w:rPr>
                <w:rStyle w:val="245"/>
                <w:rFonts w:hint="default"/>
                <w:color w:val="auto"/>
                <w:sz w:val="21"/>
                <w:szCs w:val="21"/>
              </w:rPr>
              <w:t>此条要求不是强制性。生产油漆一直采用最普遍的方法常压生产。符合要求。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648" w:type="dxa"/>
            <w:vMerge w:val="continue"/>
            <w:vAlign w:val="center"/>
          </w:tcPr>
          <w:p>
            <w:pPr>
              <w:pStyle w:val="489"/>
              <w:widowControl w:val="0"/>
              <w:spacing w:before="0" w:beforeAutospacing="0" w:after="0" w:afterAutospacing="0" w:line="240" w:lineRule="auto"/>
              <w:jc w:val="center"/>
              <w:rPr>
                <w:b/>
                <w:color w:val="auto"/>
                <w:sz w:val="21"/>
                <w:szCs w:val="21"/>
              </w:rPr>
            </w:pPr>
          </w:p>
        </w:tc>
        <w:tc>
          <w:tcPr>
            <w:tcW w:w="6120" w:type="dxa"/>
            <w:vAlign w:val="center"/>
          </w:tcPr>
          <w:p>
            <w:pPr>
              <w:pStyle w:val="40"/>
              <w:spacing w:line="340" w:lineRule="exact"/>
              <w:jc w:val="both"/>
              <w:rPr>
                <w:rStyle w:val="245"/>
                <w:rFonts w:hint="default"/>
                <w:color w:val="auto"/>
                <w:sz w:val="21"/>
                <w:szCs w:val="21"/>
              </w:rPr>
            </w:pPr>
            <w:r>
              <w:rPr>
                <w:rStyle w:val="245"/>
                <w:rFonts w:hint="default"/>
                <w:color w:val="auto"/>
                <w:sz w:val="21"/>
                <w:szCs w:val="21"/>
              </w:rPr>
              <w:t>（二）【储存安全】</w:t>
            </w:r>
          </w:p>
        </w:tc>
        <w:tc>
          <w:tcPr>
            <w:tcW w:w="2880" w:type="dxa"/>
            <w:vAlign w:val="center"/>
          </w:tcPr>
          <w:p>
            <w:pPr>
              <w:spacing w:line="340" w:lineRule="exact"/>
              <w:rPr>
                <w:rStyle w:val="245"/>
                <w:rFonts w:hint="default"/>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0" w:hRule="atLeast"/>
        </w:trPr>
        <w:tc>
          <w:tcPr>
            <w:tcW w:w="648" w:type="dxa"/>
            <w:vMerge w:val="continue"/>
            <w:vAlign w:val="center"/>
          </w:tcPr>
          <w:p>
            <w:pPr>
              <w:pStyle w:val="489"/>
              <w:widowControl w:val="0"/>
              <w:spacing w:before="0" w:beforeAutospacing="0" w:after="0" w:afterAutospacing="0" w:line="240" w:lineRule="auto"/>
              <w:jc w:val="center"/>
              <w:rPr>
                <w:b/>
                <w:color w:val="auto"/>
                <w:sz w:val="21"/>
                <w:szCs w:val="21"/>
              </w:rPr>
            </w:pPr>
          </w:p>
        </w:tc>
        <w:tc>
          <w:tcPr>
            <w:tcW w:w="6120" w:type="dxa"/>
            <w:vAlign w:val="center"/>
          </w:tcPr>
          <w:p>
            <w:pPr>
              <w:widowControl/>
              <w:spacing w:line="340" w:lineRule="exact"/>
              <w:ind w:firstLine="320"/>
              <w:rPr>
                <w:rStyle w:val="245"/>
                <w:rFonts w:hint="default"/>
                <w:color w:val="auto"/>
                <w:sz w:val="21"/>
                <w:szCs w:val="21"/>
              </w:rPr>
            </w:pPr>
            <w:r>
              <w:rPr>
                <w:rStyle w:val="245"/>
                <w:rFonts w:hint="default"/>
                <w:color w:val="auto"/>
                <w:sz w:val="21"/>
                <w:szCs w:val="21"/>
              </w:rPr>
              <w:t>（1）储存于阴凉，通风的库房。远离火种，热源。库房内温度不宜超过30℃。保持容器密封。</w:t>
            </w:r>
          </w:p>
        </w:tc>
        <w:tc>
          <w:tcPr>
            <w:tcW w:w="2880" w:type="dxa"/>
            <w:vAlign w:val="center"/>
          </w:tcPr>
          <w:p>
            <w:pPr>
              <w:spacing w:line="340" w:lineRule="exact"/>
              <w:rPr>
                <w:rStyle w:val="245"/>
                <w:rFonts w:hint="default"/>
                <w:color w:val="auto"/>
                <w:sz w:val="21"/>
                <w:szCs w:val="21"/>
              </w:rPr>
            </w:pPr>
            <w:r>
              <w:rPr>
                <w:rStyle w:val="245"/>
                <w:rFonts w:hint="default"/>
                <w:color w:val="auto"/>
                <w:sz w:val="21"/>
                <w:szCs w:val="21"/>
              </w:rPr>
              <w:t>储存于阴凉，通风的甲类原料库房内。远离火种，热源。库房内温度不超过30℃。乙酸乙酯装在200L的密封性能好的铁桶内。符合要求。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7" w:hRule="atLeast"/>
        </w:trPr>
        <w:tc>
          <w:tcPr>
            <w:tcW w:w="648" w:type="dxa"/>
            <w:vMerge w:val="continue"/>
            <w:vAlign w:val="center"/>
          </w:tcPr>
          <w:p>
            <w:pPr>
              <w:pStyle w:val="489"/>
              <w:widowControl w:val="0"/>
              <w:spacing w:before="0" w:beforeAutospacing="0" w:after="0" w:afterAutospacing="0" w:line="240" w:lineRule="auto"/>
              <w:jc w:val="center"/>
              <w:rPr>
                <w:b/>
                <w:color w:val="auto"/>
                <w:sz w:val="21"/>
                <w:szCs w:val="21"/>
              </w:rPr>
            </w:pPr>
          </w:p>
        </w:tc>
        <w:tc>
          <w:tcPr>
            <w:tcW w:w="6120" w:type="dxa"/>
            <w:vAlign w:val="center"/>
          </w:tcPr>
          <w:p>
            <w:pPr>
              <w:widowControl/>
              <w:spacing w:line="340" w:lineRule="exact"/>
              <w:ind w:firstLine="320"/>
              <w:rPr>
                <w:rStyle w:val="245"/>
                <w:rFonts w:hint="default"/>
                <w:color w:val="auto"/>
                <w:sz w:val="21"/>
                <w:szCs w:val="21"/>
              </w:rPr>
            </w:pPr>
            <w:r>
              <w:rPr>
                <w:rStyle w:val="245"/>
                <w:rFonts w:hint="default"/>
                <w:color w:val="auto"/>
                <w:sz w:val="21"/>
                <w:szCs w:val="21"/>
              </w:rPr>
              <w:t>（2）应与氧化剂、酸类、碱类、食用化学品分开存放，切忌混储。库房内的照明、通风等设施应采用防爆型，开关设在室外。配备相应品种和数量的消防器材。禁止使用易产生火花的机械设备和工具。定期检查是否有泄漏现象。储存区应备有泄漏应急处理设备和合适的收容材料。</w:t>
            </w:r>
          </w:p>
        </w:tc>
        <w:tc>
          <w:tcPr>
            <w:tcW w:w="2880" w:type="dxa"/>
            <w:vAlign w:val="center"/>
          </w:tcPr>
          <w:p>
            <w:pPr>
              <w:spacing w:line="340" w:lineRule="exact"/>
              <w:rPr>
                <w:rStyle w:val="245"/>
                <w:rFonts w:hint="default"/>
                <w:color w:val="auto"/>
                <w:sz w:val="21"/>
                <w:szCs w:val="21"/>
              </w:rPr>
            </w:pPr>
            <w:r>
              <w:rPr>
                <w:rStyle w:val="245"/>
                <w:rFonts w:hint="default"/>
                <w:color w:val="auto"/>
                <w:sz w:val="21"/>
                <w:szCs w:val="21"/>
              </w:rPr>
              <w:t>生产区和储存区没有氧化剂、酸类、碱类、食用化学品。库房内没有安装电器设施。按要求配备有4kg干粉灭火器，消防器材。禁止使用易产生火花的机械设备和工具。每天检查仓库，备有泄漏应急处理设备和合适的收容材料。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86" w:hRule="atLeast"/>
        </w:trPr>
        <w:tc>
          <w:tcPr>
            <w:tcW w:w="648" w:type="dxa"/>
            <w:vMerge w:val="continue"/>
            <w:vAlign w:val="center"/>
          </w:tcPr>
          <w:p>
            <w:pPr>
              <w:pStyle w:val="489"/>
              <w:widowControl w:val="0"/>
              <w:spacing w:before="0" w:beforeAutospacing="0" w:after="0" w:afterAutospacing="0" w:line="240" w:lineRule="auto"/>
              <w:jc w:val="center"/>
              <w:rPr>
                <w:b/>
                <w:color w:val="auto"/>
                <w:sz w:val="21"/>
                <w:szCs w:val="21"/>
              </w:rPr>
            </w:pPr>
          </w:p>
        </w:tc>
        <w:tc>
          <w:tcPr>
            <w:tcW w:w="6120" w:type="dxa"/>
            <w:vAlign w:val="center"/>
          </w:tcPr>
          <w:p>
            <w:pPr>
              <w:pStyle w:val="40"/>
              <w:ind w:firstLine="420" w:firstLineChars="200"/>
              <w:jc w:val="both"/>
              <w:rPr>
                <w:rStyle w:val="245"/>
                <w:rFonts w:hint="default"/>
                <w:color w:val="auto"/>
                <w:sz w:val="21"/>
                <w:szCs w:val="21"/>
              </w:rPr>
            </w:pPr>
            <w:r>
              <w:rPr>
                <w:rStyle w:val="245"/>
                <w:rFonts w:hint="default"/>
                <w:color w:val="auto"/>
                <w:sz w:val="21"/>
                <w:szCs w:val="21"/>
              </w:rPr>
              <w:t>三．【运输安全】</w:t>
            </w:r>
          </w:p>
        </w:tc>
        <w:tc>
          <w:tcPr>
            <w:tcW w:w="2880" w:type="dxa"/>
            <w:vAlign w:val="center"/>
          </w:tcPr>
          <w:p>
            <w:pPr>
              <w:rPr>
                <w:rStyle w:val="245"/>
                <w:rFonts w:hint="default"/>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4" w:hRule="atLeast"/>
        </w:trPr>
        <w:tc>
          <w:tcPr>
            <w:tcW w:w="648" w:type="dxa"/>
            <w:vMerge w:val="continue"/>
            <w:vAlign w:val="center"/>
          </w:tcPr>
          <w:p>
            <w:pPr>
              <w:pStyle w:val="489"/>
              <w:widowControl w:val="0"/>
              <w:spacing w:before="0" w:beforeAutospacing="0" w:after="0" w:afterAutospacing="0" w:line="240" w:lineRule="auto"/>
              <w:jc w:val="center"/>
              <w:rPr>
                <w:b/>
                <w:color w:val="auto"/>
                <w:sz w:val="21"/>
                <w:szCs w:val="21"/>
              </w:rPr>
            </w:pPr>
          </w:p>
        </w:tc>
        <w:tc>
          <w:tcPr>
            <w:tcW w:w="6120" w:type="dxa"/>
            <w:vAlign w:val="center"/>
          </w:tcPr>
          <w:p>
            <w:pPr>
              <w:widowControl/>
              <w:spacing w:line="340" w:lineRule="exact"/>
              <w:ind w:firstLine="320"/>
              <w:rPr>
                <w:rStyle w:val="245"/>
                <w:rFonts w:hint="default"/>
                <w:color w:val="auto"/>
                <w:sz w:val="21"/>
                <w:szCs w:val="21"/>
              </w:rPr>
            </w:pPr>
            <w:r>
              <w:rPr>
                <w:rStyle w:val="245"/>
                <w:rFonts w:hint="default"/>
                <w:color w:val="auto"/>
                <w:sz w:val="21"/>
                <w:szCs w:val="21"/>
              </w:rPr>
              <w:t>（1）运输车辆应有危险货物运输标志、安装具有行驶记录功能的卫星定位装置。未经公安机关批准，运输车辆不得进入危险化学品运输车辆限制通行的区域。</w:t>
            </w:r>
          </w:p>
        </w:tc>
        <w:tc>
          <w:tcPr>
            <w:tcW w:w="2880" w:type="dxa"/>
            <w:vAlign w:val="center"/>
          </w:tcPr>
          <w:p>
            <w:pPr>
              <w:spacing w:line="340" w:lineRule="exact"/>
              <w:rPr>
                <w:rStyle w:val="245"/>
                <w:rFonts w:hint="default"/>
                <w:color w:val="auto"/>
                <w:sz w:val="21"/>
                <w:szCs w:val="21"/>
              </w:rPr>
            </w:pPr>
            <w:r>
              <w:rPr>
                <w:rStyle w:val="245"/>
                <w:rFonts w:hint="default"/>
                <w:color w:val="auto"/>
                <w:sz w:val="21"/>
                <w:szCs w:val="21"/>
              </w:rPr>
              <w:t>不参与运输，由经营单位送货到厂区内。符合要求。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7" w:hRule="atLeast"/>
        </w:trPr>
        <w:tc>
          <w:tcPr>
            <w:tcW w:w="648" w:type="dxa"/>
            <w:vMerge w:val="continue"/>
            <w:vAlign w:val="center"/>
          </w:tcPr>
          <w:p>
            <w:pPr>
              <w:pStyle w:val="489"/>
              <w:widowControl w:val="0"/>
              <w:spacing w:before="0" w:beforeAutospacing="0" w:after="0" w:afterAutospacing="0" w:line="240" w:lineRule="auto"/>
              <w:jc w:val="center"/>
              <w:rPr>
                <w:b/>
                <w:color w:val="auto"/>
                <w:sz w:val="21"/>
                <w:szCs w:val="21"/>
              </w:rPr>
            </w:pPr>
          </w:p>
        </w:tc>
        <w:tc>
          <w:tcPr>
            <w:tcW w:w="6120" w:type="dxa"/>
            <w:vAlign w:val="center"/>
          </w:tcPr>
          <w:p>
            <w:pPr>
              <w:spacing w:line="340" w:lineRule="exact"/>
              <w:ind w:firstLine="420" w:firstLineChars="200"/>
              <w:rPr>
                <w:rStyle w:val="245"/>
                <w:rFonts w:hint="default"/>
                <w:color w:val="auto"/>
                <w:sz w:val="21"/>
                <w:szCs w:val="21"/>
              </w:rPr>
            </w:pPr>
            <w:r>
              <w:rPr>
                <w:rStyle w:val="245"/>
                <w:rFonts w:hint="default"/>
                <w:color w:val="auto"/>
                <w:sz w:val="21"/>
                <w:szCs w:val="21"/>
              </w:rPr>
              <w:t>（2）运输时所用的槽（罐）车应有接地链，槽内可设孔隔板以减少震荡产生静电。运输车辆应配备相应品种和数量的消防器材及泄漏应急处理设备。装运该物品的车辆排气管必须配备阻火装置，禁止使用易产生火花的机械设备和工具装卸。严禁与氧化剂、酸类、碱类、食用化学品等混装混运。运输途中应防爆晒、雨淋，防高温。中途停留时应远离火种、热源、高温区，勿在居民区和人口稠密区停留。高温季节最好早晚运输。</w:t>
            </w:r>
          </w:p>
        </w:tc>
        <w:tc>
          <w:tcPr>
            <w:tcW w:w="2880" w:type="dxa"/>
            <w:vAlign w:val="center"/>
          </w:tcPr>
          <w:p>
            <w:pPr>
              <w:spacing w:line="340" w:lineRule="exact"/>
              <w:rPr>
                <w:rStyle w:val="245"/>
                <w:rFonts w:hint="default"/>
                <w:color w:val="auto"/>
                <w:sz w:val="21"/>
                <w:szCs w:val="21"/>
              </w:rPr>
            </w:pPr>
            <w:r>
              <w:rPr>
                <w:rStyle w:val="245"/>
                <w:rFonts w:hint="default"/>
                <w:color w:val="auto"/>
                <w:sz w:val="21"/>
                <w:szCs w:val="21"/>
              </w:rPr>
              <w:t>不参与运输，由经营单位送货到厂区内。符合要求。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21" w:hRule="atLeast"/>
        </w:trPr>
        <w:tc>
          <w:tcPr>
            <w:tcW w:w="648" w:type="dxa"/>
            <w:vMerge w:val="restart"/>
            <w:tcBorders>
              <w:bottom w:val="single" w:color="auto" w:sz="4" w:space="0"/>
            </w:tcBorders>
            <w:vAlign w:val="center"/>
          </w:tcPr>
          <w:p>
            <w:pPr>
              <w:pStyle w:val="489"/>
              <w:widowControl w:val="0"/>
              <w:spacing w:before="0" w:beforeAutospacing="0" w:after="0" w:afterAutospacing="0" w:line="240" w:lineRule="auto"/>
              <w:jc w:val="center"/>
              <w:rPr>
                <w:b/>
                <w:color w:val="auto"/>
                <w:sz w:val="21"/>
                <w:szCs w:val="21"/>
              </w:rPr>
            </w:pPr>
            <w:r>
              <w:rPr>
                <w:rFonts w:hint="eastAsia"/>
                <w:b/>
                <w:color w:val="auto"/>
                <w:sz w:val="21"/>
                <w:szCs w:val="21"/>
              </w:rPr>
              <w:t>应</w:t>
            </w:r>
          </w:p>
          <w:p>
            <w:pPr>
              <w:pStyle w:val="489"/>
              <w:widowControl w:val="0"/>
              <w:spacing w:before="0" w:beforeAutospacing="0" w:after="0" w:afterAutospacing="0" w:line="240" w:lineRule="auto"/>
              <w:jc w:val="center"/>
              <w:rPr>
                <w:b/>
                <w:color w:val="auto"/>
                <w:sz w:val="21"/>
                <w:szCs w:val="21"/>
              </w:rPr>
            </w:pPr>
            <w:r>
              <w:rPr>
                <w:rFonts w:hint="eastAsia"/>
                <w:b/>
                <w:color w:val="auto"/>
                <w:sz w:val="21"/>
                <w:szCs w:val="21"/>
              </w:rPr>
              <w:t>急</w:t>
            </w:r>
          </w:p>
          <w:p>
            <w:pPr>
              <w:pStyle w:val="489"/>
              <w:widowControl w:val="0"/>
              <w:spacing w:before="0" w:beforeAutospacing="0" w:after="0" w:afterAutospacing="0" w:line="240" w:lineRule="auto"/>
              <w:jc w:val="center"/>
              <w:rPr>
                <w:b/>
                <w:color w:val="auto"/>
                <w:sz w:val="21"/>
                <w:szCs w:val="21"/>
              </w:rPr>
            </w:pPr>
            <w:r>
              <w:rPr>
                <w:rFonts w:hint="eastAsia"/>
                <w:b/>
                <w:color w:val="auto"/>
                <w:sz w:val="21"/>
                <w:szCs w:val="21"/>
              </w:rPr>
              <w:t>处</w:t>
            </w:r>
          </w:p>
          <w:p>
            <w:pPr>
              <w:pStyle w:val="489"/>
              <w:widowControl w:val="0"/>
              <w:spacing w:before="0" w:beforeAutospacing="0" w:after="0" w:afterAutospacing="0" w:line="240" w:lineRule="auto"/>
              <w:jc w:val="center"/>
              <w:rPr>
                <w:b/>
                <w:color w:val="auto"/>
                <w:sz w:val="21"/>
                <w:szCs w:val="21"/>
              </w:rPr>
            </w:pPr>
            <w:r>
              <w:rPr>
                <w:rFonts w:hint="eastAsia"/>
                <w:b/>
                <w:color w:val="auto"/>
                <w:sz w:val="21"/>
                <w:szCs w:val="21"/>
              </w:rPr>
              <w:t>置</w:t>
            </w:r>
          </w:p>
          <w:p>
            <w:pPr>
              <w:pStyle w:val="489"/>
              <w:widowControl w:val="0"/>
              <w:spacing w:before="0" w:beforeAutospacing="0" w:after="0" w:afterAutospacing="0" w:line="240" w:lineRule="auto"/>
              <w:jc w:val="center"/>
              <w:rPr>
                <w:b/>
                <w:color w:val="auto"/>
                <w:sz w:val="21"/>
                <w:szCs w:val="21"/>
              </w:rPr>
            </w:pPr>
            <w:r>
              <w:rPr>
                <w:rFonts w:hint="eastAsia"/>
                <w:b/>
                <w:color w:val="auto"/>
                <w:sz w:val="21"/>
                <w:szCs w:val="21"/>
              </w:rPr>
              <w:t>原</w:t>
            </w:r>
          </w:p>
          <w:p>
            <w:pPr>
              <w:pStyle w:val="489"/>
              <w:widowControl w:val="0"/>
              <w:spacing w:before="0" w:beforeAutospacing="0" w:after="0" w:afterAutospacing="0" w:line="240" w:lineRule="auto"/>
              <w:jc w:val="center"/>
              <w:rPr>
                <w:color w:val="auto"/>
                <w:sz w:val="21"/>
                <w:szCs w:val="21"/>
              </w:rPr>
            </w:pPr>
            <w:r>
              <w:rPr>
                <w:rFonts w:hint="eastAsia"/>
                <w:b/>
                <w:color w:val="auto"/>
                <w:sz w:val="21"/>
                <w:szCs w:val="21"/>
              </w:rPr>
              <w:t>则</w:t>
            </w:r>
          </w:p>
        </w:tc>
        <w:tc>
          <w:tcPr>
            <w:tcW w:w="6120" w:type="dxa"/>
            <w:tcBorders>
              <w:bottom w:val="single" w:color="auto" w:sz="4" w:space="0"/>
            </w:tcBorders>
            <w:vAlign w:val="center"/>
          </w:tcPr>
          <w:p>
            <w:pPr>
              <w:spacing w:line="360" w:lineRule="exact"/>
              <w:rPr>
                <w:b/>
                <w:color w:val="auto"/>
                <w:szCs w:val="21"/>
              </w:rPr>
            </w:pPr>
            <w:r>
              <w:rPr>
                <w:rFonts w:hint="eastAsia"/>
                <w:color w:val="auto"/>
                <w:szCs w:val="21"/>
              </w:rPr>
              <w:t>【急救措施】</w:t>
            </w:r>
          </w:p>
          <w:p>
            <w:pPr>
              <w:spacing w:line="360" w:lineRule="exact"/>
              <w:ind w:firstLine="480" w:firstLineChars="200"/>
              <w:rPr>
                <w:color w:val="auto"/>
                <w:szCs w:val="21"/>
              </w:rPr>
            </w:pPr>
            <w:r>
              <w:rPr>
                <w:rFonts w:hint="eastAsia"/>
                <w:color w:val="auto"/>
                <w:szCs w:val="21"/>
              </w:rPr>
              <w:t>吸入：将患者移到空气新鲜处。保持呼吸道通畅，如果呼吸困难，给氧。若呼吸、心跳停止、给予心肺复苏。就医。</w:t>
            </w:r>
          </w:p>
          <w:p>
            <w:pPr>
              <w:spacing w:line="360" w:lineRule="exact"/>
              <w:ind w:firstLine="480" w:firstLineChars="200"/>
              <w:rPr>
                <w:color w:val="auto"/>
                <w:szCs w:val="21"/>
              </w:rPr>
            </w:pPr>
            <w:r>
              <w:rPr>
                <w:rFonts w:hint="eastAsia"/>
                <w:color w:val="auto"/>
                <w:szCs w:val="21"/>
              </w:rPr>
              <w:t>食入：饮足量温水，催吐。尽快就医。</w:t>
            </w:r>
          </w:p>
          <w:p>
            <w:pPr>
              <w:spacing w:line="360" w:lineRule="exact"/>
              <w:ind w:firstLine="480" w:firstLineChars="200"/>
              <w:rPr>
                <w:color w:val="auto"/>
                <w:szCs w:val="21"/>
              </w:rPr>
            </w:pPr>
            <w:r>
              <w:rPr>
                <w:rFonts w:hint="eastAsia"/>
                <w:color w:val="auto"/>
                <w:szCs w:val="21"/>
              </w:rPr>
              <w:t>皮肤接触：脱去污染的衣着，用肥皂水和清水彻底冲洗皮肤至少15分钟。如有不适感，就医。</w:t>
            </w:r>
          </w:p>
          <w:p>
            <w:pPr>
              <w:spacing w:line="360" w:lineRule="exact"/>
              <w:ind w:firstLine="480" w:firstLineChars="200"/>
              <w:rPr>
                <w:color w:val="auto"/>
                <w:szCs w:val="21"/>
              </w:rPr>
            </w:pPr>
            <w:r>
              <w:rPr>
                <w:rFonts w:hint="eastAsia"/>
                <w:color w:val="auto"/>
                <w:szCs w:val="21"/>
              </w:rPr>
              <w:t>眼睛接触：立即提起眼睑，用大量流动清水或生理盐水彻底冲洗至少15分钟。就医。</w:t>
            </w:r>
          </w:p>
        </w:tc>
        <w:tc>
          <w:tcPr>
            <w:tcW w:w="2880" w:type="dxa"/>
            <w:tcBorders>
              <w:bottom w:val="single" w:color="auto" w:sz="4" w:space="0"/>
            </w:tcBorders>
            <w:vAlign w:val="center"/>
          </w:tcPr>
          <w:p>
            <w:pPr>
              <w:pStyle w:val="40"/>
              <w:spacing w:before="0" w:beforeAutospacing="0" w:after="0" w:afterAutospacing="0"/>
              <w:jc w:val="both"/>
              <w:rPr>
                <w:color w:val="auto"/>
                <w:sz w:val="21"/>
                <w:szCs w:val="21"/>
              </w:rPr>
            </w:pPr>
            <w:r>
              <w:rPr>
                <w:rFonts w:hint="eastAsia"/>
                <w:color w:val="auto"/>
                <w:sz w:val="21"/>
                <w:szCs w:val="21"/>
              </w:rPr>
              <w:t>现场配备有洗眼设备等，</w:t>
            </w:r>
            <w:r>
              <w:rPr>
                <w:rStyle w:val="245"/>
                <w:rFonts w:hint="default"/>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97" w:hRule="atLeast"/>
        </w:trPr>
        <w:tc>
          <w:tcPr>
            <w:tcW w:w="648" w:type="dxa"/>
            <w:vMerge w:val="continue"/>
            <w:vAlign w:val="center"/>
          </w:tcPr>
          <w:p>
            <w:pPr>
              <w:pStyle w:val="489"/>
              <w:widowControl w:val="0"/>
              <w:spacing w:before="0" w:beforeAutospacing="0" w:after="0" w:afterAutospacing="0" w:line="240" w:lineRule="auto"/>
              <w:jc w:val="center"/>
              <w:rPr>
                <w:b/>
                <w:color w:val="auto"/>
                <w:sz w:val="21"/>
                <w:szCs w:val="21"/>
              </w:rPr>
            </w:pPr>
          </w:p>
        </w:tc>
        <w:tc>
          <w:tcPr>
            <w:tcW w:w="6120" w:type="dxa"/>
            <w:vAlign w:val="center"/>
          </w:tcPr>
          <w:p>
            <w:pPr>
              <w:spacing w:line="360" w:lineRule="exact"/>
              <w:rPr>
                <w:b/>
                <w:color w:val="auto"/>
                <w:szCs w:val="21"/>
              </w:rPr>
            </w:pPr>
            <w:r>
              <w:rPr>
                <w:rFonts w:hint="eastAsia"/>
                <w:color w:val="auto"/>
                <w:szCs w:val="21"/>
              </w:rPr>
              <w:t>【灭火方法】</w:t>
            </w:r>
          </w:p>
          <w:p>
            <w:pPr>
              <w:spacing w:line="360" w:lineRule="exact"/>
              <w:ind w:firstLine="480" w:firstLineChars="200"/>
              <w:rPr>
                <w:rStyle w:val="245"/>
                <w:rFonts w:hint="default"/>
                <w:b/>
                <w:color w:val="auto"/>
                <w:sz w:val="21"/>
                <w:szCs w:val="21"/>
              </w:rPr>
            </w:pPr>
            <w:r>
              <w:rPr>
                <w:rFonts w:hint="eastAsia"/>
                <w:color w:val="auto"/>
                <w:szCs w:val="21"/>
              </w:rPr>
              <w:t>采用抗溶性泡沫、二氧化碳、干粉、砂土灭火。用水灭火无效，但可用水保持火场中容器冷却。</w:t>
            </w:r>
          </w:p>
        </w:tc>
        <w:tc>
          <w:tcPr>
            <w:tcW w:w="2880" w:type="dxa"/>
            <w:vAlign w:val="center"/>
          </w:tcPr>
          <w:p>
            <w:pPr>
              <w:pStyle w:val="40"/>
              <w:spacing w:before="0" w:beforeAutospacing="0" w:after="0" w:afterAutospacing="0"/>
              <w:jc w:val="both"/>
              <w:rPr>
                <w:color w:val="auto"/>
                <w:sz w:val="21"/>
                <w:szCs w:val="21"/>
              </w:rPr>
            </w:pPr>
            <w:r>
              <w:rPr>
                <w:rFonts w:hint="eastAsia"/>
                <w:color w:val="auto"/>
                <w:sz w:val="21"/>
                <w:szCs w:val="21"/>
              </w:rPr>
              <w:t>使用和储存现场配置有干粉灭火器等消防器材。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67" w:hRule="atLeast"/>
        </w:trPr>
        <w:tc>
          <w:tcPr>
            <w:tcW w:w="648" w:type="dxa"/>
            <w:vMerge w:val="continue"/>
            <w:vAlign w:val="center"/>
          </w:tcPr>
          <w:p>
            <w:pPr>
              <w:pStyle w:val="489"/>
              <w:widowControl w:val="0"/>
              <w:spacing w:before="0" w:beforeAutospacing="0" w:after="0" w:afterAutospacing="0" w:line="240" w:lineRule="auto"/>
              <w:jc w:val="center"/>
              <w:rPr>
                <w:b/>
                <w:color w:val="auto"/>
                <w:sz w:val="21"/>
                <w:szCs w:val="21"/>
              </w:rPr>
            </w:pPr>
          </w:p>
        </w:tc>
        <w:tc>
          <w:tcPr>
            <w:tcW w:w="6120" w:type="dxa"/>
            <w:vAlign w:val="center"/>
          </w:tcPr>
          <w:p>
            <w:pPr>
              <w:spacing w:line="360" w:lineRule="exact"/>
              <w:rPr>
                <w:b/>
                <w:color w:val="auto"/>
                <w:szCs w:val="21"/>
              </w:rPr>
            </w:pPr>
            <w:r>
              <w:rPr>
                <w:rFonts w:hint="eastAsia"/>
                <w:color w:val="auto"/>
                <w:szCs w:val="21"/>
              </w:rPr>
              <w:t>【泄漏应急处置】</w:t>
            </w:r>
          </w:p>
          <w:p>
            <w:pPr>
              <w:spacing w:line="360" w:lineRule="exact"/>
              <w:ind w:firstLine="420" w:firstLineChars="200"/>
              <w:rPr>
                <w:rStyle w:val="245"/>
                <w:rFonts w:hint="default"/>
                <w:color w:val="auto"/>
                <w:sz w:val="21"/>
                <w:szCs w:val="21"/>
              </w:rPr>
            </w:pPr>
            <w:r>
              <w:rPr>
                <w:rStyle w:val="245"/>
                <w:rFonts w:hint="default"/>
                <w:color w:val="auto"/>
                <w:sz w:val="21"/>
                <w:szCs w:val="21"/>
              </w:rPr>
              <w:t>消除所有点火源。根据液体流动和蒸气扩散的影响区域划定警戒区，无关人员从侧风、上风向撤离至安全区。建议应急处理人员戴正压自给式空气呼吸器，穿防静电服。作业时使用的所有设备应接地。禁止接触或跨越泄漏物。尽可能切断泄漏源。防止泄漏物进入水体、下水道、地下室或密闭性空间。小量泄漏：用砂土或其它不燃材料吸收。使用洁净的无火花工具收集吸收材料。大量泄漏：构筑围堤或挖坑收容。用泡沫覆盖，减少蒸发。喷水雾能减少蒸发，但不能降低泄漏物在受限制空间内的易燃性。用防爆泵转移至槽车或专用收集器内。喷雾状水驱散蒸气、稀释液体泄漏物。</w:t>
            </w:r>
          </w:p>
          <w:p>
            <w:pPr>
              <w:pStyle w:val="40"/>
              <w:spacing w:before="0" w:beforeAutospacing="0" w:after="0" w:afterAutospacing="0"/>
              <w:ind w:firstLine="420" w:firstLineChars="200"/>
              <w:jc w:val="both"/>
              <w:rPr>
                <w:color w:val="auto"/>
                <w:sz w:val="21"/>
                <w:szCs w:val="21"/>
              </w:rPr>
            </w:pPr>
            <w:r>
              <w:rPr>
                <w:rStyle w:val="245"/>
                <w:rFonts w:hint="default"/>
                <w:color w:val="auto"/>
                <w:sz w:val="21"/>
                <w:szCs w:val="21"/>
              </w:rPr>
              <w:t>作为一项紧急预防措施，泄漏隔离距离周围至少为50m。如果为大量泄漏，下风向的初始疏散距离应至少为300m。</w:t>
            </w:r>
          </w:p>
        </w:tc>
        <w:tc>
          <w:tcPr>
            <w:tcW w:w="2880" w:type="dxa"/>
            <w:vAlign w:val="center"/>
          </w:tcPr>
          <w:p>
            <w:pPr>
              <w:pStyle w:val="40"/>
              <w:spacing w:before="0" w:beforeAutospacing="0" w:after="0" w:afterAutospacing="0"/>
              <w:jc w:val="both"/>
              <w:rPr>
                <w:color w:val="auto"/>
                <w:sz w:val="21"/>
                <w:szCs w:val="21"/>
              </w:rPr>
            </w:pPr>
            <w:r>
              <w:rPr>
                <w:rFonts w:hint="eastAsia"/>
                <w:color w:val="auto"/>
                <w:sz w:val="21"/>
                <w:szCs w:val="21"/>
              </w:rPr>
              <w:t>应急处置已在编制好的应急预案中有所反映。</w:t>
            </w:r>
            <w:r>
              <w:rPr>
                <w:rStyle w:val="245"/>
                <w:rFonts w:hint="default"/>
                <w:color w:val="auto"/>
                <w:sz w:val="21"/>
                <w:szCs w:val="21"/>
              </w:rPr>
              <w:t>生产车间所有设备已接地。</w:t>
            </w:r>
          </w:p>
        </w:tc>
      </w:tr>
    </w:tbl>
    <w:p>
      <w:pPr>
        <w:jc w:val="center"/>
        <w:rPr>
          <w:rFonts w:ascii="宋体" w:hAnsi="宋体"/>
          <w:b/>
          <w:color w:val="auto"/>
          <w:sz w:val="28"/>
        </w:rPr>
      </w:pPr>
      <w:r>
        <w:rPr>
          <w:rFonts w:hint="eastAsia" w:ascii="宋体" w:hAnsi="宋体"/>
          <w:b/>
          <w:color w:val="auto"/>
          <w:sz w:val="28"/>
        </w:rPr>
        <w:t>硝化纤维素溶液</w:t>
      </w:r>
      <w:r>
        <w:rPr>
          <w:rFonts w:ascii="宋体" w:hAnsi="宋体"/>
          <w:b/>
          <w:color w:val="auto"/>
          <w:sz w:val="28"/>
        </w:rPr>
        <w:t>[</w:t>
      </w:r>
      <w:r>
        <w:rPr>
          <w:rFonts w:hint="eastAsia" w:ascii="宋体" w:hAnsi="宋体"/>
          <w:b/>
          <w:color w:val="auto"/>
          <w:sz w:val="28"/>
        </w:rPr>
        <w:t>含氮量≤</w:t>
      </w:r>
      <w:r>
        <w:rPr>
          <w:rFonts w:ascii="宋体" w:hAnsi="宋体"/>
          <w:b/>
          <w:color w:val="auto"/>
          <w:sz w:val="28"/>
        </w:rPr>
        <w:t>12.6%</w:t>
      </w:r>
      <w:r>
        <w:rPr>
          <w:rFonts w:hint="eastAsia" w:ascii="宋体" w:hAnsi="宋体"/>
          <w:b/>
          <w:color w:val="auto"/>
          <w:sz w:val="28"/>
        </w:rPr>
        <w:t>，含硝化纤维素≤</w:t>
      </w:r>
      <w:r>
        <w:rPr>
          <w:rFonts w:ascii="宋体" w:hAnsi="宋体"/>
          <w:b/>
          <w:color w:val="auto"/>
          <w:sz w:val="28"/>
        </w:rPr>
        <w:t>55%]</w:t>
      </w:r>
    </w:p>
    <w:tbl>
      <w:tblPr>
        <w:tblStyle w:val="4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5697"/>
        <w:gridCol w:w="33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648" w:type="dxa"/>
            <w:vAlign w:val="center"/>
          </w:tcPr>
          <w:p>
            <w:pPr>
              <w:pStyle w:val="489"/>
              <w:widowControl w:val="0"/>
              <w:spacing w:line="240" w:lineRule="auto"/>
              <w:rPr>
                <w:b/>
                <w:color w:val="auto"/>
                <w:sz w:val="21"/>
                <w:szCs w:val="21"/>
              </w:rPr>
            </w:pPr>
            <w:r>
              <w:rPr>
                <w:rFonts w:hint="eastAsia"/>
                <w:b/>
                <w:color w:val="auto"/>
                <w:sz w:val="21"/>
                <w:szCs w:val="21"/>
              </w:rPr>
              <w:t>项目</w:t>
            </w:r>
          </w:p>
        </w:tc>
        <w:tc>
          <w:tcPr>
            <w:tcW w:w="5697" w:type="dxa"/>
            <w:vAlign w:val="center"/>
          </w:tcPr>
          <w:p>
            <w:pPr>
              <w:pStyle w:val="40"/>
              <w:spacing w:before="0" w:beforeAutospacing="0" w:after="0" w:afterAutospacing="0"/>
              <w:jc w:val="center"/>
              <w:rPr>
                <w:b/>
                <w:color w:val="auto"/>
                <w:sz w:val="21"/>
                <w:szCs w:val="21"/>
              </w:rPr>
            </w:pPr>
            <w:r>
              <w:rPr>
                <w:rFonts w:hint="eastAsia"/>
                <w:b/>
                <w:color w:val="auto"/>
                <w:sz w:val="21"/>
                <w:szCs w:val="21"/>
              </w:rPr>
              <w:t>安监总管三〔2013〕12号文件要求</w:t>
            </w:r>
          </w:p>
        </w:tc>
        <w:tc>
          <w:tcPr>
            <w:tcW w:w="3303" w:type="dxa"/>
            <w:vAlign w:val="center"/>
          </w:tcPr>
          <w:p>
            <w:pPr>
              <w:pStyle w:val="40"/>
              <w:spacing w:before="0" w:beforeAutospacing="0" w:after="0" w:afterAutospacing="0"/>
              <w:jc w:val="center"/>
              <w:rPr>
                <w:b/>
                <w:color w:val="auto"/>
                <w:sz w:val="21"/>
                <w:szCs w:val="21"/>
              </w:rPr>
            </w:pPr>
            <w:r>
              <w:rPr>
                <w:rFonts w:hint="eastAsia"/>
                <w:b/>
                <w:color w:val="auto"/>
                <w:sz w:val="21"/>
                <w:szCs w:val="21"/>
              </w:rPr>
              <w:t>实际符合情况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8" w:hRule="atLeast"/>
        </w:trPr>
        <w:tc>
          <w:tcPr>
            <w:tcW w:w="648" w:type="dxa"/>
            <w:vMerge w:val="restart"/>
            <w:vAlign w:val="center"/>
          </w:tcPr>
          <w:p>
            <w:pPr>
              <w:pStyle w:val="489"/>
              <w:widowControl w:val="0"/>
              <w:spacing w:before="0" w:beforeAutospacing="0" w:after="0" w:afterAutospacing="0" w:line="240" w:lineRule="auto"/>
              <w:jc w:val="center"/>
              <w:rPr>
                <w:b/>
                <w:color w:val="auto"/>
                <w:sz w:val="21"/>
                <w:szCs w:val="21"/>
              </w:rPr>
            </w:pPr>
            <w:r>
              <w:rPr>
                <w:rFonts w:hint="eastAsia"/>
                <w:b/>
                <w:color w:val="auto"/>
                <w:sz w:val="21"/>
                <w:szCs w:val="21"/>
              </w:rPr>
              <w:t>安</w:t>
            </w:r>
          </w:p>
          <w:p>
            <w:pPr>
              <w:pStyle w:val="489"/>
              <w:widowControl w:val="0"/>
              <w:spacing w:before="0" w:beforeAutospacing="0" w:after="0" w:afterAutospacing="0" w:line="240" w:lineRule="auto"/>
              <w:jc w:val="center"/>
              <w:rPr>
                <w:b/>
                <w:color w:val="auto"/>
                <w:sz w:val="21"/>
                <w:szCs w:val="21"/>
              </w:rPr>
            </w:pPr>
            <w:r>
              <w:rPr>
                <w:rFonts w:hint="eastAsia"/>
                <w:b/>
                <w:color w:val="auto"/>
                <w:sz w:val="21"/>
                <w:szCs w:val="21"/>
              </w:rPr>
              <w:t>全</w:t>
            </w:r>
          </w:p>
          <w:p>
            <w:pPr>
              <w:pStyle w:val="489"/>
              <w:widowControl w:val="0"/>
              <w:spacing w:before="0" w:beforeAutospacing="0" w:after="0" w:afterAutospacing="0" w:line="240" w:lineRule="auto"/>
              <w:jc w:val="center"/>
              <w:rPr>
                <w:b/>
                <w:color w:val="auto"/>
                <w:sz w:val="21"/>
                <w:szCs w:val="21"/>
              </w:rPr>
            </w:pPr>
            <w:r>
              <w:rPr>
                <w:rFonts w:hint="eastAsia"/>
                <w:b/>
                <w:color w:val="auto"/>
                <w:sz w:val="21"/>
                <w:szCs w:val="21"/>
              </w:rPr>
              <w:t>措</w:t>
            </w:r>
          </w:p>
          <w:p>
            <w:pPr>
              <w:pStyle w:val="489"/>
              <w:widowControl w:val="0"/>
              <w:spacing w:before="0" w:beforeAutospacing="0" w:after="0" w:afterAutospacing="0" w:line="240" w:lineRule="auto"/>
              <w:jc w:val="center"/>
              <w:rPr>
                <w:b/>
                <w:color w:val="auto"/>
                <w:sz w:val="21"/>
                <w:szCs w:val="21"/>
              </w:rPr>
            </w:pPr>
            <w:r>
              <w:rPr>
                <w:rFonts w:hint="eastAsia"/>
                <w:b/>
                <w:color w:val="auto"/>
                <w:sz w:val="21"/>
                <w:szCs w:val="21"/>
              </w:rPr>
              <w:t>施</w:t>
            </w:r>
          </w:p>
        </w:tc>
        <w:tc>
          <w:tcPr>
            <w:tcW w:w="5697" w:type="dxa"/>
            <w:vAlign w:val="center"/>
          </w:tcPr>
          <w:p>
            <w:pPr>
              <w:pStyle w:val="40"/>
              <w:jc w:val="both"/>
              <w:rPr>
                <w:rStyle w:val="245"/>
                <w:rFonts w:hint="default"/>
                <w:b/>
                <w:color w:val="auto"/>
                <w:sz w:val="21"/>
                <w:szCs w:val="21"/>
              </w:rPr>
            </w:pPr>
            <w:r>
              <w:rPr>
                <w:rStyle w:val="245"/>
                <w:rFonts w:hint="default"/>
                <w:b/>
                <w:color w:val="auto"/>
                <w:sz w:val="21"/>
                <w:szCs w:val="21"/>
              </w:rPr>
              <w:t>一、【一般要求】</w:t>
            </w:r>
          </w:p>
        </w:tc>
        <w:tc>
          <w:tcPr>
            <w:tcW w:w="3303" w:type="dxa"/>
            <w:vAlign w:val="center"/>
          </w:tcPr>
          <w:p>
            <w:pPr>
              <w:rPr>
                <w:rStyle w:val="245"/>
                <w:rFonts w:hint="default"/>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2" w:hRule="atLeast"/>
        </w:trPr>
        <w:tc>
          <w:tcPr>
            <w:tcW w:w="648" w:type="dxa"/>
            <w:vMerge w:val="continue"/>
            <w:vAlign w:val="center"/>
          </w:tcPr>
          <w:p>
            <w:pPr>
              <w:pStyle w:val="489"/>
              <w:widowControl w:val="0"/>
              <w:spacing w:before="0" w:beforeAutospacing="0" w:after="0" w:afterAutospacing="0" w:line="240" w:lineRule="auto"/>
              <w:jc w:val="center"/>
              <w:rPr>
                <w:b/>
                <w:color w:val="auto"/>
                <w:sz w:val="21"/>
                <w:szCs w:val="21"/>
              </w:rPr>
            </w:pPr>
          </w:p>
        </w:tc>
        <w:tc>
          <w:tcPr>
            <w:tcW w:w="5697" w:type="dxa"/>
            <w:vAlign w:val="center"/>
          </w:tcPr>
          <w:p>
            <w:pPr>
              <w:widowControl/>
              <w:spacing w:line="360" w:lineRule="exact"/>
              <w:ind w:firstLine="420" w:firstLineChars="200"/>
              <w:rPr>
                <w:rStyle w:val="245"/>
                <w:rFonts w:hint="default"/>
                <w:color w:val="auto"/>
                <w:sz w:val="21"/>
                <w:szCs w:val="21"/>
              </w:rPr>
            </w:pPr>
            <w:r>
              <w:rPr>
                <w:rStyle w:val="245"/>
                <w:rFonts w:hint="default"/>
                <w:color w:val="auto"/>
                <w:sz w:val="21"/>
                <w:szCs w:val="21"/>
              </w:rPr>
              <w:t>（1）操作人员必须经过专门培训，严格遵守操作规程，熟练掌握操作技能，具备应急处置知识。</w:t>
            </w:r>
          </w:p>
        </w:tc>
        <w:tc>
          <w:tcPr>
            <w:tcW w:w="3303" w:type="dxa"/>
            <w:vAlign w:val="center"/>
          </w:tcPr>
          <w:p>
            <w:pPr>
              <w:rPr>
                <w:rStyle w:val="245"/>
                <w:rFonts w:hint="default"/>
                <w:color w:val="auto"/>
                <w:sz w:val="21"/>
                <w:szCs w:val="21"/>
              </w:rPr>
            </w:pPr>
            <w:r>
              <w:rPr>
                <w:rStyle w:val="245"/>
                <w:rFonts w:hint="default"/>
                <w:color w:val="auto"/>
                <w:sz w:val="21"/>
                <w:szCs w:val="21"/>
              </w:rPr>
              <w:t>操作人员经过专门培训，严格遵守操作规程，熟练掌握操作技能，具备应急处置知识。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69" w:hRule="atLeast"/>
        </w:trPr>
        <w:tc>
          <w:tcPr>
            <w:tcW w:w="648" w:type="dxa"/>
            <w:vMerge w:val="continue"/>
            <w:vAlign w:val="center"/>
          </w:tcPr>
          <w:p>
            <w:pPr>
              <w:pStyle w:val="489"/>
              <w:widowControl w:val="0"/>
              <w:spacing w:before="0" w:beforeAutospacing="0" w:after="0" w:afterAutospacing="0" w:line="240" w:lineRule="auto"/>
              <w:jc w:val="center"/>
              <w:rPr>
                <w:b/>
                <w:color w:val="auto"/>
                <w:sz w:val="21"/>
                <w:szCs w:val="21"/>
              </w:rPr>
            </w:pPr>
          </w:p>
        </w:tc>
        <w:tc>
          <w:tcPr>
            <w:tcW w:w="5697" w:type="dxa"/>
            <w:vAlign w:val="center"/>
          </w:tcPr>
          <w:p>
            <w:pPr>
              <w:widowControl/>
              <w:spacing w:line="360" w:lineRule="exact"/>
              <w:ind w:firstLine="315" w:firstLineChars="150"/>
              <w:rPr>
                <w:rStyle w:val="245"/>
                <w:rFonts w:hint="default"/>
                <w:color w:val="auto"/>
                <w:sz w:val="21"/>
                <w:szCs w:val="21"/>
              </w:rPr>
            </w:pPr>
            <w:r>
              <w:rPr>
                <w:rStyle w:val="245"/>
                <w:rFonts w:hint="default"/>
                <w:color w:val="auto"/>
                <w:sz w:val="21"/>
                <w:szCs w:val="21"/>
              </w:rPr>
              <w:t>（2）生产过程密闭，加强通风。使用防爆型的通风系统和设备，提供安全淋浴和洗眼设备。可能接触其粉尘时，建议佩戴自吸过滤式防尘口罩。戴化学安全防护眼镜，戴橡胶手套。工作业现场禁止吸烟、进食和饮水。</w:t>
            </w:r>
          </w:p>
        </w:tc>
        <w:tc>
          <w:tcPr>
            <w:tcW w:w="3303" w:type="dxa"/>
            <w:vAlign w:val="center"/>
          </w:tcPr>
          <w:p>
            <w:pPr>
              <w:rPr>
                <w:rStyle w:val="245"/>
                <w:rFonts w:hint="default"/>
                <w:color w:val="auto"/>
                <w:sz w:val="21"/>
                <w:szCs w:val="21"/>
              </w:rPr>
            </w:pPr>
            <w:r>
              <w:rPr>
                <w:rStyle w:val="245"/>
                <w:rFonts w:hint="default"/>
                <w:color w:val="auto"/>
                <w:sz w:val="21"/>
                <w:szCs w:val="21"/>
              </w:rPr>
              <w:t>生产过程密闭，加强通风。使用防爆型的通风系统和设备，提供安全淋浴和洗眼设备。戴化学安全防护眼镜，戴橡胶手套。工作业现场禁止吸烟、进食和饮水。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5" w:hRule="atLeast"/>
        </w:trPr>
        <w:tc>
          <w:tcPr>
            <w:tcW w:w="648" w:type="dxa"/>
            <w:vMerge w:val="continue"/>
            <w:vAlign w:val="center"/>
          </w:tcPr>
          <w:p>
            <w:pPr>
              <w:pStyle w:val="489"/>
              <w:widowControl w:val="0"/>
              <w:spacing w:before="0" w:beforeAutospacing="0" w:after="0" w:afterAutospacing="0" w:line="240" w:lineRule="auto"/>
              <w:jc w:val="center"/>
              <w:rPr>
                <w:b/>
                <w:color w:val="auto"/>
                <w:sz w:val="21"/>
                <w:szCs w:val="21"/>
              </w:rPr>
            </w:pPr>
          </w:p>
        </w:tc>
        <w:tc>
          <w:tcPr>
            <w:tcW w:w="5697" w:type="dxa"/>
            <w:vAlign w:val="center"/>
          </w:tcPr>
          <w:p>
            <w:pPr>
              <w:widowControl/>
              <w:spacing w:line="360" w:lineRule="exact"/>
              <w:ind w:firstLine="315" w:firstLineChars="150"/>
              <w:rPr>
                <w:rStyle w:val="245"/>
                <w:rFonts w:hint="default"/>
                <w:color w:val="auto"/>
                <w:sz w:val="21"/>
                <w:szCs w:val="21"/>
              </w:rPr>
            </w:pPr>
            <w:r>
              <w:rPr>
                <w:rStyle w:val="245"/>
                <w:rFonts w:hint="default"/>
                <w:color w:val="auto"/>
                <w:sz w:val="21"/>
                <w:szCs w:val="21"/>
              </w:rPr>
              <w:t>（3）远离火种、热源。应与禁配物分开存放，切忌混储。</w:t>
            </w:r>
          </w:p>
        </w:tc>
        <w:tc>
          <w:tcPr>
            <w:tcW w:w="3303" w:type="dxa"/>
            <w:vAlign w:val="center"/>
          </w:tcPr>
          <w:p>
            <w:pPr>
              <w:rPr>
                <w:rStyle w:val="245"/>
                <w:rFonts w:hint="default"/>
                <w:color w:val="auto"/>
                <w:sz w:val="21"/>
                <w:szCs w:val="21"/>
              </w:rPr>
            </w:pPr>
            <w:r>
              <w:rPr>
                <w:rStyle w:val="245"/>
                <w:rFonts w:hint="default"/>
                <w:color w:val="auto"/>
                <w:sz w:val="21"/>
                <w:szCs w:val="21"/>
              </w:rPr>
              <w:t>远离火种、热源。与禁配物分开存放，未混储。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77" w:hRule="atLeast"/>
        </w:trPr>
        <w:tc>
          <w:tcPr>
            <w:tcW w:w="648" w:type="dxa"/>
            <w:vMerge w:val="continue"/>
            <w:vAlign w:val="center"/>
          </w:tcPr>
          <w:p>
            <w:pPr>
              <w:pStyle w:val="489"/>
              <w:widowControl w:val="0"/>
              <w:spacing w:before="0" w:beforeAutospacing="0" w:after="0" w:afterAutospacing="0" w:line="240" w:lineRule="auto"/>
              <w:jc w:val="center"/>
              <w:rPr>
                <w:b/>
                <w:color w:val="auto"/>
                <w:sz w:val="21"/>
                <w:szCs w:val="21"/>
              </w:rPr>
            </w:pPr>
          </w:p>
        </w:tc>
        <w:tc>
          <w:tcPr>
            <w:tcW w:w="5697" w:type="dxa"/>
            <w:vAlign w:val="center"/>
          </w:tcPr>
          <w:p>
            <w:pPr>
              <w:widowControl/>
              <w:spacing w:line="360" w:lineRule="exact"/>
              <w:ind w:firstLine="420" w:firstLineChars="200"/>
              <w:rPr>
                <w:rStyle w:val="245"/>
                <w:rFonts w:hint="default"/>
                <w:color w:val="auto"/>
                <w:sz w:val="21"/>
                <w:szCs w:val="21"/>
              </w:rPr>
            </w:pPr>
            <w:r>
              <w:rPr>
                <w:rStyle w:val="245"/>
                <w:rFonts w:hint="default"/>
                <w:color w:val="auto"/>
                <w:sz w:val="21"/>
                <w:szCs w:val="21"/>
              </w:rPr>
              <w:t>（4）生产、储存区域应设置安全警示标志。禁止震动、撞击和摩擦。配备相应品种和数量的消防器材及泄漏应急处理设备。</w:t>
            </w:r>
          </w:p>
        </w:tc>
        <w:tc>
          <w:tcPr>
            <w:tcW w:w="3303" w:type="dxa"/>
            <w:vAlign w:val="center"/>
          </w:tcPr>
          <w:p>
            <w:pPr>
              <w:rPr>
                <w:rStyle w:val="245"/>
                <w:rFonts w:hint="default"/>
                <w:color w:val="auto"/>
                <w:sz w:val="21"/>
                <w:szCs w:val="21"/>
              </w:rPr>
            </w:pPr>
            <w:r>
              <w:rPr>
                <w:rStyle w:val="245"/>
                <w:rFonts w:hint="default"/>
                <w:color w:val="auto"/>
                <w:sz w:val="21"/>
                <w:szCs w:val="21"/>
              </w:rPr>
              <w:t>生产、储存区域设置安全警示标志。禁止震动、撞击和摩擦。配备相应品种和数量的消防器材及泄漏应急处理设备。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1" w:hRule="atLeast"/>
        </w:trPr>
        <w:tc>
          <w:tcPr>
            <w:tcW w:w="648" w:type="dxa"/>
            <w:vMerge w:val="continue"/>
            <w:vAlign w:val="center"/>
          </w:tcPr>
          <w:p>
            <w:pPr>
              <w:pStyle w:val="489"/>
              <w:widowControl w:val="0"/>
              <w:spacing w:before="0" w:beforeAutospacing="0" w:after="0" w:afterAutospacing="0" w:line="240" w:lineRule="auto"/>
              <w:jc w:val="center"/>
              <w:rPr>
                <w:b/>
                <w:color w:val="auto"/>
                <w:sz w:val="21"/>
                <w:szCs w:val="21"/>
              </w:rPr>
            </w:pPr>
          </w:p>
        </w:tc>
        <w:tc>
          <w:tcPr>
            <w:tcW w:w="5697" w:type="dxa"/>
            <w:vAlign w:val="center"/>
          </w:tcPr>
          <w:p>
            <w:pPr>
              <w:widowControl/>
              <w:spacing w:line="360" w:lineRule="exact"/>
              <w:ind w:firstLine="420" w:firstLineChars="200"/>
              <w:rPr>
                <w:rStyle w:val="245"/>
                <w:rFonts w:hint="default"/>
                <w:color w:val="auto"/>
                <w:sz w:val="21"/>
                <w:szCs w:val="21"/>
              </w:rPr>
            </w:pPr>
            <w:r>
              <w:rPr>
                <w:rStyle w:val="245"/>
                <w:rFonts w:hint="default"/>
                <w:color w:val="auto"/>
                <w:sz w:val="21"/>
                <w:szCs w:val="21"/>
              </w:rPr>
              <w:t>（5）生产过程中易引起燃烧爆炸的机械化作业应设置自动报警、自动停机、自动泄爆、自动雨淋等安全自控装置；自动化生产线的单机设备除有自动控制系统监控外，在现场还应设置应急控制操作装置。</w:t>
            </w:r>
          </w:p>
        </w:tc>
        <w:tc>
          <w:tcPr>
            <w:tcW w:w="3303" w:type="dxa"/>
            <w:vAlign w:val="center"/>
          </w:tcPr>
          <w:p>
            <w:pPr>
              <w:rPr>
                <w:rStyle w:val="245"/>
                <w:rFonts w:hint="default"/>
                <w:color w:val="auto"/>
                <w:sz w:val="21"/>
                <w:szCs w:val="21"/>
              </w:rPr>
            </w:pPr>
            <w:r>
              <w:rPr>
                <w:rStyle w:val="245"/>
                <w:rFonts w:hint="default"/>
                <w:color w:val="auto"/>
                <w:sz w:val="21"/>
                <w:szCs w:val="21"/>
              </w:rPr>
              <w:t xml:space="preserve">生产过程中易引起燃烧爆炸的机械化作业设置自动报警、自动停机、自动泄爆、自动雨淋等安全自控装置。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1" w:hRule="atLeast"/>
        </w:trPr>
        <w:tc>
          <w:tcPr>
            <w:tcW w:w="648" w:type="dxa"/>
            <w:vMerge w:val="continue"/>
            <w:vAlign w:val="center"/>
          </w:tcPr>
          <w:p>
            <w:pPr>
              <w:pStyle w:val="489"/>
              <w:widowControl w:val="0"/>
              <w:spacing w:before="0" w:beforeAutospacing="0" w:after="0" w:afterAutospacing="0" w:line="240" w:lineRule="auto"/>
              <w:jc w:val="center"/>
              <w:rPr>
                <w:b/>
                <w:color w:val="auto"/>
                <w:sz w:val="21"/>
                <w:szCs w:val="21"/>
              </w:rPr>
            </w:pPr>
          </w:p>
        </w:tc>
        <w:tc>
          <w:tcPr>
            <w:tcW w:w="5697" w:type="dxa"/>
            <w:vAlign w:val="center"/>
          </w:tcPr>
          <w:p>
            <w:pPr>
              <w:widowControl/>
              <w:spacing w:line="360" w:lineRule="exact"/>
              <w:ind w:firstLine="420" w:firstLineChars="200"/>
              <w:rPr>
                <w:rStyle w:val="245"/>
                <w:rFonts w:hint="default"/>
                <w:color w:val="auto"/>
                <w:sz w:val="21"/>
                <w:szCs w:val="21"/>
              </w:rPr>
            </w:pPr>
            <w:r>
              <w:rPr>
                <w:rStyle w:val="245"/>
                <w:rFonts w:hint="default"/>
                <w:color w:val="auto"/>
                <w:sz w:val="21"/>
                <w:szCs w:val="21"/>
              </w:rPr>
              <w:t>（6）生产过程中产生的不合格品和废品应隔离存放、及时处理；内包装材料应统一回收存放在远离热源的场所，并及时销毁。</w:t>
            </w:r>
          </w:p>
        </w:tc>
        <w:tc>
          <w:tcPr>
            <w:tcW w:w="3303" w:type="dxa"/>
            <w:vAlign w:val="center"/>
          </w:tcPr>
          <w:p>
            <w:pPr>
              <w:rPr>
                <w:rStyle w:val="245"/>
                <w:rFonts w:hint="default"/>
                <w:color w:val="auto"/>
                <w:sz w:val="21"/>
                <w:szCs w:val="21"/>
              </w:rPr>
            </w:pPr>
            <w:r>
              <w:rPr>
                <w:rStyle w:val="245"/>
                <w:rFonts w:hint="default"/>
                <w:color w:val="auto"/>
                <w:sz w:val="21"/>
                <w:szCs w:val="21"/>
              </w:rPr>
              <w:t>生产过程中产生的不合格品和废品隔离存放、及时处理；内包装材料统一回收存放在远离热源的场所，并及时销毁。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8" w:hRule="atLeast"/>
        </w:trPr>
        <w:tc>
          <w:tcPr>
            <w:tcW w:w="648" w:type="dxa"/>
            <w:vMerge w:val="continue"/>
            <w:vAlign w:val="center"/>
          </w:tcPr>
          <w:p>
            <w:pPr>
              <w:pStyle w:val="489"/>
              <w:widowControl w:val="0"/>
              <w:spacing w:before="0" w:beforeAutospacing="0" w:after="0" w:afterAutospacing="0" w:line="240" w:lineRule="auto"/>
              <w:jc w:val="center"/>
              <w:rPr>
                <w:b/>
                <w:color w:val="auto"/>
                <w:sz w:val="21"/>
                <w:szCs w:val="21"/>
              </w:rPr>
            </w:pPr>
          </w:p>
        </w:tc>
        <w:tc>
          <w:tcPr>
            <w:tcW w:w="5697" w:type="dxa"/>
            <w:vAlign w:val="center"/>
          </w:tcPr>
          <w:p>
            <w:pPr>
              <w:pStyle w:val="40"/>
              <w:jc w:val="both"/>
              <w:rPr>
                <w:rStyle w:val="245"/>
                <w:rFonts w:hint="default"/>
                <w:b/>
                <w:color w:val="auto"/>
                <w:sz w:val="21"/>
                <w:szCs w:val="21"/>
              </w:rPr>
            </w:pPr>
            <w:r>
              <w:rPr>
                <w:rStyle w:val="245"/>
                <w:rFonts w:hint="default"/>
                <w:b/>
                <w:color w:val="auto"/>
                <w:sz w:val="21"/>
                <w:szCs w:val="21"/>
              </w:rPr>
              <w:t>二、【特殊要求】</w:t>
            </w:r>
          </w:p>
        </w:tc>
        <w:tc>
          <w:tcPr>
            <w:tcW w:w="3303" w:type="dxa"/>
            <w:vAlign w:val="center"/>
          </w:tcPr>
          <w:p>
            <w:pPr>
              <w:rPr>
                <w:rStyle w:val="245"/>
                <w:rFonts w:hint="default"/>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5" w:hRule="atLeast"/>
        </w:trPr>
        <w:tc>
          <w:tcPr>
            <w:tcW w:w="648" w:type="dxa"/>
            <w:vMerge w:val="continue"/>
            <w:vAlign w:val="center"/>
          </w:tcPr>
          <w:p>
            <w:pPr>
              <w:pStyle w:val="489"/>
              <w:widowControl w:val="0"/>
              <w:spacing w:before="0" w:beforeAutospacing="0" w:after="0" w:afterAutospacing="0" w:line="240" w:lineRule="auto"/>
              <w:jc w:val="center"/>
              <w:rPr>
                <w:b/>
                <w:color w:val="auto"/>
                <w:sz w:val="21"/>
                <w:szCs w:val="21"/>
              </w:rPr>
            </w:pPr>
          </w:p>
        </w:tc>
        <w:tc>
          <w:tcPr>
            <w:tcW w:w="5697" w:type="dxa"/>
            <w:vAlign w:val="center"/>
          </w:tcPr>
          <w:p>
            <w:pPr>
              <w:pStyle w:val="40"/>
              <w:jc w:val="both"/>
              <w:rPr>
                <w:rStyle w:val="245"/>
                <w:rFonts w:hint="default"/>
                <w:color w:val="auto"/>
                <w:sz w:val="21"/>
                <w:szCs w:val="21"/>
              </w:rPr>
            </w:pPr>
            <w:r>
              <w:rPr>
                <w:rStyle w:val="245"/>
                <w:rFonts w:hint="default"/>
                <w:color w:val="auto"/>
                <w:sz w:val="21"/>
                <w:szCs w:val="21"/>
              </w:rPr>
              <w:t>（一）【操作安全】</w:t>
            </w:r>
          </w:p>
        </w:tc>
        <w:tc>
          <w:tcPr>
            <w:tcW w:w="3303" w:type="dxa"/>
            <w:vAlign w:val="center"/>
          </w:tcPr>
          <w:p>
            <w:pPr>
              <w:rPr>
                <w:rStyle w:val="245"/>
                <w:rFonts w:hint="default"/>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8" w:hRule="atLeast"/>
        </w:trPr>
        <w:tc>
          <w:tcPr>
            <w:tcW w:w="648" w:type="dxa"/>
            <w:vMerge w:val="continue"/>
            <w:vAlign w:val="center"/>
          </w:tcPr>
          <w:p>
            <w:pPr>
              <w:pStyle w:val="489"/>
              <w:widowControl w:val="0"/>
              <w:spacing w:before="0" w:beforeAutospacing="0" w:after="0" w:afterAutospacing="0" w:line="240" w:lineRule="auto"/>
              <w:jc w:val="center"/>
              <w:rPr>
                <w:b/>
                <w:color w:val="auto"/>
                <w:sz w:val="21"/>
                <w:szCs w:val="21"/>
              </w:rPr>
            </w:pPr>
          </w:p>
        </w:tc>
        <w:tc>
          <w:tcPr>
            <w:tcW w:w="5697" w:type="dxa"/>
            <w:vAlign w:val="center"/>
          </w:tcPr>
          <w:p>
            <w:pPr>
              <w:widowControl/>
              <w:spacing w:line="360" w:lineRule="exact"/>
              <w:ind w:firstLine="320"/>
              <w:rPr>
                <w:rStyle w:val="245"/>
                <w:rFonts w:hint="default"/>
                <w:color w:val="auto"/>
                <w:sz w:val="21"/>
                <w:szCs w:val="21"/>
              </w:rPr>
            </w:pPr>
            <w:r>
              <w:rPr>
                <w:rStyle w:val="245"/>
                <w:rFonts w:hint="default"/>
                <w:color w:val="auto"/>
                <w:sz w:val="21"/>
                <w:szCs w:val="21"/>
              </w:rPr>
              <w:t>（1）穿防静电服，戴手套；空气中粉尘浓度较高时，操作人员佩戴自吸过滤式防尘口罩，戴化学安全防护眼镜。</w:t>
            </w:r>
          </w:p>
        </w:tc>
        <w:tc>
          <w:tcPr>
            <w:tcW w:w="3303" w:type="dxa"/>
            <w:vAlign w:val="center"/>
          </w:tcPr>
          <w:p>
            <w:pPr>
              <w:rPr>
                <w:rStyle w:val="245"/>
                <w:rFonts w:hint="default"/>
                <w:color w:val="auto"/>
                <w:sz w:val="21"/>
                <w:szCs w:val="21"/>
              </w:rPr>
            </w:pPr>
            <w:r>
              <w:rPr>
                <w:rStyle w:val="245"/>
                <w:rFonts w:hint="default"/>
                <w:color w:val="auto"/>
                <w:sz w:val="21"/>
                <w:szCs w:val="21"/>
              </w:rPr>
              <w:t>按规定穿防静电服，戴手套等防护用品。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6" w:hRule="atLeast"/>
        </w:trPr>
        <w:tc>
          <w:tcPr>
            <w:tcW w:w="648" w:type="dxa"/>
            <w:vMerge w:val="continue"/>
            <w:vAlign w:val="center"/>
          </w:tcPr>
          <w:p>
            <w:pPr>
              <w:pStyle w:val="489"/>
              <w:widowControl w:val="0"/>
              <w:spacing w:before="0" w:beforeAutospacing="0" w:after="0" w:afterAutospacing="0" w:line="240" w:lineRule="auto"/>
              <w:jc w:val="center"/>
              <w:rPr>
                <w:b/>
                <w:color w:val="auto"/>
                <w:sz w:val="21"/>
                <w:szCs w:val="21"/>
              </w:rPr>
            </w:pPr>
          </w:p>
        </w:tc>
        <w:tc>
          <w:tcPr>
            <w:tcW w:w="5697" w:type="dxa"/>
            <w:vAlign w:val="center"/>
          </w:tcPr>
          <w:p>
            <w:pPr>
              <w:widowControl/>
              <w:spacing w:line="340" w:lineRule="exact"/>
              <w:ind w:firstLine="320"/>
              <w:rPr>
                <w:rStyle w:val="245"/>
                <w:rFonts w:hint="default"/>
                <w:color w:val="auto"/>
                <w:sz w:val="21"/>
                <w:szCs w:val="21"/>
              </w:rPr>
            </w:pPr>
            <w:r>
              <w:rPr>
                <w:rStyle w:val="245"/>
                <w:rFonts w:hint="default"/>
                <w:color w:val="auto"/>
                <w:sz w:val="21"/>
                <w:szCs w:val="21"/>
              </w:rPr>
              <w:t>（2）避免产生粉尘。避免与氧化剂、有机胺等接触。搬运时要轻装轻卸，防止包装及容器损坏。配备相应品种和数量的消防器材及泄漏应急处理设备。</w:t>
            </w:r>
          </w:p>
        </w:tc>
        <w:tc>
          <w:tcPr>
            <w:tcW w:w="3303" w:type="dxa"/>
            <w:vAlign w:val="center"/>
          </w:tcPr>
          <w:p>
            <w:pPr>
              <w:spacing w:line="340" w:lineRule="exact"/>
              <w:rPr>
                <w:rStyle w:val="245"/>
                <w:rFonts w:hint="default"/>
                <w:color w:val="auto"/>
                <w:sz w:val="21"/>
                <w:szCs w:val="21"/>
              </w:rPr>
            </w:pPr>
            <w:r>
              <w:rPr>
                <w:rStyle w:val="245"/>
                <w:rFonts w:hint="default"/>
                <w:color w:val="auto"/>
                <w:sz w:val="21"/>
                <w:szCs w:val="21"/>
              </w:rPr>
              <w:t>避免与氧化剂、有机胺等接触。搬运时轻装轻卸，防止包装及容器损坏。配备相应品种和数量的消防器材及泄漏应急处理设备。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4" w:hRule="atLeast"/>
        </w:trPr>
        <w:tc>
          <w:tcPr>
            <w:tcW w:w="648" w:type="dxa"/>
            <w:vMerge w:val="continue"/>
            <w:vAlign w:val="center"/>
          </w:tcPr>
          <w:p>
            <w:pPr>
              <w:pStyle w:val="489"/>
              <w:widowControl w:val="0"/>
              <w:spacing w:before="0" w:beforeAutospacing="0" w:after="0" w:afterAutospacing="0" w:line="240" w:lineRule="auto"/>
              <w:jc w:val="center"/>
              <w:rPr>
                <w:b/>
                <w:color w:val="auto"/>
                <w:sz w:val="21"/>
                <w:szCs w:val="21"/>
              </w:rPr>
            </w:pPr>
          </w:p>
        </w:tc>
        <w:tc>
          <w:tcPr>
            <w:tcW w:w="5697" w:type="dxa"/>
            <w:vAlign w:val="center"/>
          </w:tcPr>
          <w:p>
            <w:pPr>
              <w:widowControl/>
              <w:spacing w:line="340" w:lineRule="exact"/>
              <w:ind w:firstLine="320"/>
              <w:rPr>
                <w:rStyle w:val="245"/>
                <w:rFonts w:hint="default"/>
                <w:color w:val="auto"/>
                <w:sz w:val="21"/>
                <w:szCs w:val="21"/>
              </w:rPr>
            </w:pPr>
            <w:r>
              <w:rPr>
                <w:rStyle w:val="245"/>
                <w:rFonts w:hint="default"/>
                <w:color w:val="auto"/>
                <w:sz w:val="21"/>
                <w:szCs w:val="21"/>
              </w:rPr>
              <w:t>（3）生产过程中需用热媒加热或加工过程中可能引起物料温升的作业点，均应设置温度检测仪器并采取温控措施。</w:t>
            </w:r>
          </w:p>
        </w:tc>
        <w:tc>
          <w:tcPr>
            <w:tcW w:w="3303" w:type="dxa"/>
            <w:vAlign w:val="center"/>
          </w:tcPr>
          <w:p>
            <w:pPr>
              <w:spacing w:line="340" w:lineRule="exact"/>
              <w:rPr>
                <w:rStyle w:val="245"/>
                <w:rFonts w:hint="default"/>
                <w:color w:val="auto"/>
                <w:sz w:val="21"/>
                <w:szCs w:val="21"/>
              </w:rPr>
            </w:pPr>
            <w:r>
              <w:rPr>
                <w:rStyle w:val="245"/>
                <w:rFonts w:hint="default"/>
                <w:color w:val="auto"/>
                <w:sz w:val="21"/>
                <w:szCs w:val="21"/>
              </w:rPr>
              <w:t>无此内容。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648" w:type="dxa"/>
            <w:vMerge w:val="continue"/>
            <w:vAlign w:val="center"/>
          </w:tcPr>
          <w:p>
            <w:pPr>
              <w:pStyle w:val="489"/>
              <w:widowControl w:val="0"/>
              <w:spacing w:before="0" w:beforeAutospacing="0" w:after="0" w:afterAutospacing="0" w:line="240" w:lineRule="auto"/>
              <w:jc w:val="center"/>
              <w:rPr>
                <w:b/>
                <w:color w:val="auto"/>
                <w:sz w:val="21"/>
                <w:szCs w:val="21"/>
              </w:rPr>
            </w:pPr>
          </w:p>
        </w:tc>
        <w:tc>
          <w:tcPr>
            <w:tcW w:w="5697" w:type="dxa"/>
            <w:vAlign w:val="center"/>
          </w:tcPr>
          <w:p>
            <w:pPr>
              <w:pStyle w:val="40"/>
              <w:spacing w:line="340" w:lineRule="exact"/>
              <w:jc w:val="both"/>
              <w:rPr>
                <w:rStyle w:val="245"/>
                <w:rFonts w:hint="default"/>
                <w:color w:val="auto"/>
                <w:sz w:val="21"/>
                <w:szCs w:val="21"/>
              </w:rPr>
            </w:pPr>
            <w:r>
              <w:rPr>
                <w:rStyle w:val="245"/>
                <w:rFonts w:hint="default"/>
                <w:color w:val="auto"/>
                <w:sz w:val="21"/>
                <w:szCs w:val="21"/>
              </w:rPr>
              <w:t>（二）【储存安全】</w:t>
            </w:r>
          </w:p>
        </w:tc>
        <w:tc>
          <w:tcPr>
            <w:tcW w:w="3303" w:type="dxa"/>
            <w:vAlign w:val="center"/>
          </w:tcPr>
          <w:p>
            <w:pPr>
              <w:spacing w:line="340" w:lineRule="exact"/>
              <w:rPr>
                <w:rStyle w:val="245"/>
                <w:rFonts w:hint="default"/>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0" w:hRule="atLeast"/>
        </w:trPr>
        <w:tc>
          <w:tcPr>
            <w:tcW w:w="648" w:type="dxa"/>
            <w:vMerge w:val="continue"/>
            <w:vAlign w:val="center"/>
          </w:tcPr>
          <w:p>
            <w:pPr>
              <w:pStyle w:val="489"/>
              <w:widowControl w:val="0"/>
              <w:spacing w:before="0" w:beforeAutospacing="0" w:after="0" w:afterAutospacing="0" w:line="240" w:lineRule="auto"/>
              <w:jc w:val="center"/>
              <w:rPr>
                <w:b/>
                <w:color w:val="auto"/>
                <w:sz w:val="21"/>
                <w:szCs w:val="21"/>
              </w:rPr>
            </w:pPr>
          </w:p>
        </w:tc>
        <w:tc>
          <w:tcPr>
            <w:tcW w:w="5697" w:type="dxa"/>
            <w:vAlign w:val="center"/>
          </w:tcPr>
          <w:p>
            <w:pPr>
              <w:widowControl/>
              <w:spacing w:line="340" w:lineRule="exact"/>
              <w:ind w:firstLine="320"/>
              <w:rPr>
                <w:rStyle w:val="245"/>
                <w:rFonts w:hint="default"/>
                <w:color w:val="auto"/>
                <w:sz w:val="21"/>
                <w:szCs w:val="21"/>
              </w:rPr>
            </w:pPr>
            <w:r>
              <w:rPr>
                <w:rStyle w:val="245"/>
                <w:rFonts w:hint="default"/>
                <w:color w:val="auto"/>
                <w:sz w:val="21"/>
                <w:szCs w:val="21"/>
              </w:rPr>
              <w:t>（1）储存于阴凉、通风、干燥的专用库房。远离火种、热源。库房温度不超过25℃，相对湿度不超过80％。</w:t>
            </w:r>
          </w:p>
        </w:tc>
        <w:tc>
          <w:tcPr>
            <w:tcW w:w="3303" w:type="dxa"/>
            <w:vAlign w:val="center"/>
          </w:tcPr>
          <w:p>
            <w:pPr>
              <w:spacing w:line="340" w:lineRule="exact"/>
              <w:rPr>
                <w:rStyle w:val="245"/>
                <w:rFonts w:hint="default"/>
                <w:color w:val="auto"/>
                <w:sz w:val="21"/>
                <w:szCs w:val="21"/>
              </w:rPr>
            </w:pPr>
            <w:r>
              <w:rPr>
                <w:rStyle w:val="245"/>
                <w:rFonts w:hint="default"/>
                <w:color w:val="auto"/>
                <w:sz w:val="21"/>
                <w:szCs w:val="21"/>
              </w:rPr>
              <w:t>储存于阴凉、通风、干燥的专用库房。远离火种、热源。库房温度不超过25℃，相对湿度不超过80％。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7" w:hRule="atLeast"/>
        </w:trPr>
        <w:tc>
          <w:tcPr>
            <w:tcW w:w="648" w:type="dxa"/>
            <w:vMerge w:val="continue"/>
            <w:vAlign w:val="center"/>
          </w:tcPr>
          <w:p>
            <w:pPr>
              <w:pStyle w:val="489"/>
              <w:widowControl w:val="0"/>
              <w:spacing w:before="0" w:beforeAutospacing="0" w:after="0" w:afterAutospacing="0" w:line="240" w:lineRule="auto"/>
              <w:jc w:val="center"/>
              <w:rPr>
                <w:b/>
                <w:color w:val="auto"/>
                <w:sz w:val="21"/>
                <w:szCs w:val="21"/>
              </w:rPr>
            </w:pPr>
          </w:p>
        </w:tc>
        <w:tc>
          <w:tcPr>
            <w:tcW w:w="5697" w:type="dxa"/>
            <w:vAlign w:val="center"/>
          </w:tcPr>
          <w:p>
            <w:pPr>
              <w:widowControl/>
              <w:spacing w:line="340" w:lineRule="exact"/>
              <w:ind w:firstLine="320"/>
              <w:rPr>
                <w:rStyle w:val="245"/>
                <w:rFonts w:hint="default"/>
                <w:color w:val="auto"/>
                <w:sz w:val="21"/>
                <w:szCs w:val="21"/>
              </w:rPr>
            </w:pPr>
            <w:r>
              <w:rPr>
                <w:rStyle w:val="245"/>
                <w:rFonts w:hint="default"/>
                <w:color w:val="auto"/>
                <w:sz w:val="21"/>
                <w:szCs w:val="21"/>
              </w:rPr>
              <w:t>（2）应与氧化剂、有机胺等分开存放，切忌混储。存放时，应距加热器（包括暖气片）和热力管线300毫米以上。储存区应备有合适的材料收容泄漏物。禁止震动、撞击和摩擦。禁止使用易产生火花的机械设备和工具。</w:t>
            </w:r>
          </w:p>
        </w:tc>
        <w:tc>
          <w:tcPr>
            <w:tcW w:w="3303" w:type="dxa"/>
            <w:vAlign w:val="center"/>
          </w:tcPr>
          <w:p>
            <w:pPr>
              <w:spacing w:line="340" w:lineRule="exact"/>
              <w:rPr>
                <w:rStyle w:val="245"/>
                <w:rFonts w:hint="default"/>
                <w:color w:val="auto"/>
                <w:sz w:val="21"/>
                <w:szCs w:val="21"/>
              </w:rPr>
            </w:pPr>
            <w:r>
              <w:rPr>
                <w:rStyle w:val="245"/>
                <w:rFonts w:hint="default"/>
                <w:color w:val="auto"/>
                <w:sz w:val="21"/>
                <w:szCs w:val="21"/>
              </w:rPr>
              <w:t>与氧化剂、有机胺等分开存放。储存区应备有合适的材料收容泄漏物。禁止震动、撞击和摩擦。禁止使用易产生火花的机械设备和工具。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648" w:type="dxa"/>
            <w:vMerge w:val="continue"/>
            <w:vAlign w:val="center"/>
          </w:tcPr>
          <w:p>
            <w:pPr>
              <w:pStyle w:val="489"/>
              <w:widowControl w:val="0"/>
              <w:spacing w:before="0" w:beforeAutospacing="0" w:after="0" w:afterAutospacing="0" w:line="240" w:lineRule="auto"/>
              <w:jc w:val="center"/>
              <w:rPr>
                <w:b/>
                <w:color w:val="auto"/>
                <w:sz w:val="21"/>
                <w:szCs w:val="21"/>
              </w:rPr>
            </w:pPr>
          </w:p>
        </w:tc>
        <w:tc>
          <w:tcPr>
            <w:tcW w:w="5697" w:type="dxa"/>
            <w:vAlign w:val="center"/>
          </w:tcPr>
          <w:p>
            <w:pPr>
              <w:pStyle w:val="40"/>
              <w:ind w:firstLine="420" w:firstLineChars="200"/>
              <w:jc w:val="both"/>
              <w:rPr>
                <w:rStyle w:val="245"/>
                <w:rFonts w:hint="default"/>
                <w:color w:val="auto"/>
                <w:sz w:val="21"/>
                <w:szCs w:val="21"/>
              </w:rPr>
            </w:pPr>
            <w:r>
              <w:rPr>
                <w:rStyle w:val="245"/>
                <w:rFonts w:hint="default"/>
                <w:color w:val="auto"/>
                <w:sz w:val="21"/>
                <w:szCs w:val="21"/>
              </w:rPr>
              <w:t>三．【运输安全】</w:t>
            </w:r>
          </w:p>
        </w:tc>
        <w:tc>
          <w:tcPr>
            <w:tcW w:w="3303" w:type="dxa"/>
            <w:vAlign w:val="center"/>
          </w:tcPr>
          <w:p>
            <w:pPr>
              <w:rPr>
                <w:rStyle w:val="245"/>
                <w:rFonts w:hint="default"/>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4" w:hRule="atLeast"/>
        </w:trPr>
        <w:tc>
          <w:tcPr>
            <w:tcW w:w="648" w:type="dxa"/>
            <w:vMerge w:val="continue"/>
            <w:vAlign w:val="center"/>
          </w:tcPr>
          <w:p>
            <w:pPr>
              <w:pStyle w:val="489"/>
              <w:widowControl w:val="0"/>
              <w:spacing w:before="0" w:beforeAutospacing="0" w:after="0" w:afterAutospacing="0" w:line="240" w:lineRule="auto"/>
              <w:jc w:val="center"/>
              <w:rPr>
                <w:b/>
                <w:color w:val="auto"/>
                <w:sz w:val="21"/>
                <w:szCs w:val="21"/>
              </w:rPr>
            </w:pPr>
          </w:p>
        </w:tc>
        <w:tc>
          <w:tcPr>
            <w:tcW w:w="5697" w:type="dxa"/>
            <w:vAlign w:val="center"/>
          </w:tcPr>
          <w:p>
            <w:pPr>
              <w:widowControl/>
              <w:spacing w:line="340" w:lineRule="exact"/>
              <w:ind w:firstLine="320"/>
              <w:rPr>
                <w:rStyle w:val="245"/>
                <w:rFonts w:hint="default"/>
                <w:color w:val="auto"/>
                <w:sz w:val="21"/>
                <w:szCs w:val="21"/>
              </w:rPr>
            </w:pPr>
            <w:r>
              <w:rPr>
                <w:rStyle w:val="245"/>
                <w:rFonts w:hint="default"/>
                <w:color w:val="auto"/>
                <w:sz w:val="21"/>
                <w:szCs w:val="21"/>
              </w:rPr>
              <w:t>（1）运输车辆应有危险货物运输标志、安装具有行驶记录功能的卫星定位装置。未经公安机关批准，运输车辆不得进入危险化学品运输车辆限制通行的区域。</w:t>
            </w:r>
          </w:p>
        </w:tc>
        <w:tc>
          <w:tcPr>
            <w:tcW w:w="3303" w:type="dxa"/>
            <w:vAlign w:val="center"/>
          </w:tcPr>
          <w:p>
            <w:pPr>
              <w:spacing w:line="340" w:lineRule="exact"/>
              <w:rPr>
                <w:rStyle w:val="245"/>
                <w:rFonts w:hint="default"/>
                <w:color w:val="auto"/>
                <w:sz w:val="21"/>
                <w:szCs w:val="21"/>
              </w:rPr>
            </w:pPr>
            <w:r>
              <w:rPr>
                <w:rStyle w:val="245"/>
                <w:rFonts w:hint="default"/>
                <w:color w:val="auto"/>
                <w:sz w:val="21"/>
                <w:szCs w:val="21"/>
              </w:rPr>
              <w:t>运输车辆有危险货物运输标志、安装具有行驶记录功能的卫星定位装置。未经公安机关批准，运输车辆不得进入危险化学品运输车辆限制通行的区域。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7" w:hRule="atLeast"/>
        </w:trPr>
        <w:tc>
          <w:tcPr>
            <w:tcW w:w="648" w:type="dxa"/>
            <w:vMerge w:val="continue"/>
            <w:vAlign w:val="center"/>
          </w:tcPr>
          <w:p>
            <w:pPr>
              <w:pStyle w:val="489"/>
              <w:widowControl w:val="0"/>
              <w:spacing w:before="0" w:beforeAutospacing="0" w:after="0" w:afterAutospacing="0" w:line="240" w:lineRule="auto"/>
              <w:jc w:val="center"/>
              <w:rPr>
                <w:b/>
                <w:color w:val="auto"/>
                <w:sz w:val="21"/>
                <w:szCs w:val="21"/>
              </w:rPr>
            </w:pPr>
          </w:p>
        </w:tc>
        <w:tc>
          <w:tcPr>
            <w:tcW w:w="5697" w:type="dxa"/>
            <w:vAlign w:val="center"/>
          </w:tcPr>
          <w:p>
            <w:pPr>
              <w:spacing w:line="340" w:lineRule="exact"/>
              <w:ind w:firstLine="420" w:firstLineChars="200"/>
              <w:rPr>
                <w:rStyle w:val="245"/>
                <w:rFonts w:hint="default"/>
                <w:color w:val="auto"/>
                <w:sz w:val="21"/>
                <w:szCs w:val="21"/>
              </w:rPr>
            </w:pPr>
            <w:r>
              <w:rPr>
                <w:rStyle w:val="245"/>
                <w:rFonts w:hint="default"/>
                <w:color w:val="auto"/>
                <w:sz w:val="21"/>
                <w:szCs w:val="21"/>
              </w:rPr>
              <w:t>（2）运输过程中应有遮盖物，防止曝晒和雨淋、猛烈撞击、包装破损，不得倒置。严禁与氧化剂、有机胺等同车混运。运输过程中要确保容器不泄漏、不倒塌、不坠落、不损坏。运输时运输车辆应配备相应品种和数量的消防器材。搬运时要轻装轻卸，防止包装及容器损坏。禁止震动、撞击和摩擦。</w:t>
            </w:r>
          </w:p>
        </w:tc>
        <w:tc>
          <w:tcPr>
            <w:tcW w:w="3303" w:type="dxa"/>
            <w:vAlign w:val="center"/>
          </w:tcPr>
          <w:p>
            <w:pPr>
              <w:spacing w:line="340" w:lineRule="exact"/>
              <w:rPr>
                <w:rStyle w:val="245"/>
                <w:rFonts w:hint="default"/>
                <w:color w:val="auto"/>
                <w:sz w:val="21"/>
                <w:szCs w:val="21"/>
              </w:rPr>
            </w:pPr>
            <w:r>
              <w:rPr>
                <w:rStyle w:val="245"/>
                <w:rFonts w:hint="default"/>
                <w:color w:val="auto"/>
                <w:sz w:val="21"/>
                <w:szCs w:val="21"/>
              </w:rPr>
              <w:t>不参与运输，由经营单位送货到厂区内。符合要求。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7" w:hRule="atLeast"/>
        </w:trPr>
        <w:tc>
          <w:tcPr>
            <w:tcW w:w="648" w:type="dxa"/>
            <w:vAlign w:val="center"/>
          </w:tcPr>
          <w:p>
            <w:pPr>
              <w:pStyle w:val="489"/>
              <w:widowControl w:val="0"/>
              <w:spacing w:before="0" w:beforeAutospacing="0" w:after="0" w:afterAutospacing="0" w:line="240" w:lineRule="auto"/>
              <w:jc w:val="center"/>
              <w:rPr>
                <w:b/>
                <w:color w:val="auto"/>
                <w:sz w:val="21"/>
                <w:szCs w:val="21"/>
              </w:rPr>
            </w:pPr>
          </w:p>
        </w:tc>
        <w:tc>
          <w:tcPr>
            <w:tcW w:w="5697" w:type="dxa"/>
            <w:vAlign w:val="center"/>
          </w:tcPr>
          <w:p>
            <w:pPr>
              <w:spacing w:line="340" w:lineRule="exact"/>
              <w:ind w:firstLine="420" w:firstLineChars="200"/>
              <w:rPr>
                <w:rStyle w:val="245"/>
                <w:rFonts w:hint="default"/>
                <w:color w:val="auto"/>
                <w:sz w:val="21"/>
                <w:szCs w:val="21"/>
              </w:rPr>
            </w:pPr>
            <w:r>
              <w:rPr>
                <w:rStyle w:val="245"/>
                <w:rFonts w:hint="default"/>
                <w:color w:val="auto"/>
                <w:sz w:val="21"/>
                <w:szCs w:val="21"/>
              </w:rPr>
              <w:t>（3）拥有齐全的危险化学品运输资质，必须配备押运人员，并随时处于押运人员的监管之下，不得超装、超载，不得进入危险化学品运输车辆禁止通行的区域；确需进入禁止通行区域的，应当事先向当地公安部门报告，运输时车速不宜过快，不得强行超车。</w:t>
            </w:r>
          </w:p>
        </w:tc>
        <w:tc>
          <w:tcPr>
            <w:tcW w:w="3303" w:type="dxa"/>
            <w:vAlign w:val="center"/>
          </w:tcPr>
          <w:p>
            <w:pPr>
              <w:spacing w:line="340" w:lineRule="exact"/>
              <w:rPr>
                <w:rStyle w:val="245"/>
                <w:rFonts w:hint="default"/>
                <w:color w:val="auto"/>
                <w:sz w:val="21"/>
                <w:szCs w:val="21"/>
              </w:rPr>
            </w:pPr>
            <w:r>
              <w:rPr>
                <w:rStyle w:val="245"/>
                <w:rFonts w:hint="default"/>
                <w:color w:val="auto"/>
                <w:sz w:val="21"/>
                <w:szCs w:val="21"/>
              </w:rPr>
              <w:t>不参与运输，由经营单位送货到厂区内。符合要求。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21" w:hRule="atLeast"/>
        </w:trPr>
        <w:tc>
          <w:tcPr>
            <w:tcW w:w="648" w:type="dxa"/>
            <w:vMerge w:val="restart"/>
            <w:tcBorders>
              <w:bottom w:val="single" w:color="auto" w:sz="4" w:space="0"/>
            </w:tcBorders>
            <w:vAlign w:val="center"/>
          </w:tcPr>
          <w:p>
            <w:pPr>
              <w:pStyle w:val="489"/>
              <w:widowControl w:val="0"/>
              <w:spacing w:before="0" w:beforeAutospacing="0" w:after="0" w:afterAutospacing="0" w:line="240" w:lineRule="auto"/>
              <w:jc w:val="center"/>
              <w:rPr>
                <w:b/>
                <w:color w:val="auto"/>
                <w:sz w:val="21"/>
                <w:szCs w:val="21"/>
              </w:rPr>
            </w:pPr>
            <w:r>
              <w:rPr>
                <w:rFonts w:hint="eastAsia"/>
                <w:b/>
                <w:color w:val="auto"/>
                <w:sz w:val="21"/>
                <w:szCs w:val="21"/>
              </w:rPr>
              <w:t>应</w:t>
            </w:r>
          </w:p>
          <w:p>
            <w:pPr>
              <w:pStyle w:val="489"/>
              <w:widowControl w:val="0"/>
              <w:spacing w:before="0" w:beforeAutospacing="0" w:after="0" w:afterAutospacing="0" w:line="240" w:lineRule="auto"/>
              <w:jc w:val="center"/>
              <w:rPr>
                <w:b/>
                <w:color w:val="auto"/>
                <w:sz w:val="21"/>
                <w:szCs w:val="21"/>
              </w:rPr>
            </w:pPr>
            <w:r>
              <w:rPr>
                <w:rFonts w:hint="eastAsia"/>
                <w:b/>
                <w:color w:val="auto"/>
                <w:sz w:val="21"/>
                <w:szCs w:val="21"/>
              </w:rPr>
              <w:t>急</w:t>
            </w:r>
          </w:p>
          <w:p>
            <w:pPr>
              <w:pStyle w:val="489"/>
              <w:widowControl w:val="0"/>
              <w:spacing w:before="0" w:beforeAutospacing="0" w:after="0" w:afterAutospacing="0" w:line="240" w:lineRule="auto"/>
              <w:jc w:val="center"/>
              <w:rPr>
                <w:b/>
                <w:color w:val="auto"/>
                <w:sz w:val="21"/>
                <w:szCs w:val="21"/>
              </w:rPr>
            </w:pPr>
            <w:r>
              <w:rPr>
                <w:rFonts w:hint="eastAsia"/>
                <w:b/>
                <w:color w:val="auto"/>
                <w:sz w:val="21"/>
                <w:szCs w:val="21"/>
              </w:rPr>
              <w:t>处</w:t>
            </w:r>
          </w:p>
          <w:p>
            <w:pPr>
              <w:pStyle w:val="489"/>
              <w:widowControl w:val="0"/>
              <w:spacing w:before="0" w:beforeAutospacing="0" w:after="0" w:afterAutospacing="0" w:line="240" w:lineRule="auto"/>
              <w:jc w:val="center"/>
              <w:rPr>
                <w:b/>
                <w:color w:val="auto"/>
                <w:sz w:val="21"/>
                <w:szCs w:val="21"/>
              </w:rPr>
            </w:pPr>
            <w:r>
              <w:rPr>
                <w:rFonts w:hint="eastAsia"/>
                <w:b/>
                <w:color w:val="auto"/>
                <w:sz w:val="21"/>
                <w:szCs w:val="21"/>
              </w:rPr>
              <w:t>置</w:t>
            </w:r>
          </w:p>
          <w:p>
            <w:pPr>
              <w:pStyle w:val="489"/>
              <w:widowControl w:val="0"/>
              <w:spacing w:before="0" w:beforeAutospacing="0" w:after="0" w:afterAutospacing="0" w:line="240" w:lineRule="auto"/>
              <w:jc w:val="center"/>
              <w:rPr>
                <w:b/>
                <w:color w:val="auto"/>
                <w:sz w:val="21"/>
                <w:szCs w:val="21"/>
              </w:rPr>
            </w:pPr>
            <w:r>
              <w:rPr>
                <w:rFonts w:hint="eastAsia"/>
                <w:b/>
                <w:color w:val="auto"/>
                <w:sz w:val="21"/>
                <w:szCs w:val="21"/>
              </w:rPr>
              <w:t>原</w:t>
            </w:r>
          </w:p>
          <w:p>
            <w:pPr>
              <w:pStyle w:val="489"/>
              <w:widowControl w:val="0"/>
              <w:spacing w:before="0" w:beforeAutospacing="0" w:after="0" w:afterAutospacing="0" w:line="240" w:lineRule="auto"/>
              <w:jc w:val="center"/>
              <w:rPr>
                <w:color w:val="auto"/>
                <w:sz w:val="21"/>
                <w:szCs w:val="21"/>
              </w:rPr>
            </w:pPr>
            <w:r>
              <w:rPr>
                <w:rFonts w:hint="eastAsia"/>
                <w:b/>
                <w:color w:val="auto"/>
                <w:sz w:val="21"/>
                <w:szCs w:val="21"/>
              </w:rPr>
              <w:t>则</w:t>
            </w:r>
          </w:p>
        </w:tc>
        <w:tc>
          <w:tcPr>
            <w:tcW w:w="5697" w:type="dxa"/>
            <w:tcBorders>
              <w:bottom w:val="single" w:color="auto" w:sz="4" w:space="0"/>
            </w:tcBorders>
            <w:vAlign w:val="center"/>
          </w:tcPr>
          <w:p>
            <w:pPr>
              <w:spacing w:line="360" w:lineRule="exact"/>
              <w:rPr>
                <w:rFonts w:ascii="宋体" w:hAnsi="宋体"/>
                <w:b/>
                <w:color w:val="auto"/>
                <w:szCs w:val="21"/>
              </w:rPr>
            </w:pPr>
            <w:r>
              <w:rPr>
                <w:rFonts w:hint="eastAsia" w:ascii="宋体" w:hAnsi="宋体"/>
                <w:color w:val="auto"/>
                <w:szCs w:val="21"/>
              </w:rPr>
              <w:t>【急救措施】</w:t>
            </w:r>
          </w:p>
          <w:p>
            <w:pPr>
              <w:pStyle w:val="40"/>
              <w:spacing w:before="0" w:beforeAutospacing="0" w:after="0" w:afterAutospacing="0" w:line="350" w:lineRule="exact"/>
              <w:ind w:firstLine="420" w:firstLineChars="200"/>
              <w:rPr>
                <w:rStyle w:val="245"/>
                <w:rFonts w:hint="default"/>
                <w:color w:val="auto"/>
                <w:sz w:val="21"/>
                <w:szCs w:val="21"/>
              </w:rPr>
            </w:pPr>
            <w:r>
              <w:rPr>
                <w:rStyle w:val="245"/>
                <w:rFonts w:hint="default"/>
                <w:color w:val="auto"/>
                <w:sz w:val="21"/>
                <w:szCs w:val="21"/>
              </w:rPr>
              <w:t>吸入：将病人移到空气清新处，休息。</w:t>
            </w:r>
            <w:r>
              <w:rPr>
                <w:rStyle w:val="245"/>
                <w:rFonts w:hint="default"/>
                <w:color w:val="auto"/>
                <w:kern w:val="2"/>
                <w:sz w:val="21"/>
                <w:szCs w:val="21"/>
              </w:rPr>
              <w:t>就医。</w:t>
            </w:r>
          </w:p>
          <w:p>
            <w:pPr>
              <w:pStyle w:val="40"/>
              <w:spacing w:before="0" w:beforeAutospacing="0" w:after="0" w:afterAutospacing="0" w:line="350" w:lineRule="exact"/>
              <w:ind w:firstLine="420" w:firstLineChars="200"/>
              <w:rPr>
                <w:rStyle w:val="245"/>
                <w:rFonts w:hint="default"/>
                <w:color w:val="auto"/>
                <w:kern w:val="2"/>
                <w:sz w:val="21"/>
                <w:szCs w:val="21"/>
              </w:rPr>
            </w:pPr>
            <w:r>
              <w:rPr>
                <w:rStyle w:val="245"/>
                <w:rFonts w:hint="default"/>
                <w:color w:val="auto"/>
                <w:kern w:val="2"/>
                <w:sz w:val="21"/>
                <w:szCs w:val="21"/>
              </w:rPr>
              <w:t>食入：漱口，就医。</w:t>
            </w:r>
          </w:p>
          <w:p>
            <w:pPr>
              <w:pStyle w:val="40"/>
              <w:spacing w:before="0" w:beforeAutospacing="0" w:after="0" w:afterAutospacing="0" w:line="350" w:lineRule="exact"/>
              <w:ind w:firstLine="420" w:firstLineChars="200"/>
              <w:rPr>
                <w:rStyle w:val="245"/>
                <w:rFonts w:hint="default"/>
                <w:color w:val="auto"/>
                <w:sz w:val="21"/>
                <w:szCs w:val="21"/>
              </w:rPr>
            </w:pPr>
            <w:r>
              <w:rPr>
                <w:rStyle w:val="245"/>
                <w:rFonts w:hint="default"/>
                <w:color w:val="auto"/>
                <w:sz w:val="21"/>
                <w:szCs w:val="21"/>
              </w:rPr>
              <w:t>眼睛接触：用大量水冲洗数分钟，就医。</w:t>
            </w:r>
          </w:p>
          <w:p>
            <w:pPr>
              <w:spacing w:line="360" w:lineRule="exact"/>
              <w:ind w:firstLine="420" w:firstLineChars="200"/>
              <w:rPr>
                <w:rFonts w:ascii="宋体" w:hAnsi="宋体"/>
                <w:color w:val="auto"/>
                <w:szCs w:val="21"/>
              </w:rPr>
            </w:pPr>
            <w:r>
              <w:rPr>
                <w:rStyle w:val="245"/>
                <w:rFonts w:hint="default"/>
                <w:color w:val="auto"/>
                <w:sz w:val="21"/>
                <w:szCs w:val="21"/>
              </w:rPr>
              <w:t>皮肤接触：脱去污染的衣物，用大量清水和肥皂清洗接触部分。</w:t>
            </w:r>
          </w:p>
        </w:tc>
        <w:tc>
          <w:tcPr>
            <w:tcW w:w="3303" w:type="dxa"/>
            <w:tcBorders>
              <w:bottom w:val="single" w:color="auto" w:sz="4" w:space="0"/>
            </w:tcBorders>
            <w:vAlign w:val="center"/>
          </w:tcPr>
          <w:p>
            <w:pPr>
              <w:pStyle w:val="40"/>
              <w:spacing w:before="0" w:beforeAutospacing="0" w:after="0" w:afterAutospacing="0"/>
              <w:jc w:val="both"/>
              <w:rPr>
                <w:color w:val="auto"/>
                <w:sz w:val="21"/>
                <w:szCs w:val="21"/>
              </w:rPr>
            </w:pPr>
            <w:r>
              <w:rPr>
                <w:rFonts w:hint="eastAsia"/>
                <w:color w:val="auto"/>
                <w:sz w:val="21"/>
                <w:szCs w:val="21"/>
              </w:rPr>
              <w:t>现场配备有洗眼设备等，</w:t>
            </w:r>
            <w:r>
              <w:rPr>
                <w:rStyle w:val="245"/>
                <w:rFonts w:hint="default"/>
                <w:color w:val="auto"/>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97" w:hRule="atLeast"/>
        </w:trPr>
        <w:tc>
          <w:tcPr>
            <w:tcW w:w="648" w:type="dxa"/>
            <w:vMerge w:val="continue"/>
            <w:vAlign w:val="center"/>
          </w:tcPr>
          <w:p>
            <w:pPr>
              <w:pStyle w:val="489"/>
              <w:widowControl w:val="0"/>
              <w:spacing w:before="0" w:beforeAutospacing="0" w:after="0" w:afterAutospacing="0" w:line="240" w:lineRule="auto"/>
              <w:jc w:val="center"/>
              <w:rPr>
                <w:b/>
                <w:color w:val="auto"/>
                <w:sz w:val="21"/>
                <w:szCs w:val="21"/>
              </w:rPr>
            </w:pPr>
          </w:p>
        </w:tc>
        <w:tc>
          <w:tcPr>
            <w:tcW w:w="5697" w:type="dxa"/>
            <w:vAlign w:val="center"/>
          </w:tcPr>
          <w:p>
            <w:pPr>
              <w:spacing w:line="360" w:lineRule="exact"/>
              <w:rPr>
                <w:rFonts w:ascii="宋体" w:hAnsi="宋体"/>
                <w:b/>
                <w:color w:val="auto"/>
                <w:szCs w:val="21"/>
              </w:rPr>
            </w:pPr>
            <w:r>
              <w:rPr>
                <w:rFonts w:hint="eastAsia" w:ascii="宋体" w:hAnsi="宋体"/>
                <w:color w:val="auto"/>
                <w:szCs w:val="21"/>
              </w:rPr>
              <w:t>【灭火方法】</w:t>
            </w:r>
          </w:p>
          <w:p>
            <w:pPr>
              <w:pStyle w:val="40"/>
              <w:shd w:val="clear" w:color="auto" w:fill="FFFFFF"/>
              <w:spacing w:before="0" w:beforeAutospacing="0" w:after="0" w:afterAutospacing="0" w:line="350" w:lineRule="exact"/>
              <w:ind w:firstLine="420" w:firstLineChars="200"/>
              <w:rPr>
                <w:rStyle w:val="245"/>
                <w:rFonts w:hint="default"/>
                <w:color w:val="auto"/>
                <w:sz w:val="21"/>
                <w:szCs w:val="21"/>
              </w:rPr>
            </w:pPr>
            <w:r>
              <w:rPr>
                <w:rStyle w:val="245"/>
                <w:rFonts w:hint="default"/>
                <w:color w:val="auto"/>
                <w:sz w:val="21"/>
                <w:szCs w:val="21"/>
              </w:rPr>
              <w:t>灭火剂：货物着火时，严禁灭火！因为可能爆炸。切勿开动已处于火场中的货船或车辆。</w:t>
            </w:r>
          </w:p>
          <w:p>
            <w:pPr>
              <w:shd w:val="clear" w:color="auto" w:fill="FFFFFF"/>
              <w:spacing w:line="350" w:lineRule="exact"/>
              <w:ind w:firstLine="420" w:firstLineChars="200"/>
              <w:rPr>
                <w:rStyle w:val="245"/>
                <w:rFonts w:hint="default"/>
                <w:color w:val="auto"/>
                <w:sz w:val="21"/>
                <w:szCs w:val="21"/>
              </w:rPr>
            </w:pPr>
            <w:r>
              <w:rPr>
                <w:rStyle w:val="245"/>
                <w:rFonts w:hint="default"/>
                <w:color w:val="auto"/>
                <w:sz w:val="21"/>
                <w:szCs w:val="21"/>
              </w:rPr>
              <w:t>其他情况下，小火，用大量水灭火，无水时，可用二氧化碳、干粉、泡沫灭火。</w:t>
            </w:r>
          </w:p>
          <w:p>
            <w:pPr>
              <w:pStyle w:val="40"/>
              <w:shd w:val="clear" w:color="auto" w:fill="FFFFFF"/>
              <w:spacing w:before="0" w:beforeAutospacing="0" w:after="0" w:afterAutospacing="0" w:line="350" w:lineRule="exact"/>
              <w:ind w:firstLine="420" w:firstLineChars="200"/>
              <w:rPr>
                <w:rStyle w:val="245"/>
                <w:rFonts w:hint="default"/>
                <w:color w:val="auto"/>
                <w:sz w:val="21"/>
                <w:szCs w:val="21"/>
              </w:rPr>
            </w:pPr>
            <w:r>
              <w:rPr>
                <w:rStyle w:val="245"/>
                <w:rFonts w:hint="default"/>
                <w:color w:val="auto"/>
                <w:sz w:val="21"/>
                <w:szCs w:val="21"/>
              </w:rPr>
              <w:t>大火时，远距离用大量水扑救。消防人员应戴好防毒面具，在上风向灭火。如果可能，并且无危险，可使用无人操作的灭火喷头或可监视喷头远距离灭火。禁止一切通行，清理方圆至少800米范围内的区域，任其自行燃烧。</w:t>
            </w:r>
          </w:p>
          <w:p>
            <w:pPr>
              <w:spacing w:line="360" w:lineRule="exact"/>
              <w:ind w:firstLine="480" w:firstLineChars="200"/>
              <w:rPr>
                <w:rStyle w:val="245"/>
                <w:rFonts w:hint="default"/>
                <w:b/>
                <w:color w:val="auto"/>
                <w:sz w:val="21"/>
                <w:szCs w:val="21"/>
              </w:rPr>
            </w:pPr>
            <w:r>
              <w:rPr>
                <w:rFonts w:hint="eastAsia" w:ascii="宋体" w:hAnsi="宋体"/>
                <w:color w:val="auto"/>
                <w:szCs w:val="21"/>
              </w:rPr>
              <w:t>如果在火场中有储罐、槽车或罐车，周围至少隔离800米；同时初始疏散距离也至少为800米。</w:t>
            </w:r>
          </w:p>
        </w:tc>
        <w:tc>
          <w:tcPr>
            <w:tcW w:w="3303" w:type="dxa"/>
            <w:vAlign w:val="center"/>
          </w:tcPr>
          <w:p>
            <w:pPr>
              <w:pStyle w:val="40"/>
              <w:spacing w:before="0" w:beforeAutospacing="0" w:after="0" w:afterAutospacing="0"/>
              <w:jc w:val="both"/>
              <w:rPr>
                <w:color w:val="auto"/>
                <w:sz w:val="21"/>
                <w:szCs w:val="21"/>
              </w:rPr>
            </w:pPr>
            <w:r>
              <w:rPr>
                <w:rFonts w:hint="eastAsia"/>
                <w:color w:val="auto"/>
                <w:sz w:val="21"/>
                <w:szCs w:val="21"/>
              </w:rPr>
              <w:t>使用和储存现场配置有干粉灭火器等消防器材。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70" w:hRule="atLeast"/>
        </w:trPr>
        <w:tc>
          <w:tcPr>
            <w:tcW w:w="648" w:type="dxa"/>
            <w:vMerge w:val="continue"/>
            <w:vAlign w:val="center"/>
          </w:tcPr>
          <w:p>
            <w:pPr>
              <w:pStyle w:val="489"/>
              <w:widowControl w:val="0"/>
              <w:spacing w:before="0" w:beforeAutospacing="0" w:after="0" w:afterAutospacing="0" w:line="240" w:lineRule="auto"/>
              <w:jc w:val="center"/>
              <w:rPr>
                <w:b/>
                <w:color w:val="auto"/>
                <w:sz w:val="21"/>
                <w:szCs w:val="21"/>
              </w:rPr>
            </w:pPr>
          </w:p>
        </w:tc>
        <w:tc>
          <w:tcPr>
            <w:tcW w:w="5697" w:type="dxa"/>
            <w:vAlign w:val="center"/>
          </w:tcPr>
          <w:p>
            <w:pPr>
              <w:spacing w:line="360" w:lineRule="exact"/>
              <w:rPr>
                <w:rFonts w:ascii="宋体" w:hAnsi="宋体"/>
                <w:b/>
                <w:color w:val="auto"/>
                <w:szCs w:val="21"/>
              </w:rPr>
            </w:pPr>
            <w:r>
              <w:rPr>
                <w:rFonts w:hint="eastAsia" w:ascii="宋体" w:hAnsi="宋体"/>
                <w:color w:val="auto"/>
                <w:szCs w:val="21"/>
              </w:rPr>
              <w:t>【泄漏应急处置】</w:t>
            </w:r>
          </w:p>
          <w:p>
            <w:pPr>
              <w:pStyle w:val="40"/>
              <w:spacing w:before="0" w:beforeAutospacing="0" w:after="0" w:afterAutospacing="0" w:line="350" w:lineRule="exact"/>
              <w:ind w:firstLine="420" w:firstLineChars="200"/>
              <w:rPr>
                <w:rStyle w:val="245"/>
                <w:rFonts w:hint="default"/>
                <w:color w:val="auto"/>
                <w:sz w:val="21"/>
                <w:szCs w:val="21"/>
              </w:rPr>
            </w:pPr>
            <w:r>
              <w:rPr>
                <w:rStyle w:val="245"/>
                <w:rFonts w:hint="default"/>
                <w:color w:val="auto"/>
                <w:sz w:val="21"/>
                <w:szCs w:val="21"/>
              </w:rPr>
              <w:t>隔离泄漏污染区，限制出入。消除所有点火源（泄漏区附近禁止吸烟、消除所有明火、火花或火焰）。建议应急处理人员戴防尘口罩，穿消防防护服。作业时使用的所有设备应接地。禁止接触或跨越泄漏物。小量泄漏：用大量水冲洗泄漏区。大量泄漏：用水润湿，并筑堤收容。通过慢慢加入大量水保持泄漏物湿润。</w:t>
            </w:r>
          </w:p>
          <w:p>
            <w:pPr>
              <w:pStyle w:val="40"/>
              <w:spacing w:before="0" w:beforeAutospacing="0" w:after="0" w:afterAutospacing="0"/>
              <w:ind w:firstLine="420" w:firstLineChars="200"/>
              <w:jc w:val="both"/>
              <w:rPr>
                <w:color w:val="auto"/>
                <w:sz w:val="21"/>
                <w:szCs w:val="21"/>
              </w:rPr>
            </w:pPr>
            <w:r>
              <w:rPr>
                <w:rStyle w:val="245"/>
                <w:rFonts w:hint="default"/>
                <w:color w:val="auto"/>
                <w:sz w:val="21"/>
                <w:szCs w:val="21"/>
              </w:rPr>
              <w:t>作为一项紧急预防措施，泄漏隔离距离至少为100米。如果是大量泄漏，下风向的初始疏散距离应至少为500米。</w:t>
            </w:r>
          </w:p>
        </w:tc>
        <w:tc>
          <w:tcPr>
            <w:tcW w:w="3303" w:type="dxa"/>
            <w:vAlign w:val="center"/>
          </w:tcPr>
          <w:p>
            <w:pPr>
              <w:pStyle w:val="40"/>
              <w:spacing w:before="0" w:beforeAutospacing="0" w:after="0" w:afterAutospacing="0"/>
              <w:jc w:val="both"/>
              <w:rPr>
                <w:color w:val="auto"/>
                <w:sz w:val="21"/>
                <w:szCs w:val="21"/>
              </w:rPr>
            </w:pPr>
            <w:r>
              <w:rPr>
                <w:rFonts w:hint="eastAsia"/>
                <w:color w:val="auto"/>
                <w:sz w:val="21"/>
                <w:szCs w:val="21"/>
              </w:rPr>
              <w:t>应急处置已在编制好的应急预案中有所反映。</w:t>
            </w:r>
            <w:r>
              <w:rPr>
                <w:rStyle w:val="245"/>
                <w:rFonts w:hint="default"/>
                <w:color w:val="auto"/>
                <w:sz w:val="21"/>
                <w:szCs w:val="21"/>
              </w:rPr>
              <w:t>生产车间所有设备已接地。</w:t>
            </w:r>
          </w:p>
        </w:tc>
      </w:tr>
    </w:tbl>
    <w:p>
      <w:pPr>
        <w:spacing w:line="560" w:lineRule="exact"/>
        <w:ind w:firstLine="528" w:firstLineChars="200"/>
        <w:rPr>
          <w:rFonts w:ascii="宋体" w:hAnsi="宋体" w:eastAsia="宋体"/>
          <w:snapToGrid w:val="0"/>
          <w:color w:val="auto"/>
          <w:spacing w:val="-8"/>
          <w:sz w:val="28"/>
          <w:szCs w:val="28"/>
          <w:lang w:eastAsia="zh-CN"/>
        </w:rPr>
      </w:pPr>
      <w:r>
        <w:rPr>
          <w:rFonts w:hint="eastAsia" w:ascii="宋体" w:hAnsi="宋体" w:eastAsia="宋体"/>
          <w:snapToGrid w:val="0"/>
          <w:color w:val="auto"/>
          <w:spacing w:val="-8"/>
          <w:sz w:val="28"/>
          <w:szCs w:val="28"/>
        </w:rPr>
        <w:t>该公司对其储存、使用的重点监管的危险化学品乙酸乙酯(2651)、苯乙烯(96)、硝化纤维素溶液[含氮量≤12.6%，含硝化纤维素≤55%](2208)进行重点监管，符合《国家安全监管总局办公厅关于印发首批重点监管的危险化学品安全措施和应急处置原则的通知》、《国家安全监管总局办公厅关于印发第二批重点监管的危险化学品安全措施和应急处置原则的通知》的要求</w:t>
      </w:r>
      <w:r>
        <w:rPr>
          <w:rFonts w:hint="eastAsia" w:ascii="宋体" w:hAnsi="宋体" w:eastAsia="宋体"/>
          <w:snapToGrid w:val="0"/>
          <w:color w:val="auto"/>
          <w:spacing w:val="-8"/>
          <w:sz w:val="28"/>
          <w:szCs w:val="28"/>
          <w:lang w:eastAsia="zh-CN"/>
        </w:rPr>
        <w:t>。</w:t>
      </w:r>
    </w:p>
    <w:p>
      <w:pPr>
        <w:spacing w:line="560" w:lineRule="exact"/>
        <w:jc w:val="both"/>
        <w:outlineLvl w:val="1"/>
        <w:rPr>
          <w:rFonts w:ascii="楷体_GB2312" w:hAnsi="Times New Roman" w:eastAsia="楷体_GB2312" w:cs="Times New Roman"/>
          <w:bCs/>
          <w:color w:val="auto"/>
          <w:kern w:val="2"/>
          <w:sz w:val="32"/>
          <w:lang w:val="en-US" w:eastAsia="zh-CN" w:bidi="ar-SA"/>
        </w:rPr>
      </w:pPr>
      <w:bookmarkStart w:id="174" w:name="_Toc40045939"/>
      <w:r>
        <w:rPr>
          <w:rFonts w:ascii="楷体_GB2312" w:hAnsi="Times New Roman" w:eastAsia="楷体_GB2312" w:cs="Times New Roman"/>
          <w:bCs/>
          <w:color w:val="auto"/>
          <w:kern w:val="2"/>
          <w:sz w:val="32"/>
          <w:lang w:val="en-US" w:eastAsia="zh-CN" w:bidi="ar-SA"/>
        </w:rPr>
        <w:t>附件1.</w:t>
      </w:r>
      <w:r>
        <w:rPr>
          <w:rFonts w:hint="eastAsia" w:ascii="楷体_GB2312" w:hAnsi="Times New Roman" w:eastAsia="楷体_GB2312" w:cs="Times New Roman"/>
          <w:bCs/>
          <w:color w:val="auto"/>
          <w:kern w:val="2"/>
          <w:sz w:val="32"/>
          <w:lang w:val="en-US" w:eastAsia="zh-CN" w:bidi="ar-SA"/>
        </w:rPr>
        <w:t>3</w:t>
      </w:r>
      <w:r>
        <w:rPr>
          <w:rFonts w:ascii="楷体_GB2312" w:hAnsi="Times New Roman" w:eastAsia="楷体_GB2312" w:cs="Times New Roman"/>
          <w:bCs/>
          <w:color w:val="auto"/>
          <w:kern w:val="2"/>
          <w:sz w:val="32"/>
          <w:lang w:val="en-US" w:eastAsia="zh-CN" w:bidi="ar-SA"/>
        </w:rPr>
        <w:t>生产、储存过程危险、有害因素辨识</w:t>
      </w:r>
      <w:bookmarkEnd w:id="171"/>
      <w:bookmarkEnd w:id="174"/>
    </w:p>
    <w:p>
      <w:pPr>
        <w:spacing w:line="560" w:lineRule="exact"/>
        <w:ind w:firstLine="425" w:firstLineChars="152"/>
        <w:jc w:val="both"/>
        <w:rPr>
          <w:rFonts w:ascii="宋体" w:hAnsi="宋体" w:eastAsia="宋体"/>
          <w:color w:val="auto"/>
          <w:sz w:val="28"/>
          <w:szCs w:val="28"/>
        </w:rPr>
      </w:pPr>
      <w:r>
        <w:rPr>
          <w:rFonts w:ascii="宋体" w:hAnsi="宋体" w:eastAsia="宋体"/>
          <w:color w:val="auto"/>
          <w:sz w:val="28"/>
          <w:szCs w:val="28"/>
        </w:rPr>
        <w:t>参照GB6441-1986《企业职工伤亡事故分类》的规定，综合考虑起因物、致害物和致害方式，通过分析该公司危险化学品生产过程，确定其存在的主要危险有害因素有：</w:t>
      </w:r>
      <w:r>
        <w:rPr>
          <w:rFonts w:hint="eastAsia" w:ascii="宋体" w:hAnsi="宋体" w:eastAsia="宋体"/>
          <w:color w:val="auto"/>
          <w:sz w:val="28"/>
          <w:szCs w:val="28"/>
        </w:rPr>
        <w:t>火灾和其他爆炸</w:t>
      </w:r>
      <w:r>
        <w:rPr>
          <w:rFonts w:hint="eastAsia" w:ascii="宋体" w:hAnsi="宋体" w:eastAsia="宋体"/>
          <w:color w:val="auto"/>
          <w:sz w:val="28"/>
          <w:szCs w:val="28"/>
          <w:lang w:eastAsia="zh-CN"/>
        </w:rPr>
        <w:t>、</w:t>
      </w:r>
      <w:r>
        <w:rPr>
          <w:rFonts w:hint="eastAsia" w:ascii="宋体" w:hAnsi="宋体" w:eastAsia="宋体"/>
          <w:color w:val="auto"/>
          <w:sz w:val="28"/>
          <w:szCs w:val="28"/>
        </w:rPr>
        <w:t>中毒和窒息</w:t>
      </w:r>
      <w:r>
        <w:rPr>
          <w:rFonts w:hint="eastAsia" w:ascii="宋体" w:hAnsi="宋体" w:eastAsia="宋体"/>
          <w:color w:val="auto"/>
          <w:sz w:val="28"/>
          <w:szCs w:val="28"/>
          <w:lang w:eastAsia="zh-CN"/>
        </w:rPr>
        <w:t>、</w:t>
      </w:r>
      <w:r>
        <w:rPr>
          <w:rFonts w:hint="eastAsia" w:ascii="宋体" w:hAnsi="宋体" w:eastAsia="宋体"/>
          <w:color w:val="auto"/>
          <w:sz w:val="28"/>
          <w:szCs w:val="28"/>
        </w:rPr>
        <w:t>灼烫</w:t>
      </w:r>
      <w:r>
        <w:rPr>
          <w:rFonts w:hint="eastAsia" w:ascii="宋体" w:hAnsi="宋体" w:eastAsia="宋体"/>
          <w:color w:val="auto"/>
          <w:sz w:val="28"/>
          <w:szCs w:val="28"/>
          <w:lang w:eastAsia="zh-CN"/>
        </w:rPr>
        <w:t>、</w:t>
      </w:r>
      <w:r>
        <w:rPr>
          <w:rFonts w:hint="eastAsia" w:ascii="宋体" w:hAnsi="宋体" w:eastAsia="宋体"/>
          <w:color w:val="auto"/>
          <w:sz w:val="28"/>
          <w:szCs w:val="28"/>
        </w:rPr>
        <w:t>机械伤害</w:t>
      </w:r>
      <w:r>
        <w:rPr>
          <w:rFonts w:hint="eastAsia" w:ascii="宋体" w:hAnsi="宋体" w:eastAsia="宋体"/>
          <w:color w:val="auto"/>
          <w:sz w:val="28"/>
          <w:szCs w:val="28"/>
          <w:lang w:eastAsia="zh-CN"/>
        </w:rPr>
        <w:t>、</w:t>
      </w:r>
      <w:r>
        <w:rPr>
          <w:rFonts w:hint="eastAsia" w:ascii="宋体" w:hAnsi="宋体" w:eastAsia="宋体"/>
          <w:color w:val="auto"/>
          <w:sz w:val="28"/>
          <w:szCs w:val="28"/>
        </w:rPr>
        <w:t>触电伤害</w:t>
      </w:r>
      <w:r>
        <w:rPr>
          <w:rFonts w:hint="eastAsia" w:ascii="宋体" w:hAnsi="宋体" w:eastAsia="宋体"/>
          <w:color w:val="auto"/>
          <w:sz w:val="28"/>
          <w:szCs w:val="28"/>
          <w:lang w:eastAsia="zh-CN"/>
        </w:rPr>
        <w:t>、</w:t>
      </w:r>
      <w:r>
        <w:rPr>
          <w:rFonts w:hint="eastAsia" w:ascii="宋体" w:hAnsi="宋体" w:eastAsia="宋体"/>
          <w:color w:val="auto"/>
          <w:sz w:val="28"/>
          <w:szCs w:val="28"/>
        </w:rPr>
        <w:t>物体打击</w:t>
      </w:r>
      <w:r>
        <w:rPr>
          <w:rFonts w:hint="eastAsia" w:ascii="宋体" w:hAnsi="宋体" w:eastAsia="宋体"/>
          <w:color w:val="auto"/>
          <w:sz w:val="28"/>
          <w:szCs w:val="28"/>
          <w:lang w:eastAsia="zh-CN"/>
        </w:rPr>
        <w:t>、</w:t>
      </w:r>
      <w:r>
        <w:rPr>
          <w:rFonts w:hint="eastAsia" w:ascii="宋体" w:hAnsi="宋体" w:eastAsia="宋体"/>
          <w:color w:val="auto"/>
          <w:sz w:val="28"/>
          <w:szCs w:val="28"/>
        </w:rPr>
        <w:t>车辆伤害</w:t>
      </w:r>
      <w:r>
        <w:rPr>
          <w:rFonts w:hint="eastAsia" w:ascii="宋体" w:hAnsi="宋体" w:eastAsia="宋体"/>
          <w:color w:val="auto"/>
          <w:sz w:val="28"/>
          <w:szCs w:val="28"/>
          <w:lang w:eastAsia="zh-CN"/>
        </w:rPr>
        <w:t>、</w:t>
      </w:r>
      <w:r>
        <w:rPr>
          <w:rFonts w:hint="eastAsia" w:ascii="宋体" w:hAnsi="宋体" w:eastAsia="宋体"/>
          <w:color w:val="auto"/>
          <w:sz w:val="28"/>
          <w:szCs w:val="28"/>
        </w:rPr>
        <w:t>淹溺</w:t>
      </w:r>
      <w:r>
        <w:rPr>
          <w:rFonts w:ascii="宋体" w:hAnsi="宋体" w:eastAsia="宋体"/>
          <w:color w:val="auto"/>
          <w:sz w:val="28"/>
          <w:szCs w:val="28"/>
        </w:rPr>
        <w:t>。其中火灾爆炸、中毒和窒息为最主要危险有害因素。</w:t>
      </w:r>
    </w:p>
    <w:p>
      <w:pPr>
        <w:spacing w:line="560" w:lineRule="exact"/>
        <w:jc w:val="both"/>
        <w:outlineLvl w:val="2"/>
        <w:rPr>
          <w:rFonts w:ascii="宋体" w:hAnsi="宋体" w:eastAsia="宋体" w:cs="Times New Roman"/>
          <w:bCs/>
          <w:color w:val="auto"/>
          <w:kern w:val="2"/>
          <w:sz w:val="28"/>
          <w:szCs w:val="28"/>
          <w:lang w:val="en-US" w:eastAsia="zh-CN" w:bidi="ar-SA"/>
        </w:rPr>
      </w:pPr>
      <w:bookmarkStart w:id="175" w:name="bookmark113"/>
      <w:r>
        <w:rPr>
          <w:rFonts w:ascii="宋体" w:hAnsi="宋体" w:eastAsia="宋体" w:cs="Times New Roman"/>
          <w:bCs/>
          <w:color w:val="auto"/>
          <w:kern w:val="2"/>
          <w:sz w:val="28"/>
          <w:szCs w:val="28"/>
          <w:lang w:val="en-US" w:eastAsia="zh-CN" w:bidi="ar-SA"/>
        </w:rPr>
        <w:t>1.</w:t>
      </w:r>
      <w:r>
        <w:rPr>
          <w:rFonts w:hint="eastAsia" w:ascii="宋体" w:hAnsi="宋体" w:eastAsia="宋体" w:cs="Times New Roman"/>
          <w:bCs/>
          <w:color w:val="auto"/>
          <w:kern w:val="2"/>
          <w:sz w:val="28"/>
          <w:szCs w:val="28"/>
          <w:lang w:val="en-US" w:eastAsia="zh-CN" w:bidi="ar-SA"/>
        </w:rPr>
        <w:t>3</w:t>
      </w:r>
      <w:r>
        <w:rPr>
          <w:rFonts w:ascii="宋体" w:hAnsi="宋体" w:eastAsia="宋体" w:cs="Times New Roman"/>
          <w:bCs/>
          <w:color w:val="auto"/>
          <w:kern w:val="2"/>
          <w:sz w:val="28"/>
          <w:szCs w:val="28"/>
          <w:lang w:val="en-US" w:eastAsia="zh-CN" w:bidi="ar-SA"/>
        </w:rPr>
        <w:t>.1火灾爆炸</w:t>
      </w:r>
      <w:bookmarkEnd w:id="175"/>
    </w:p>
    <w:p>
      <w:pPr>
        <w:spacing w:line="560" w:lineRule="exact"/>
        <w:ind w:firstLine="425" w:firstLineChars="152"/>
        <w:jc w:val="both"/>
        <w:rPr>
          <w:rFonts w:ascii="宋体" w:hAnsi="宋体" w:eastAsia="宋体"/>
          <w:color w:val="auto"/>
          <w:sz w:val="28"/>
          <w:szCs w:val="28"/>
          <w:lang w:eastAsia="zh-CN"/>
        </w:rPr>
      </w:pPr>
      <w:r>
        <w:rPr>
          <w:rFonts w:ascii="宋体" w:hAnsi="宋体" w:eastAsia="宋体"/>
          <w:color w:val="auto"/>
          <w:sz w:val="28"/>
          <w:szCs w:val="28"/>
        </w:rPr>
        <w:t>该项目使用的原料和生产的产品大多数是易燃液体，生产过程具有较大的火灾爆炸危险性；生产过程中部分生产设施、储存容器密闭性差，生产过程有分散、搅拌等过程，这些过程中一方面可能会导致易燃易爆物质的泄漏，同时也加速易燃易爆有毒蒸汽的挥发，如果在空气中达到爆炸极限，遇火源即会引起火灾爆炸。</w:t>
      </w:r>
    </w:p>
    <w:p>
      <w:pPr>
        <w:spacing w:line="560" w:lineRule="exact"/>
        <w:ind w:firstLine="425" w:firstLineChars="152"/>
        <w:jc w:val="both"/>
        <w:rPr>
          <w:rFonts w:ascii="宋体" w:hAnsi="宋体" w:eastAsia="宋体"/>
          <w:color w:val="auto"/>
          <w:sz w:val="28"/>
          <w:szCs w:val="28"/>
          <w:lang w:eastAsia="zh-CN"/>
        </w:rPr>
      </w:pPr>
      <w:r>
        <w:rPr>
          <w:rFonts w:hint="eastAsia" w:ascii="宋体" w:hAnsi="宋体" w:eastAsia="宋体"/>
          <w:color w:val="auto"/>
          <w:sz w:val="28"/>
          <w:szCs w:val="28"/>
          <w:lang w:eastAsia="zh-CN"/>
        </w:rPr>
        <w:t>危险化学品在厂区的运输过程中如果违章操作，造成包装物损坏，会造成易燃易爆物质的泄漏，遇火源会引起火灾爆炸。</w:t>
      </w:r>
    </w:p>
    <w:p>
      <w:pPr>
        <w:spacing w:line="560" w:lineRule="exact"/>
        <w:ind w:firstLine="425" w:firstLineChars="152"/>
        <w:jc w:val="both"/>
        <w:rPr>
          <w:rFonts w:ascii="宋体" w:hAnsi="宋体" w:eastAsia="宋体"/>
          <w:color w:val="auto"/>
          <w:sz w:val="28"/>
          <w:szCs w:val="28"/>
        </w:rPr>
      </w:pPr>
      <w:r>
        <w:rPr>
          <w:rFonts w:ascii="宋体" w:hAnsi="宋体" w:eastAsia="宋体"/>
          <w:color w:val="auto"/>
          <w:sz w:val="28"/>
          <w:szCs w:val="28"/>
        </w:rPr>
        <w:t>生产过程中存在的多方面的潜在火源更增加了火灾的危险性，具体表现在：</w:t>
      </w:r>
    </w:p>
    <w:p>
      <w:pPr>
        <w:spacing w:line="560" w:lineRule="exact"/>
        <w:ind w:firstLine="425" w:firstLineChars="152"/>
        <w:jc w:val="both"/>
        <w:rPr>
          <w:rFonts w:ascii="宋体" w:hAnsi="宋体" w:eastAsia="宋体"/>
          <w:color w:val="auto"/>
          <w:sz w:val="28"/>
          <w:szCs w:val="28"/>
        </w:rPr>
      </w:pPr>
      <w:r>
        <w:rPr>
          <w:rFonts w:hint="eastAsia" w:ascii="宋体" w:hAnsi="宋体" w:eastAsia="宋体"/>
          <w:color w:val="auto"/>
          <w:sz w:val="28"/>
          <w:szCs w:val="28"/>
          <w:lang w:eastAsia="zh-CN"/>
        </w:rPr>
        <w:t>(</w:t>
      </w:r>
      <w:r>
        <w:rPr>
          <w:rFonts w:ascii="宋体" w:hAnsi="宋体" w:eastAsia="宋体"/>
          <w:color w:val="auto"/>
          <w:sz w:val="28"/>
          <w:szCs w:val="28"/>
        </w:rPr>
        <w:t>1</w:t>
      </w:r>
      <w:r>
        <w:rPr>
          <w:rFonts w:hint="eastAsia" w:ascii="宋体" w:hAnsi="宋体" w:eastAsia="宋体"/>
          <w:color w:val="auto"/>
          <w:sz w:val="28"/>
          <w:szCs w:val="28"/>
          <w:lang w:eastAsia="zh-CN"/>
        </w:rPr>
        <w:t>)</w:t>
      </w:r>
      <w:r>
        <w:rPr>
          <w:rFonts w:ascii="宋体" w:hAnsi="宋体" w:eastAsia="宋体"/>
          <w:color w:val="auto"/>
          <w:sz w:val="28"/>
          <w:szCs w:val="28"/>
        </w:rPr>
        <w:t>静电是易燃液体生产中较为常见的一种现象，生产中大量使用的有机溶剂都是电的不良导体，容易导致静电积聚，如果防静电措施不良会产生静电火花。在配料和搅拌过程中会产生静电；在溶剂、树脂和漆浆的过滤过程中由于物料与容器和滤网的摩擦也会产生静电。因此，有可燃液体的作业场所可能由静电火花引起火灾；有爆炸性气体混合物的场所可能由静电火花引起爆炸。</w:t>
      </w:r>
    </w:p>
    <w:p>
      <w:pPr>
        <w:spacing w:line="560" w:lineRule="exact"/>
        <w:ind w:firstLine="425" w:firstLineChars="152"/>
        <w:jc w:val="both"/>
        <w:rPr>
          <w:rFonts w:ascii="宋体" w:hAnsi="宋体" w:eastAsia="宋体"/>
          <w:color w:val="auto"/>
          <w:sz w:val="28"/>
          <w:szCs w:val="28"/>
        </w:rPr>
      </w:pPr>
      <w:r>
        <w:rPr>
          <w:rFonts w:hint="eastAsia" w:ascii="宋体" w:hAnsi="宋体" w:eastAsia="宋体"/>
          <w:color w:val="auto"/>
          <w:sz w:val="28"/>
          <w:szCs w:val="28"/>
          <w:lang w:eastAsia="zh-CN"/>
        </w:rPr>
        <w:t>(</w:t>
      </w:r>
      <w:r>
        <w:rPr>
          <w:rFonts w:ascii="宋体" w:hAnsi="宋体" w:eastAsia="宋体"/>
          <w:color w:val="auto"/>
          <w:sz w:val="28"/>
          <w:szCs w:val="28"/>
        </w:rPr>
        <w:t>2</w:t>
      </w:r>
      <w:r>
        <w:rPr>
          <w:rFonts w:hint="eastAsia" w:ascii="宋体" w:hAnsi="宋体" w:eastAsia="宋体"/>
          <w:color w:val="auto"/>
          <w:sz w:val="28"/>
          <w:szCs w:val="28"/>
          <w:lang w:eastAsia="zh-CN"/>
        </w:rPr>
        <w:t>)</w:t>
      </w:r>
      <w:r>
        <w:rPr>
          <w:rFonts w:ascii="宋体" w:hAnsi="宋体" w:eastAsia="宋体"/>
          <w:color w:val="auto"/>
          <w:sz w:val="28"/>
          <w:szCs w:val="28"/>
        </w:rPr>
        <w:t>生产中使用的电气设备较多，如机电设施、配电设施、电气线路、排风设施、开关等，如果电气设备在选型、安装时不符合防爆要求，线路老化、安全性能差等，产生电火花将导致易燃物的燃烧、爆炸。</w:t>
      </w:r>
    </w:p>
    <w:p>
      <w:pPr>
        <w:spacing w:line="560" w:lineRule="exact"/>
        <w:ind w:firstLine="425" w:firstLineChars="152"/>
        <w:jc w:val="both"/>
        <w:rPr>
          <w:rFonts w:ascii="宋体" w:hAnsi="宋体" w:eastAsia="宋体"/>
          <w:color w:val="auto"/>
          <w:sz w:val="28"/>
          <w:szCs w:val="28"/>
        </w:rPr>
      </w:pPr>
      <w:r>
        <w:rPr>
          <w:rFonts w:hint="eastAsia" w:ascii="宋体" w:hAnsi="宋体" w:eastAsia="宋体"/>
          <w:color w:val="auto"/>
          <w:sz w:val="28"/>
          <w:szCs w:val="28"/>
          <w:lang w:eastAsia="zh-CN"/>
        </w:rPr>
        <w:t>(</w:t>
      </w:r>
      <w:r>
        <w:rPr>
          <w:rFonts w:ascii="宋体" w:hAnsi="宋体" w:eastAsia="宋体"/>
          <w:color w:val="auto"/>
          <w:sz w:val="28"/>
          <w:szCs w:val="28"/>
        </w:rPr>
        <w:t>3</w:t>
      </w:r>
      <w:r>
        <w:rPr>
          <w:rFonts w:hint="eastAsia" w:ascii="宋体" w:hAnsi="宋体" w:eastAsia="宋体"/>
          <w:color w:val="auto"/>
          <w:sz w:val="28"/>
          <w:szCs w:val="28"/>
          <w:lang w:eastAsia="zh-CN"/>
        </w:rPr>
        <w:t>)</w:t>
      </w:r>
      <w:r>
        <w:rPr>
          <w:rFonts w:ascii="宋体" w:hAnsi="宋体" w:eastAsia="宋体"/>
          <w:color w:val="auto"/>
          <w:sz w:val="28"/>
          <w:szCs w:val="28"/>
        </w:rPr>
        <w:t>检修过程中的电(气)焊等产生的火源，也会引起火灾爆炸事故。</w:t>
      </w:r>
    </w:p>
    <w:p>
      <w:pPr>
        <w:spacing w:line="560" w:lineRule="exact"/>
        <w:ind w:firstLine="425" w:firstLineChars="152"/>
        <w:jc w:val="both"/>
        <w:rPr>
          <w:rFonts w:ascii="宋体" w:hAnsi="宋体" w:eastAsia="宋体"/>
          <w:color w:val="auto"/>
          <w:sz w:val="28"/>
          <w:szCs w:val="28"/>
        </w:rPr>
      </w:pPr>
      <w:r>
        <w:rPr>
          <w:rFonts w:hint="eastAsia" w:ascii="宋体" w:hAnsi="宋体" w:eastAsia="宋体"/>
          <w:color w:val="auto"/>
          <w:sz w:val="28"/>
          <w:szCs w:val="28"/>
          <w:lang w:eastAsia="zh-CN"/>
        </w:rPr>
        <w:t>(</w:t>
      </w:r>
      <w:r>
        <w:rPr>
          <w:rFonts w:ascii="宋体" w:hAnsi="宋体" w:eastAsia="宋体"/>
          <w:color w:val="auto"/>
          <w:sz w:val="28"/>
          <w:szCs w:val="28"/>
        </w:rPr>
        <w:t>4</w:t>
      </w:r>
      <w:r>
        <w:rPr>
          <w:rFonts w:hint="eastAsia" w:ascii="宋体" w:hAnsi="宋体" w:eastAsia="宋体"/>
          <w:color w:val="auto"/>
          <w:sz w:val="28"/>
          <w:szCs w:val="28"/>
          <w:lang w:eastAsia="zh-CN"/>
        </w:rPr>
        <w:t>)</w:t>
      </w:r>
      <w:r>
        <w:rPr>
          <w:rFonts w:ascii="宋体" w:hAnsi="宋体" w:eastAsia="宋体"/>
          <w:color w:val="auto"/>
          <w:sz w:val="28"/>
          <w:szCs w:val="28"/>
        </w:rPr>
        <w:t>管理不到位，用有机溶剂拖地、擦洗设备或衣物；将废弃的滤布、纱头、手套等任意堆积在车间不及时处理，时间长了导致自燃；生产场所穿铁钉鞋、吸烟、打手机等；违章用铁器敲击设备、管路或用铁制工具加料等。这些都会产生火花而导致火灾爆炸。</w:t>
      </w:r>
    </w:p>
    <w:p>
      <w:pPr>
        <w:spacing w:line="560" w:lineRule="exact"/>
        <w:jc w:val="both"/>
        <w:outlineLvl w:val="2"/>
        <w:rPr>
          <w:rFonts w:ascii="宋体" w:hAnsi="宋体" w:eastAsia="宋体" w:cs="Times New Roman"/>
          <w:bCs/>
          <w:color w:val="auto"/>
          <w:kern w:val="2"/>
          <w:sz w:val="28"/>
          <w:szCs w:val="28"/>
          <w:lang w:val="en-US" w:eastAsia="zh-CN" w:bidi="ar-SA"/>
        </w:rPr>
      </w:pPr>
      <w:bookmarkStart w:id="176" w:name="bookmark114"/>
      <w:r>
        <w:rPr>
          <w:rFonts w:ascii="宋体" w:hAnsi="宋体" w:eastAsia="宋体" w:cs="Times New Roman"/>
          <w:bCs/>
          <w:color w:val="auto"/>
          <w:kern w:val="2"/>
          <w:sz w:val="28"/>
          <w:szCs w:val="28"/>
          <w:lang w:val="en-US" w:eastAsia="zh-CN" w:bidi="ar-SA"/>
        </w:rPr>
        <w:t>1.</w:t>
      </w:r>
      <w:r>
        <w:rPr>
          <w:rFonts w:hint="eastAsia" w:ascii="宋体" w:hAnsi="宋体" w:eastAsia="宋体" w:cs="Times New Roman"/>
          <w:bCs/>
          <w:color w:val="auto"/>
          <w:kern w:val="2"/>
          <w:sz w:val="28"/>
          <w:szCs w:val="28"/>
          <w:lang w:val="en-US" w:eastAsia="zh-CN" w:bidi="ar-SA"/>
        </w:rPr>
        <w:t>3</w:t>
      </w:r>
      <w:r>
        <w:rPr>
          <w:rFonts w:ascii="宋体" w:hAnsi="宋体" w:eastAsia="宋体" w:cs="Times New Roman"/>
          <w:bCs/>
          <w:color w:val="auto"/>
          <w:kern w:val="2"/>
          <w:sz w:val="28"/>
          <w:szCs w:val="28"/>
          <w:lang w:val="en-US" w:eastAsia="zh-CN" w:bidi="ar-SA"/>
        </w:rPr>
        <w:t>.2机械伤害</w:t>
      </w:r>
      <w:bookmarkEnd w:id="176"/>
    </w:p>
    <w:p>
      <w:pPr>
        <w:spacing w:line="560" w:lineRule="exact"/>
        <w:ind w:firstLine="425" w:firstLineChars="152"/>
        <w:jc w:val="both"/>
        <w:rPr>
          <w:rFonts w:ascii="宋体" w:hAnsi="宋体" w:eastAsia="宋体"/>
          <w:color w:val="auto"/>
          <w:sz w:val="28"/>
          <w:szCs w:val="28"/>
          <w:lang w:eastAsia="zh-CN"/>
        </w:rPr>
      </w:pPr>
      <w:r>
        <w:rPr>
          <w:rFonts w:ascii="宋体" w:hAnsi="宋体" w:eastAsia="宋体"/>
          <w:color w:val="auto"/>
          <w:sz w:val="28"/>
          <w:szCs w:val="28"/>
          <w:lang w:eastAsia="zh-CN"/>
        </w:rPr>
        <w:t>该公司生产过程中使用了分散机、砂磨机、压料机、反应釜等机械设备，这些机械设备如果防护不良，有可能发生人体接触高速旋转的机械部件，发生机械伤害事故。</w:t>
      </w:r>
    </w:p>
    <w:p>
      <w:pPr>
        <w:spacing w:line="560" w:lineRule="exact"/>
        <w:ind w:firstLine="425" w:firstLineChars="152"/>
        <w:jc w:val="both"/>
        <w:rPr>
          <w:rFonts w:ascii="宋体" w:hAnsi="宋体" w:eastAsia="宋体"/>
          <w:color w:val="auto"/>
          <w:sz w:val="28"/>
          <w:szCs w:val="28"/>
          <w:lang w:eastAsia="zh-CN"/>
        </w:rPr>
      </w:pPr>
      <w:r>
        <w:rPr>
          <w:rFonts w:ascii="宋体" w:hAnsi="宋体" w:eastAsia="宋体"/>
          <w:color w:val="auto"/>
          <w:sz w:val="28"/>
          <w:szCs w:val="28"/>
          <w:lang w:eastAsia="zh-CN"/>
        </w:rPr>
        <w:t>在设备使用、检修、抢修过程中，操作人员违章作业或操作不当，也会使自己或他人遭受机械伤害。</w:t>
      </w:r>
    </w:p>
    <w:p>
      <w:pPr>
        <w:spacing w:line="560" w:lineRule="exact"/>
        <w:jc w:val="both"/>
        <w:outlineLvl w:val="2"/>
        <w:rPr>
          <w:rFonts w:ascii="宋体" w:hAnsi="宋体" w:eastAsia="宋体" w:cs="Times New Roman"/>
          <w:bCs/>
          <w:color w:val="auto"/>
          <w:kern w:val="2"/>
          <w:sz w:val="28"/>
          <w:szCs w:val="28"/>
          <w:lang w:val="en-US" w:eastAsia="zh-CN" w:bidi="ar-SA"/>
        </w:rPr>
      </w:pPr>
      <w:bookmarkStart w:id="177" w:name="bookmark115"/>
      <w:r>
        <w:rPr>
          <w:rFonts w:ascii="宋体" w:hAnsi="宋体" w:eastAsia="宋体" w:cs="Times New Roman"/>
          <w:bCs/>
          <w:color w:val="auto"/>
          <w:kern w:val="2"/>
          <w:sz w:val="28"/>
          <w:szCs w:val="28"/>
          <w:lang w:val="en-US" w:eastAsia="zh-CN" w:bidi="ar-SA"/>
        </w:rPr>
        <w:t>1.</w:t>
      </w:r>
      <w:r>
        <w:rPr>
          <w:rFonts w:hint="eastAsia" w:ascii="宋体" w:hAnsi="宋体" w:eastAsia="宋体" w:cs="Times New Roman"/>
          <w:bCs/>
          <w:color w:val="auto"/>
          <w:kern w:val="2"/>
          <w:sz w:val="28"/>
          <w:szCs w:val="28"/>
          <w:lang w:val="en-US" w:eastAsia="zh-CN" w:bidi="ar-SA"/>
        </w:rPr>
        <w:t>3</w:t>
      </w:r>
      <w:r>
        <w:rPr>
          <w:rFonts w:ascii="宋体" w:hAnsi="宋体" w:eastAsia="宋体" w:cs="Times New Roman"/>
          <w:bCs/>
          <w:color w:val="auto"/>
          <w:kern w:val="2"/>
          <w:sz w:val="28"/>
          <w:szCs w:val="28"/>
          <w:lang w:val="en-US" w:eastAsia="zh-CN" w:bidi="ar-SA"/>
        </w:rPr>
        <w:t>.3触电伤害</w:t>
      </w:r>
      <w:bookmarkEnd w:id="177"/>
    </w:p>
    <w:p>
      <w:pPr>
        <w:spacing w:line="560" w:lineRule="exact"/>
        <w:ind w:firstLine="425" w:firstLineChars="152"/>
        <w:jc w:val="both"/>
        <w:rPr>
          <w:rFonts w:ascii="宋体" w:hAnsi="宋体" w:eastAsia="宋体"/>
          <w:color w:val="auto"/>
          <w:sz w:val="28"/>
          <w:szCs w:val="28"/>
          <w:lang w:eastAsia="zh-CN"/>
        </w:rPr>
      </w:pPr>
      <w:r>
        <w:rPr>
          <w:rFonts w:ascii="宋体" w:hAnsi="宋体" w:eastAsia="宋体"/>
          <w:color w:val="auto"/>
          <w:sz w:val="28"/>
          <w:szCs w:val="28"/>
          <w:lang w:eastAsia="zh-CN"/>
        </w:rPr>
        <w:t>触电危险主要是指电流对人体的伤害。电流对人体有两种类型的伤害即：电击和电伤。电击是电流通过人体内部，影响呼吸、心脏和神经系统，造成人体内部组织的破坏，以至死亡。电伤主要是电流对人体外部造成的局部伤害，包括电弧烧伤，熔化金属渗入皮肤等伤害。以上两类伤害也可能同时发生，不过绝大多数触电事故都是由电击造成的。</w:t>
      </w:r>
    </w:p>
    <w:p>
      <w:pPr>
        <w:spacing w:line="560" w:lineRule="exact"/>
        <w:ind w:firstLine="425" w:firstLineChars="152"/>
        <w:jc w:val="both"/>
        <w:rPr>
          <w:rFonts w:ascii="宋体" w:hAnsi="宋体" w:eastAsia="宋体"/>
          <w:color w:val="auto"/>
          <w:sz w:val="28"/>
          <w:szCs w:val="28"/>
          <w:lang w:eastAsia="zh-CN"/>
        </w:rPr>
      </w:pPr>
      <w:r>
        <w:rPr>
          <w:rFonts w:ascii="宋体" w:hAnsi="宋体" w:eastAsia="宋体"/>
          <w:color w:val="auto"/>
          <w:sz w:val="28"/>
          <w:szCs w:val="28"/>
          <w:lang w:eastAsia="zh-CN"/>
        </w:rPr>
        <w:t>电气设备或电器等选材不当，绝缘老化、缺损；带电体屏护不良，就会发生漏电现象。人体接触高、低压电源、接触裸露的临时线或接触带电设备的金属外壳，触摸漏电的手持电动工具，以及触电后坠落和雷击等，就可能会造成触电伤亡事故。该公司所有供电、变配电用电设备，在使用和检修过程中，如有设备不正常运行、防护措施不力或操作失误，就很容易造成触电事故。因此，该公司存在一定的触电危险。建设项目触电伤害危害主要分布于危险化学品生产车间、仓库以及其他用电场所等。</w:t>
      </w:r>
    </w:p>
    <w:p>
      <w:pPr>
        <w:spacing w:line="560" w:lineRule="exact"/>
        <w:jc w:val="both"/>
        <w:outlineLvl w:val="2"/>
        <w:rPr>
          <w:rFonts w:ascii="宋体" w:hAnsi="宋体" w:eastAsia="宋体" w:cs="Times New Roman"/>
          <w:bCs/>
          <w:color w:val="auto"/>
          <w:kern w:val="2"/>
          <w:sz w:val="28"/>
          <w:szCs w:val="28"/>
          <w:lang w:val="en-US" w:eastAsia="zh-CN" w:bidi="ar-SA"/>
        </w:rPr>
      </w:pPr>
      <w:bookmarkStart w:id="178" w:name="bookmark116"/>
      <w:r>
        <w:rPr>
          <w:rFonts w:ascii="宋体" w:hAnsi="宋体" w:eastAsia="宋体" w:cs="Times New Roman"/>
          <w:bCs/>
          <w:color w:val="auto"/>
          <w:kern w:val="2"/>
          <w:sz w:val="28"/>
          <w:szCs w:val="28"/>
          <w:lang w:val="en-US" w:eastAsia="zh-CN" w:bidi="ar-SA"/>
        </w:rPr>
        <w:t>1.</w:t>
      </w:r>
      <w:r>
        <w:rPr>
          <w:rFonts w:hint="eastAsia" w:ascii="宋体" w:hAnsi="宋体" w:eastAsia="宋体" w:cs="Times New Roman"/>
          <w:bCs/>
          <w:color w:val="auto"/>
          <w:kern w:val="2"/>
          <w:sz w:val="28"/>
          <w:szCs w:val="28"/>
          <w:lang w:val="en-US" w:eastAsia="zh-CN" w:bidi="ar-SA"/>
        </w:rPr>
        <w:t>3</w:t>
      </w:r>
      <w:r>
        <w:rPr>
          <w:rFonts w:ascii="宋体" w:hAnsi="宋体" w:eastAsia="宋体" w:cs="Times New Roman"/>
          <w:bCs/>
          <w:color w:val="auto"/>
          <w:kern w:val="2"/>
          <w:sz w:val="28"/>
          <w:szCs w:val="28"/>
          <w:lang w:val="en-US" w:eastAsia="zh-CN" w:bidi="ar-SA"/>
        </w:rPr>
        <w:t>.4车辆伤害</w:t>
      </w:r>
      <w:bookmarkEnd w:id="178"/>
    </w:p>
    <w:p>
      <w:pPr>
        <w:spacing w:line="560" w:lineRule="exact"/>
        <w:ind w:firstLine="425" w:firstLineChars="152"/>
        <w:jc w:val="both"/>
        <w:rPr>
          <w:rFonts w:ascii="宋体" w:hAnsi="宋体" w:eastAsia="宋体"/>
          <w:color w:val="auto"/>
          <w:sz w:val="28"/>
          <w:szCs w:val="28"/>
          <w:lang w:eastAsia="zh-CN"/>
        </w:rPr>
      </w:pPr>
      <w:r>
        <w:rPr>
          <w:rFonts w:ascii="宋体" w:hAnsi="宋体" w:eastAsia="宋体"/>
          <w:color w:val="auto"/>
          <w:sz w:val="28"/>
          <w:szCs w:val="28"/>
          <w:lang w:eastAsia="zh-CN"/>
        </w:rPr>
        <w:t>车辆伤害是指机动车辆引起的机械伤害事故。建设项目生产过程中的原材料和成品使用普通货车或者电动叉车进行运输装卸。作业时如有疏忽，如车况不良、驾驶员视野不清、判断失误、操作不当或违章操作、野蛮作业、人员不小心、避让不及，就容易发生车辆对人员的伤害事故。</w:t>
      </w:r>
    </w:p>
    <w:p>
      <w:pPr>
        <w:spacing w:line="560" w:lineRule="exact"/>
        <w:jc w:val="both"/>
        <w:outlineLvl w:val="2"/>
        <w:rPr>
          <w:rFonts w:ascii="宋体" w:hAnsi="宋体" w:eastAsia="宋体" w:cs="Times New Roman"/>
          <w:bCs/>
          <w:color w:val="auto"/>
          <w:kern w:val="2"/>
          <w:sz w:val="28"/>
          <w:szCs w:val="28"/>
          <w:lang w:val="en-US" w:eastAsia="zh-CN" w:bidi="ar-SA"/>
        </w:rPr>
      </w:pPr>
      <w:bookmarkStart w:id="179" w:name="bookmark117"/>
      <w:r>
        <w:rPr>
          <w:rFonts w:ascii="宋体" w:hAnsi="宋体" w:eastAsia="宋体" w:cs="Times New Roman"/>
          <w:bCs/>
          <w:color w:val="auto"/>
          <w:kern w:val="2"/>
          <w:sz w:val="28"/>
          <w:szCs w:val="28"/>
          <w:lang w:val="en-US" w:eastAsia="zh-CN" w:bidi="ar-SA"/>
        </w:rPr>
        <w:t>1.</w:t>
      </w:r>
      <w:r>
        <w:rPr>
          <w:rFonts w:hint="eastAsia" w:ascii="宋体" w:hAnsi="宋体" w:eastAsia="宋体" w:cs="Times New Roman"/>
          <w:bCs/>
          <w:color w:val="auto"/>
          <w:kern w:val="2"/>
          <w:sz w:val="28"/>
          <w:szCs w:val="28"/>
          <w:lang w:val="en-US" w:eastAsia="zh-CN" w:bidi="ar-SA"/>
        </w:rPr>
        <w:t>3</w:t>
      </w:r>
      <w:r>
        <w:rPr>
          <w:rFonts w:ascii="宋体" w:hAnsi="宋体" w:eastAsia="宋体" w:cs="Times New Roman"/>
          <w:bCs/>
          <w:color w:val="auto"/>
          <w:kern w:val="2"/>
          <w:sz w:val="28"/>
          <w:szCs w:val="28"/>
          <w:lang w:val="en-US" w:eastAsia="zh-CN" w:bidi="ar-SA"/>
        </w:rPr>
        <w:t>.5物体打击</w:t>
      </w:r>
      <w:bookmarkEnd w:id="179"/>
    </w:p>
    <w:p>
      <w:pPr>
        <w:spacing w:line="560" w:lineRule="exact"/>
        <w:ind w:firstLine="425" w:firstLineChars="152"/>
        <w:jc w:val="both"/>
        <w:rPr>
          <w:rFonts w:ascii="宋体" w:hAnsi="宋体" w:eastAsia="宋体"/>
          <w:color w:val="auto"/>
          <w:sz w:val="28"/>
          <w:szCs w:val="28"/>
          <w:lang w:eastAsia="zh-CN"/>
        </w:rPr>
      </w:pPr>
      <w:r>
        <w:rPr>
          <w:rFonts w:ascii="宋体" w:hAnsi="宋体" w:eastAsia="宋体"/>
          <w:color w:val="auto"/>
          <w:sz w:val="28"/>
          <w:szCs w:val="28"/>
          <w:lang w:eastAsia="zh-CN"/>
        </w:rPr>
        <w:t>物体打击是指失控物体的惯性力造成的人身伤害事故。适用于落下物、飞来物、崩块所造成的伤害。但不包括因爆炸引起的物体打击。</w:t>
      </w:r>
    </w:p>
    <w:p>
      <w:pPr>
        <w:spacing w:line="560" w:lineRule="exact"/>
        <w:ind w:firstLine="425" w:firstLineChars="152"/>
        <w:jc w:val="both"/>
        <w:rPr>
          <w:rFonts w:ascii="宋体" w:hAnsi="宋体" w:eastAsia="宋体"/>
          <w:color w:val="auto"/>
          <w:sz w:val="28"/>
          <w:szCs w:val="28"/>
          <w:lang w:eastAsia="zh-CN"/>
        </w:rPr>
      </w:pPr>
      <w:r>
        <w:rPr>
          <w:rFonts w:ascii="宋体" w:hAnsi="宋体" w:eastAsia="宋体"/>
          <w:color w:val="auto"/>
          <w:sz w:val="28"/>
          <w:szCs w:val="28"/>
          <w:lang w:eastAsia="zh-CN"/>
        </w:rPr>
        <w:t>若设备检修、维修过程中，维修工具摆放不规范，违章操作，物料堆放过高、堆放不规范，可能出现物体从高处跌落打伤周围工作人员。</w:t>
      </w:r>
    </w:p>
    <w:p>
      <w:pPr>
        <w:spacing w:line="560" w:lineRule="exact"/>
        <w:ind w:firstLine="425" w:firstLineChars="152"/>
        <w:jc w:val="both"/>
        <w:rPr>
          <w:rFonts w:ascii="宋体" w:hAnsi="宋体" w:eastAsia="宋体"/>
          <w:color w:val="auto"/>
          <w:sz w:val="28"/>
          <w:szCs w:val="28"/>
          <w:lang w:eastAsia="zh-CN"/>
        </w:rPr>
      </w:pPr>
      <w:r>
        <w:rPr>
          <w:rFonts w:ascii="宋体" w:hAnsi="宋体" w:eastAsia="宋体"/>
          <w:color w:val="auto"/>
          <w:sz w:val="28"/>
          <w:szCs w:val="28"/>
          <w:lang w:eastAsia="zh-CN"/>
        </w:rPr>
        <w:t>物体打击可能发生场所：生产区的检修、仓库、维修作业现场。</w:t>
      </w:r>
    </w:p>
    <w:p>
      <w:pPr>
        <w:spacing w:line="560" w:lineRule="exact"/>
        <w:jc w:val="both"/>
        <w:outlineLvl w:val="2"/>
        <w:rPr>
          <w:rFonts w:ascii="宋体" w:hAnsi="宋体" w:eastAsia="宋体" w:cs="Times New Roman"/>
          <w:bCs/>
          <w:color w:val="auto"/>
          <w:kern w:val="2"/>
          <w:sz w:val="28"/>
          <w:szCs w:val="28"/>
          <w:lang w:val="en-US" w:eastAsia="zh-CN" w:bidi="ar-SA"/>
        </w:rPr>
      </w:pPr>
      <w:bookmarkStart w:id="180" w:name="bookmark118"/>
      <w:r>
        <w:rPr>
          <w:rFonts w:ascii="宋体" w:hAnsi="宋体" w:eastAsia="宋体" w:cs="Times New Roman"/>
          <w:bCs/>
          <w:color w:val="auto"/>
          <w:kern w:val="2"/>
          <w:sz w:val="28"/>
          <w:szCs w:val="28"/>
          <w:lang w:val="en-US" w:eastAsia="zh-CN" w:bidi="ar-SA"/>
        </w:rPr>
        <w:t>1.</w:t>
      </w:r>
      <w:r>
        <w:rPr>
          <w:rFonts w:hint="eastAsia" w:ascii="宋体" w:hAnsi="宋体" w:eastAsia="宋体" w:cs="Times New Roman"/>
          <w:bCs/>
          <w:color w:val="auto"/>
          <w:kern w:val="2"/>
          <w:sz w:val="28"/>
          <w:szCs w:val="28"/>
          <w:lang w:val="en-US" w:eastAsia="zh-CN" w:bidi="ar-SA"/>
        </w:rPr>
        <w:t>3</w:t>
      </w:r>
      <w:r>
        <w:rPr>
          <w:rFonts w:ascii="宋体" w:hAnsi="宋体" w:eastAsia="宋体" w:cs="Times New Roman"/>
          <w:bCs/>
          <w:color w:val="auto"/>
          <w:kern w:val="2"/>
          <w:sz w:val="28"/>
          <w:szCs w:val="28"/>
          <w:lang w:val="en-US" w:eastAsia="zh-CN" w:bidi="ar-SA"/>
        </w:rPr>
        <w:t>.6灼烫</w:t>
      </w:r>
      <w:bookmarkEnd w:id="180"/>
    </w:p>
    <w:p>
      <w:pPr>
        <w:spacing w:line="560" w:lineRule="exact"/>
        <w:ind w:firstLine="560" w:firstLineChars="200"/>
        <w:jc w:val="both"/>
        <w:rPr>
          <w:rFonts w:ascii="宋体" w:hAnsi="宋体" w:eastAsia="宋体"/>
          <w:bCs/>
          <w:color w:val="auto"/>
          <w:sz w:val="28"/>
          <w:szCs w:val="30"/>
        </w:rPr>
      </w:pPr>
      <w:bookmarkStart w:id="181" w:name="bookmark119"/>
      <w:r>
        <w:rPr>
          <w:rFonts w:hint="eastAsia" w:ascii="宋体" w:hAnsi="宋体" w:eastAsia="宋体"/>
          <w:color w:val="auto"/>
          <w:sz w:val="28"/>
          <w:szCs w:val="30"/>
        </w:rPr>
        <w:t>该公司存在的灼烫主要是指化学灼伤，由于该公司在生产过程中要使用溶剂，溶剂具有一定的腐蚀性，若连接设备的管道、法兰等安装、施工致使溶剂泄漏，人员误操作或作业人员没有佩戴相应的劳动防护用品等因素，都有可能发生灼烫伤害。</w:t>
      </w:r>
    </w:p>
    <w:bookmarkEnd w:id="181"/>
    <w:p>
      <w:pPr>
        <w:spacing w:line="560" w:lineRule="exact"/>
        <w:jc w:val="both"/>
        <w:outlineLvl w:val="2"/>
        <w:rPr>
          <w:rFonts w:ascii="宋体" w:hAnsi="宋体" w:eastAsia="宋体" w:cs="Times New Roman"/>
          <w:bCs/>
          <w:color w:val="auto"/>
          <w:kern w:val="2"/>
          <w:sz w:val="28"/>
          <w:szCs w:val="28"/>
          <w:lang w:val="en-US" w:eastAsia="zh-CN" w:bidi="ar-SA"/>
        </w:rPr>
      </w:pPr>
      <w:bookmarkStart w:id="182" w:name="bookmark122"/>
      <w:r>
        <w:rPr>
          <w:rFonts w:ascii="宋体" w:hAnsi="宋体" w:eastAsia="宋体" w:cs="Times New Roman"/>
          <w:bCs/>
          <w:color w:val="auto"/>
          <w:kern w:val="2"/>
          <w:sz w:val="28"/>
          <w:szCs w:val="28"/>
          <w:lang w:val="en-US" w:eastAsia="zh-CN" w:bidi="ar-SA"/>
        </w:rPr>
        <w:t>1.</w:t>
      </w:r>
      <w:r>
        <w:rPr>
          <w:rFonts w:hint="eastAsia" w:ascii="宋体" w:hAnsi="宋体" w:eastAsia="宋体" w:cs="Times New Roman"/>
          <w:bCs/>
          <w:color w:val="auto"/>
          <w:kern w:val="2"/>
          <w:sz w:val="28"/>
          <w:szCs w:val="28"/>
          <w:lang w:val="en-US" w:eastAsia="zh-CN" w:bidi="ar-SA"/>
        </w:rPr>
        <w:t>3</w:t>
      </w:r>
      <w:r>
        <w:rPr>
          <w:rFonts w:ascii="宋体" w:hAnsi="宋体" w:eastAsia="宋体" w:cs="Times New Roman"/>
          <w:bCs/>
          <w:color w:val="auto"/>
          <w:kern w:val="2"/>
          <w:sz w:val="28"/>
          <w:szCs w:val="28"/>
          <w:lang w:val="en-US" w:eastAsia="zh-CN" w:bidi="ar-SA"/>
        </w:rPr>
        <w:t>.</w:t>
      </w:r>
      <w:r>
        <w:rPr>
          <w:rFonts w:hint="eastAsia" w:ascii="宋体" w:hAnsi="宋体" w:eastAsia="宋体" w:cs="Times New Roman"/>
          <w:bCs/>
          <w:color w:val="auto"/>
          <w:kern w:val="2"/>
          <w:sz w:val="28"/>
          <w:szCs w:val="28"/>
          <w:lang w:val="en-US" w:eastAsia="zh-CN" w:bidi="ar-SA"/>
        </w:rPr>
        <w:t>7</w:t>
      </w:r>
      <w:r>
        <w:rPr>
          <w:rFonts w:ascii="宋体" w:hAnsi="宋体" w:eastAsia="宋体" w:cs="Times New Roman"/>
          <w:bCs/>
          <w:color w:val="auto"/>
          <w:kern w:val="2"/>
          <w:sz w:val="28"/>
          <w:szCs w:val="28"/>
          <w:lang w:val="en-US" w:eastAsia="zh-CN" w:bidi="ar-SA"/>
        </w:rPr>
        <w:t>淹溺</w:t>
      </w:r>
      <w:bookmarkEnd w:id="182"/>
    </w:p>
    <w:p>
      <w:pPr>
        <w:spacing w:line="560" w:lineRule="exact"/>
        <w:ind w:firstLine="425" w:firstLineChars="152"/>
        <w:jc w:val="both"/>
        <w:rPr>
          <w:rFonts w:ascii="宋体" w:hAnsi="宋体" w:eastAsia="宋体"/>
          <w:color w:val="auto"/>
          <w:sz w:val="28"/>
          <w:szCs w:val="28"/>
          <w:lang w:eastAsia="zh-CN"/>
        </w:rPr>
      </w:pPr>
      <w:r>
        <w:rPr>
          <w:rFonts w:ascii="宋体" w:hAnsi="宋体" w:eastAsia="宋体"/>
          <w:color w:val="auto"/>
          <w:sz w:val="28"/>
          <w:szCs w:val="28"/>
          <w:lang w:eastAsia="zh-CN"/>
        </w:rPr>
        <w:t>该项目设有一座容积约</w:t>
      </w:r>
      <w:r>
        <w:rPr>
          <w:rFonts w:hint="eastAsia" w:ascii="宋体" w:hAnsi="宋体" w:eastAsia="宋体"/>
          <w:color w:val="auto"/>
          <w:sz w:val="28"/>
          <w:szCs w:val="28"/>
          <w:lang w:eastAsia="zh-CN"/>
        </w:rPr>
        <w:t>450</w:t>
      </w:r>
      <w:r>
        <w:rPr>
          <w:rFonts w:ascii="宋体" w:hAnsi="宋体" w:eastAsia="宋体"/>
          <w:color w:val="auto"/>
          <w:sz w:val="28"/>
          <w:szCs w:val="28"/>
          <w:lang w:eastAsia="zh-CN"/>
        </w:rPr>
        <w:t>m</w:t>
      </w:r>
      <w:r>
        <w:rPr>
          <w:rFonts w:ascii="宋体" w:hAnsi="宋体" w:eastAsia="宋体"/>
          <w:color w:val="auto"/>
          <w:sz w:val="28"/>
          <w:szCs w:val="28"/>
          <w:vertAlign w:val="superscript"/>
          <w:lang w:eastAsia="zh-CN"/>
        </w:rPr>
        <w:t>3</w:t>
      </w:r>
      <w:r>
        <w:rPr>
          <w:rFonts w:ascii="宋体" w:hAnsi="宋体" w:eastAsia="宋体"/>
          <w:color w:val="auto"/>
          <w:sz w:val="28"/>
          <w:szCs w:val="28"/>
          <w:lang w:eastAsia="zh-CN"/>
        </w:rPr>
        <w:t>消防水池，若防护设施不当，人员不小心跌落池内，可能导致淹溺事故。</w:t>
      </w:r>
    </w:p>
    <w:p>
      <w:pPr>
        <w:spacing w:line="560" w:lineRule="exact"/>
        <w:jc w:val="both"/>
        <w:outlineLvl w:val="2"/>
        <w:rPr>
          <w:rFonts w:ascii="宋体" w:hAnsi="宋体" w:eastAsia="宋体" w:cs="Times New Roman"/>
          <w:bCs/>
          <w:color w:val="auto"/>
          <w:kern w:val="2"/>
          <w:sz w:val="28"/>
          <w:szCs w:val="28"/>
          <w:lang w:val="en-US" w:eastAsia="zh-CN" w:bidi="ar-SA"/>
        </w:rPr>
      </w:pPr>
      <w:bookmarkStart w:id="183" w:name="bookmark123"/>
      <w:r>
        <w:rPr>
          <w:rFonts w:ascii="宋体" w:hAnsi="宋体" w:eastAsia="宋体" w:cs="Times New Roman"/>
          <w:bCs/>
          <w:color w:val="auto"/>
          <w:kern w:val="2"/>
          <w:sz w:val="28"/>
          <w:szCs w:val="28"/>
          <w:lang w:val="en-US" w:eastAsia="zh-CN" w:bidi="ar-SA"/>
        </w:rPr>
        <w:t>1.</w:t>
      </w:r>
      <w:r>
        <w:rPr>
          <w:rFonts w:hint="eastAsia" w:ascii="宋体" w:hAnsi="宋体" w:eastAsia="宋体" w:cs="Times New Roman"/>
          <w:bCs/>
          <w:color w:val="auto"/>
          <w:kern w:val="2"/>
          <w:sz w:val="28"/>
          <w:szCs w:val="28"/>
          <w:lang w:val="en-US" w:eastAsia="zh-CN" w:bidi="ar-SA"/>
        </w:rPr>
        <w:t>3</w:t>
      </w:r>
      <w:r>
        <w:rPr>
          <w:rFonts w:ascii="宋体" w:hAnsi="宋体" w:eastAsia="宋体" w:cs="Times New Roman"/>
          <w:bCs/>
          <w:color w:val="auto"/>
          <w:kern w:val="2"/>
          <w:sz w:val="28"/>
          <w:szCs w:val="28"/>
          <w:lang w:val="en-US" w:eastAsia="zh-CN" w:bidi="ar-SA"/>
        </w:rPr>
        <w:t>.</w:t>
      </w:r>
      <w:r>
        <w:rPr>
          <w:rFonts w:hint="eastAsia" w:ascii="宋体" w:hAnsi="宋体" w:eastAsia="宋体" w:cs="Times New Roman"/>
          <w:bCs/>
          <w:color w:val="auto"/>
          <w:kern w:val="2"/>
          <w:sz w:val="28"/>
          <w:szCs w:val="28"/>
          <w:lang w:val="en-US" w:eastAsia="zh-CN" w:bidi="ar-SA"/>
        </w:rPr>
        <w:t>8</w:t>
      </w:r>
      <w:r>
        <w:rPr>
          <w:rFonts w:ascii="宋体" w:hAnsi="宋体" w:eastAsia="宋体" w:cs="Times New Roman"/>
          <w:bCs/>
          <w:color w:val="auto"/>
          <w:kern w:val="2"/>
          <w:sz w:val="28"/>
          <w:szCs w:val="28"/>
          <w:lang w:val="en-US" w:eastAsia="zh-CN" w:bidi="ar-SA"/>
        </w:rPr>
        <w:t>中毒室息</w:t>
      </w:r>
      <w:bookmarkEnd w:id="183"/>
    </w:p>
    <w:p>
      <w:pPr>
        <w:spacing w:line="560" w:lineRule="exact"/>
        <w:ind w:firstLine="425" w:firstLineChars="152"/>
        <w:jc w:val="both"/>
        <w:rPr>
          <w:rFonts w:ascii="宋体" w:hAnsi="宋体" w:eastAsia="宋体"/>
          <w:color w:val="auto"/>
          <w:sz w:val="28"/>
          <w:szCs w:val="28"/>
          <w:lang w:eastAsia="zh-CN"/>
        </w:rPr>
      </w:pPr>
      <w:r>
        <w:rPr>
          <w:rFonts w:ascii="宋体" w:hAnsi="宋体" w:eastAsia="宋体"/>
          <w:color w:val="auto"/>
          <w:sz w:val="28"/>
          <w:szCs w:val="28"/>
          <w:lang w:eastAsia="zh-CN"/>
        </w:rPr>
        <w:t>生产过程中多种原材料如乙酸乙酯、</w:t>
      </w:r>
      <w:r>
        <w:rPr>
          <w:rFonts w:hint="eastAsia" w:ascii="宋体" w:hAnsi="宋体" w:eastAsia="宋体"/>
          <w:color w:val="auto"/>
          <w:sz w:val="28"/>
          <w:szCs w:val="28"/>
          <w:lang w:eastAsia="zh-CN"/>
        </w:rPr>
        <w:t>二甲苯异构体混合物</w:t>
      </w:r>
      <w:r>
        <w:rPr>
          <w:rFonts w:ascii="宋体" w:hAnsi="宋体" w:eastAsia="宋体"/>
          <w:color w:val="auto"/>
          <w:sz w:val="28"/>
          <w:szCs w:val="28"/>
          <w:lang w:eastAsia="zh-CN"/>
        </w:rPr>
        <w:t>及其他有机溶剂都具有一定的毒性，毒物是指以较小的剂量作用于生物体，能使生物体的生理功能或机体正常结构发生暂时性或永久性病理改变、甚至死亡的物质。毒性物质的毒性与物质的溶解度、挥发性和化学结构等有关，对人体侵入的途径主要有吸入、食入、皮肤吸收等三种。</w:t>
      </w:r>
    </w:p>
    <w:p>
      <w:pPr>
        <w:spacing w:line="560" w:lineRule="exact"/>
        <w:ind w:firstLine="425" w:firstLineChars="152"/>
        <w:jc w:val="both"/>
        <w:rPr>
          <w:rFonts w:ascii="宋体" w:hAnsi="宋体" w:eastAsia="宋体"/>
          <w:color w:val="auto"/>
          <w:sz w:val="28"/>
          <w:szCs w:val="28"/>
          <w:lang w:eastAsia="zh-CN"/>
        </w:rPr>
      </w:pPr>
      <w:r>
        <w:rPr>
          <w:rFonts w:ascii="宋体" w:hAnsi="宋体" w:eastAsia="宋体"/>
          <w:color w:val="auto"/>
          <w:sz w:val="28"/>
          <w:szCs w:val="28"/>
          <w:lang w:eastAsia="zh-CN"/>
        </w:rPr>
        <w:t>该公司使用的原材料、成品都具有一定的毒性，在生产储存过程中如果发生泄漏，则会挥发出有毒有害的气体，如果通风不良，有毒的蒸气积聚在有限的空间内，作业人员大量的或者长期吸入这些有毒有害气体，就会导致急性、慢性中毒。另外，操作人员疏忽大意、违反操作规程或者没有配戴劳动保护用品等，导致有毒有害物品直接与人体接触，也有可能造成中毒、接触性皮炎或者眼结膜炎等伤害。</w:t>
      </w:r>
    </w:p>
    <w:p>
      <w:pPr>
        <w:spacing w:line="560" w:lineRule="exact"/>
        <w:jc w:val="both"/>
        <w:outlineLvl w:val="2"/>
        <w:rPr>
          <w:rFonts w:ascii="宋体" w:hAnsi="宋体" w:eastAsia="宋体" w:cs="Times New Roman"/>
          <w:bCs/>
          <w:color w:val="auto"/>
          <w:kern w:val="2"/>
          <w:sz w:val="28"/>
          <w:szCs w:val="28"/>
          <w:lang w:val="en-US" w:eastAsia="zh-CN" w:bidi="ar-SA"/>
        </w:rPr>
      </w:pPr>
      <w:bookmarkStart w:id="184" w:name="bookmark125"/>
      <w:bookmarkStart w:id="185" w:name="bookmark124"/>
      <w:r>
        <w:rPr>
          <w:rFonts w:ascii="宋体" w:hAnsi="宋体" w:eastAsia="宋体" w:cs="Times New Roman"/>
          <w:bCs/>
          <w:color w:val="auto"/>
          <w:kern w:val="2"/>
          <w:sz w:val="28"/>
          <w:szCs w:val="28"/>
          <w:lang w:val="en-US" w:eastAsia="zh-CN" w:bidi="ar-SA"/>
        </w:rPr>
        <w:t>1.</w:t>
      </w:r>
      <w:r>
        <w:rPr>
          <w:rFonts w:hint="eastAsia" w:ascii="宋体" w:hAnsi="宋体" w:eastAsia="宋体" w:cs="Times New Roman"/>
          <w:bCs/>
          <w:color w:val="auto"/>
          <w:kern w:val="2"/>
          <w:sz w:val="28"/>
          <w:szCs w:val="28"/>
          <w:lang w:val="en-US" w:eastAsia="zh-CN" w:bidi="ar-SA"/>
        </w:rPr>
        <w:t>3</w:t>
      </w:r>
      <w:r>
        <w:rPr>
          <w:rFonts w:ascii="宋体" w:hAnsi="宋体" w:eastAsia="宋体" w:cs="Times New Roman"/>
          <w:bCs/>
          <w:color w:val="auto"/>
          <w:kern w:val="2"/>
          <w:sz w:val="28"/>
          <w:szCs w:val="28"/>
          <w:lang w:val="en-US" w:eastAsia="zh-CN" w:bidi="ar-SA"/>
        </w:rPr>
        <w:t>.</w:t>
      </w:r>
      <w:bookmarkEnd w:id="184"/>
      <w:bookmarkEnd w:id="185"/>
      <w:r>
        <w:rPr>
          <w:rFonts w:hint="eastAsia" w:ascii="宋体" w:hAnsi="宋体" w:eastAsia="宋体" w:cs="Times New Roman"/>
          <w:bCs/>
          <w:color w:val="auto"/>
          <w:kern w:val="2"/>
          <w:sz w:val="28"/>
          <w:szCs w:val="28"/>
          <w:lang w:val="en-US" w:eastAsia="zh-CN" w:bidi="ar-SA"/>
        </w:rPr>
        <w:t>9其他危险有害因素分析</w:t>
      </w:r>
    </w:p>
    <w:p>
      <w:pPr>
        <w:spacing w:line="560" w:lineRule="exact"/>
        <w:ind w:firstLine="425" w:firstLineChars="152"/>
        <w:jc w:val="both"/>
        <w:rPr>
          <w:rFonts w:ascii="宋体" w:hAnsi="宋体" w:eastAsia="宋体"/>
          <w:color w:val="auto"/>
          <w:sz w:val="28"/>
          <w:szCs w:val="28"/>
          <w:lang w:eastAsia="zh-CN"/>
        </w:rPr>
      </w:pPr>
      <w:r>
        <w:rPr>
          <w:rFonts w:hint="eastAsia" w:ascii="宋体" w:hAnsi="宋体" w:eastAsia="宋体"/>
          <w:color w:val="auto"/>
          <w:sz w:val="28"/>
          <w:szCs w:val="28"/>
          <w:lang w:eastAsia="zh-CN"/>
        </w:rPr>
        <w:t>噪声伤害</w:t>
      </w:r>
    </w:p>
    <w:p>
      <w:pPr>
        <w:spacing w:line="560" w:lineRule="exact"/>
        <w:ind w:firstLine="425" w:firstLineChars="152"/>
        <w:jc w:val="both"/>
        <w:rPr>
          <w:rFonts w:ascii="宋体" w:hAnsi="宋体" w:eastAsia="宋体"/>
          <w:color w:val="auto"/>
          <w:sz w:val="28"/>
          <w:szCs w:val="28"/>
          <w:lang w:eastAsia="zh-CN"/>
        </w:rPr>
      </w:pPr>
      <w:r>
        <w:rPr>
          <w:rFonts w:ascii="宋体" w:hAnsi="宋体" w:eastAsia="宋体"/>
          <w:color w:val="auto"/>
          <w:sz w:val="28"/>
          <w:szCs w:val="28"/>
          <w:lang w:eastAsia="zh-CN"/>
        </w:rPr>
        <w:t>分散机、研磨机等旋转机械运转场所均会对作业人员造成噪声危害，噪声对人体的危害是多方面的，其中对听觉系统的危害最为严重。此外，还能使人心情烦躁和诱发多种疾病。如神经系统、消化系统、心血管系统等。建设项目噪声危害主要存在于生产场所。</w:t>
      </w:r>
    </w:p>
    <w:p>
      <w:pPr>
        <w:spacing w:line="560" w:lineRule="exact"/>
        <w:ind w:firstLine="560" w:firstLineChars="200"/>
        <w:jc w:val="both"/>
        <w:rPr>
          <w:rFonts w:ascii="宋体" w:hAnsi="宋体" w:eastAsia="宋体"/>
          <w:color w:val="auto"/>
          <w:sz w:val="28"/>
          <w:szCs w:val="30"/>
        </w:rPr>
      </w:pPr>
      <w:r>
        <w:rPr>
          <w:rFonts w:hint="eastAsia" w:ascii="宋体" w:hAnsi="宋体" w:eastAsia="宋体"/>
          <w:color w:val="auto"/>
          <w:sz w:val="28"/>
          <w:szCs w:val="30"/>
        </w:rPr>
        <w:t>除了以上存在的危险有害因素外，还可能由于雷击、台风、地震等自然灾害引发的安全事故以及危险化学品泄漏造成的环境污染事故。雷击可以通过安装防雷装置加以防范，台风和地震是不可抗拒的灾害，自然灾害会造成大量的人员伤亡和财产损失。根据历史资料记载，自然灾害对本地区的影响不大。</w:t>
      </w:r>
    </w:p>
    <w:p>
      <w:pPr>
        <w:spacing w:line="560" w:lineRule="exact"/>
        <w:ind w:firstLine="560" w:firstLineChars="200"/>
        <w:jc w:val="both"/>
        <w:rPr>
          <w:rFonts w:ascii="宋体" w:hAnsi="宋体" w:eastAsia="宋体"/>
          <w:color w:val="auto"/>
          <w:sz w:val="28"/>
          <w:szCs w:val="30"/>
        </w:rPr>
      </w:pPr>
      <w:r>
        <w:rPr>
          <w:rFonts w:hint="eastAsia" w:ascii="宋体" w:hAnsi="宋体" w:eastAsia="宋体"/>
          <w:color w:val="auto"/>
          <w:sz w:val="28"/>
          <w:szCs w:val="30"/>
        </w:rPr>
        <w:t>事故的发生除了设备本身原因之外，往往人为因素会占相当大的比例。操作失误、违章操作和违章指挥是发生安全事故的直接隐患，因此加强管理是预防安全事故必不可少的对策之一。加强员工的操作技能与安全意识，杜绝违章操作和违章指挥，可以大大降低安全生产事故的发生。</w:t>
      </w:r>
    </w:p>
    <w:p>
      <w:pPr>
        <w:spacing w:line="540" w:lineRule="exact"/>
        <w:ind w:firstLine="560" w:firstLineChars="200"/>
        <w:jc w:val="both"/>
        <w:rPr>
          <w:rFonts w:ascii="宋体" w:hAnsi="宋体" w:eastAsia="宋体"/>
          <w:color w:val="auto"/>
          <w:sz w:val="28"/>
          <w:szCs w:val="28"/>
        </w:rPr>
      </w:pPr>
      <w:r>
        <w:rPr>
          <w:rFonts w:hint="eastAsia" w:ascii="宋体" w:hAnsi="宋体" w:eastAsia="宋体"/>
          <w:color w:val="auto"/>
          <w:sz w:val="28"/>
          <w:szCs w:val="28"/>
        </w:rPr>
        <w:t>职业中毒</w:t>
      </w:r>
    </w:p>
    <w:p>
      <w:pPr>
        <w:tabs>
          <w:tab w:val="left" w:pos="7950"/>
        </w:tabs>
        <w:spacing w:line="540" w:lineRule="exact"/>
        <w:ind w:firstLine="560" w:firstLineChars="200"/>
        <w:jc w:val="both"/>
        <w:rPr>
          <w:rFonts w:ascii="宋体" w:hAnsi="宋体" w:eastAsia="宋体"/>
          <w:color w:val="auto"/>
          <w:sz w:val="28"/>
        </w:rPr>
      </w:pPr>
      <w:r>
        <w:rPr>
          <w:rFonts w:hint="eastAsia" w:ascii="宋体" w:hAnsi="宋体" w:eastAsia="宋体"/>
          <w:color w:val="auto"/>
          <w:sz w:val="28"/>
        </w:rPr>
        <w:t>生产性毒物在一定条件下可能引起职业中毒，职业性接触毒物通过吸入、食入、皮肤吸收等三种途径对人体侵害，其中又以呼吸道吸入对人的危害最为常见。该公司生产过程中使用的有机溶剂具有一定的毒害性，人员长期在有毒环境中工作（皮肤接触、吸入蒸气等）可能造成职业中毒。</w:t>
      </w:r>
    </w:p>
    <w:p>
      <w:pPr>
        <w:ind w:firstLine="560" w:firstLineChars="200"/>
        <w:jc w:val="both"/>
        <w:rPr>
          <w:rFonts w:ascii="宋体" w:hAnsi="宋体" w:eastAsia="宋体"/>
          <w:color w:val="auto"/>
          <w:sz w:val="28"/>
          <w:szCs w:val="28"/>
        </w:rPr>
      </w:pPr>
      <w:r>
        <w:rPr>
          <w:rFonts w:hint="eastAsia" w:ascii="宋体" w:hAnsi="宋体" w:eastAsia="宋体"/>
          <w:color w:val="auto"/>
          <w:sz w:val="28"/>
          <w:szCs w:val="28"/>
        </w:rPr>
        <w:t>高温危害</w:t>
      </w:r>
    </w:p>
    <w:p>
      <w:pPr>
        <w:spacing w:line="560" w:lineRule="exact"/>
        <w:ind w:firstLine="560" w:firstLineChars="200"/>
        <w:jc w:val="both"/>
        <w:rPr>
          <w:rFonts w:ascii="宋体" w:hAnsi="宋体" w:eastAsia="宋体"/>
          <w:color w:val="auto"/>
          <w:sz w:val="28"/>
          <w:szCs w:val="30"/>
          <w:lang w:eastAsia="zh-CN"/>
        </w:rPr>
      </w:pPr>
      <w:r>
        <w:rPr>
          <w:rFonts w:hint="eastAsia" w:ascii="宋体" w:hAnsi="宋体" w:eastAsia="宋体"/>
          <w:color w:val="auto"/>
          <w:sz w:val="28"/>
          <w:szCs w:val="28"/>
        </w:rPr>
        <w:t>在高</w:t>
      </w:r>
      <w:r>
        <w:rPr>
          <w:rFonts w:ascii="宋体" w:hAnsi="宋体" w:eastAsia="宋体"/>
          <w:color w:val="auto"/>
          <w:sz w:val="28"/>
          <w:szCs w:val="28"/>
        </w:rPr>
        <w:t>温</w:t>
      </w:r>
      <w:r>
        <w:rPr>
          <w:rFonts w:hint="eastAsia" w:ascii="宋体" w:hAnsi="宋体" w:eastAsia="宋体"/>
          <w:color w:val="auto"/>
          <w:sz w:val="28"/>
          <w:szCs w:val="28"/>
        </w:rPr>
        <w:t>天气下，人体散</w:t>
      </w:r>
      <w:r>
        <w:rPr>
          <w:rFonts w:ascii="宋体" w:hAnsi="宋体" w:eastAsia="宋体"/>
          <w:color w:val="auto"/>
          <w:sz w:val="28"/>
          <w:szCs w:val="28"/>
        </w:rPr>
        <w:t>热</w:t>
      </w:r>
      <w:r>
        <w:rPr>
          <w:rFonts w:hint="eastAsia" w:ascii="宋体" w:hAnsi="宋体" w:eastAsia="宋体"/>
          <w:color w:val="auto"/>
          <w:sz w:val="28"/>
          <w:szCs w:val="28"/>
        </w:rPr>
        <w:t>比</w:t>
      </w:r>
      <w:r>
        <w:rPr>
          <w:rFonts w:ascii="宋体" w:hAnsi="宋体" w:eastAsia="宋体"/>
          <w:color w:val="auto"/>
          <w:sz w:val="28"/>
          <w:szCs w:val="28"/>
        </w:rPr>
        <w:t>较</w:t>
      </w:r>
      <w:r>
        <w:rPr>
          <w:rFonts w:hint="eastAsia" w:ascii="宋体" w:hAnsi="宋体" w:eastAsia="宋体"/>
          <w:color w:val="auto"/>
          <w:sz w:val="28"/>
          <w:szCs w:val="28"/>
        </w:rPr>
        <w:t>困</w:t>
      </w:r>
      <w:r>
        <w:rPr>
          <w:rFonts w:ascii="宋体" w:hAnsi="宋体" w:eastAsia="宋体"/>
          <w:color w:val="auto"/>
          <w:sz w:val="28"/>
          <w:szCs w:val="28"/>
        </w:rPr>
        <w:t>难</w:t>
      </w:r>
      <w:r>
        <w:rPr>
          <w:rFonts w:hint="eastAsia" w:ascii="宋体" w:hAnsi="宋体" w:eastAsia="宋体"/>
          <w:color w:val="auto"/>
          <w:sz w:val="28"/>
          <w:szCs w:val="28"/>
        </w:rPr>
        <w:t>，</w:t>
      </w:r>
      <w:r>
        <w:rPr>
          <w:rFonts w:ascii="宋体" w:hAnsi="宋体" w:eastAsia="宋体"/>
          <w:color w:val="auto"/>
          <w:sz w:val="28"/>
          <w:szCs w:val="28"/>
        </w:rPr>
        <w:t>随着大量</w:t>
      </w:r>
      <w:r>
        <w:rPr>
          <w:rFonts w:hint="eastAsia" w:ascii="宋体" w:hAnsi="宋体" w:eastAsia="宋体"/>
          <w:color w:val="auto"/>
          <w:sz w:val="28"/>
          <w:szCs w:val="28"/>
        </w:rPr>
        <w:t>出汗，人体代</w:t>
      </w:r>
      <w:r>
        <w:rPr>
          <w:rFonts w:ascii="宋体" w:hAnsi="宋体" w:eastAsia="宋体"/>
          <w:color w:val="auto"/>
          <w:sz w:val="28"/>
          <w:szCs w:val="28"/>
        </w:rPr>
        <w:t>谢紊乱而发</w:t>
      </w:r>
      <w:r>
        <w:rPr>
          <w:rFonts w:hint="eastAsia" w:ascii="宋体" w:hAnsi="宋体" w:eastAsia="宋体"/>
          <w:color w:val="auto"/>
          <w:sz w:val="28"/>
          <w:szCs w:val="28"/>
        </w:rPr>
        <w:t>生中暑。</w:t>
      </w:r>
      <w:r>
        <w:rPr>
          <w:rFonts w:ascii="宋体" w:hAnsi="宋体" w:eastAsia="宋体"/>
          <w:color w:val="auto"/>
          <w:sz w:val="28"/>
          <w:szCs w:val="28"/>
        </w:rPr>
        <w:t>长期</w:t>
      </w:r>
      <w:r>
        <w:rPr>
          <w:rFonts w:hint="eastAsia" w:ascii="宋体" w:hAnsi="宋体" w:eastAsia="宋体"/>
          <w:color w:val="auto"/>
          <w:sz w:val="28"/>
          <w:szCs w:val="28"/>
        </w:rPr>
        <w:t>在高</w:t>
      </w:r>
      <w:r>
        <w:rPr>
          <w:rFonts w:ascii="宋体" w:hAnsi="宋体" w:eastAsia="宋体"/>
          <w:color w:val="auto"/>
          <w:sz w:val="28"/>
          <w:szCs w:val="28"/>
        </w:rPr>
        <w:t>温环</w:t>
      </w:r>
      <w:r>
        <w:rPr>
          <w:rFonts w:hint="eastAsia" w:ascii="宋体" w:hAnsi="宋体" w:eastAsia="宋体"/>
          <w:color w:val="auto"/>
          <w:sz w:val="28"/>
          <w:szCs w:val="28"/>
        </w:rPr>
        <w:t>境中工作，人体可出</w:t>
      </w:r>
      <w:r>
        <w:rPr>
          <w:rFonts w:ascii="宋体" w:hAnsi="宋体" w:eastAsia="宋体"/>
          <w:color w:val="auto"/>
          <w:sz w:val="28"/>
          <w:szCs w:val="28"/>
        </w:rPr>
        <w:t>现</w:t>
      </w:r>
      <w:r>
        <w:rPr>
          <w:rFonts w:hint="eastAsia" w:ascii="宋体" w:hAnsi="宋体" w:eastAsia="宋体"/>
          <w:color w:val="auto"/>
          <w:sz w:val="28"/>
          <w:szCs w:val="28"/>
        </w:rPr>
        <w:t>高血</w:t>
      </w:r>
      <w:r>
        <w:rPr>
          <w:rFonts w:ascii="宋体" w:hAnsi="宋体" w:eastAsia="宋体"/>
          <w:color w:val="auto"/>
          <w:sz w:val="28"/>
          <w:szCs w:val="28"/>
        </w:rPr>
        <w:t>压</w:t>
      </w:r>
      <w:r>
        <w:rPr>
          <w:rFonts w:hint="eastAsia" w:ascii="宋体" w:hAnsi="宋体" w:eastAsia="宋体"/>
          <w:color w:val="auto"/>
          <w:sz w:val="28"/>
          <w:szCs w:val="28"/>
        </w:rPr>
        <w:t>、心肌受</w:t>
      </w:r>
      <w:r>
        <w:rPr>
          <w:rFonts w:ascii="宋体" w:hAnsi="宋体" w:eastAsia="宋体"/>
          <w:color w:val="auto"/>
          <w:sz w:val="28"/>
          <w:szCs w:val="28"/>
        </w:rPr>
        <w:t>损</w:t>
      </w:r>
      <w:r>
        <w:rPr>
          <w:rFonts w:hint="eastAsia" w:ascii="宋体" w:hAnsi="宋体" w:eastAsia="宋体"/>
          <w:color w:val="auto"/>
          <w:sz w:val="28"/>
          <w:szCs w:val="28"/>
        </w:rPr>
        <w:t>和消化功能障</w:t>
      </w:r>
      <w:r>
        <w:rPr>
          <w:rFonts w:ascii="宋体" w:hAnsi="宋体" w:eastAsia="宋体"/>
          <w:color w:val="auto"/>
          <w:sz w:val="28"/>
          <w:szCs w:val="28"/>
        </w:rPr>
        <w:t>碍等</w:t>
      </w:r>
      <w:r>
        <w:rPr>
          <w:rFonts w:hint="eastAsia" w:ascii="宋体" w:hAnsi="宋体" w:eastAsia="宋体"/>
          <w:color w:val="auto"/>
          <w:sz w:val="28"/>
          <w:szCs w:val="28"/>
        </w:rPr>
        <w:t>疾病</w:t>
      </w:r>
    </w:p>
    <w:p>
      <w:pPr>
        <w:spacing w:line="560" w:lineRule="exact"/>
        <w:jc w:val="both"/>
        <w:outlineLvl w:val="1"/>
        <w:rPr>
          <w:rFonts w:ascii="楷体_GB2312" w:hAnsi="Times New Roman" w:eastAsia="楷体_GB2312" w:cs="Times New Roman"/>
          <w:bCs/>
          <w:color w:val="auto"/>
          <w:kern w:val="2"/>
          <w:sz w:val="32"/>
          <w:lang w:val="en-US" w:eastAsia="zh-CN" w:bidi="ar-SA"/>
        </w:rPr>
      </w:pPr>
      <w:bookmarkStart w:id="186" w:name="_Toc40045940"/>
      <w:bookmarkStart w:id="187" w:name="bookmark127"/>
      <w:r>
        <w:rPr>
          <w:rFonts w:ascii="楷体_GB2312" w:hAnsi="Times New Roman" w:eastAsia="楷体_GB2312" w:cs="Times New Roman"/>
          <w:bCs/>
          <w:color w:val="auto"/>
          <w:kern w:val="2"/>
          <w:sz w:val="32"/>
          <w:lang w:val="en-US" w:eastAsia="zh-CN" w:bidi="ar-SA"/>
        </w:rPr>
        <w:t>附件1.</w:t>
      </w:r>
      <w:r>
        <w:rPr>
          <w:rFonts w:hint="eastAsia" w:ascii="楷体_GB2312" w:hAnsi="Times New Roman" w:eastAsia="楷体_GB2312" w:cs="Times New Roman"/>
          <w:bCs/>
          <w:color w:val="auto"/>
          <w:kern w:val="2"/>
          <w:sz w:val="32"/>
          <w:lang w:val="en-US" w:eastAsia="zh-CN" w:bidi="ar-SA"/>
        </w:rPr>
        <w:t>4</w:t>
      </w:r>
      <w:r>
        <w:rPr>
          <w:rFonts w:ascii="楷体_GB2312" w:hAnsi="Times New Roman" w:eastAsia="楷体_GB2312" w:cs="Times New Roman"/>
          <w:bCs/>
          <w:color w:val="auto"/>
          <w:kern w:val="2"/>
          <w:sz w:val="32"/>
          <w:lang w:val="en-US" w:eastAsia="zh-CN" w:bidi="ar-SA"/>
        </w:rPr>
        <w:t>工艺过程危险有害因素辨识</w:t>
      </w:r>
      <w:bookmarkEnd w:id="186"/>
      <w:bookmarkEnd w:id="187"/>
    </w:p>
    <w:p>
      <w:pPr>
        <w:spacing w:line="560" w:lineRule="exact"/>
        <w:ind w:firstLine="425" w:firstLineChars="152"/>
        <w:rPr>
          <w:rFonts w:ascii="宋体" w:hAnsi="宋体" w:eastAsia="宋体"/>
          <w:color w:val="auto"/>
          <w:sz w:val="28"/>
          <w:szCs w:val="28"/>
          <w:lang w:eastAsia="zh-CN"/>
        </w:rPr>
      </w:pPr>
      <w:r>
        <w:rPr>
          <w:rFonts w:ascii="宋体" w:hAnsi="宋体" w:eastAsia="宋体"/>
          <w:color w:val="auto"/>
          <w:sz w:val="28"/>
          <w:szCs w:val="28"/>
          <w:lang w:eastAsia="zh-CN"/>
        </w:rPr>
        <w:t>该公司生产工艺过程主要搅拌混合、分散研磨、检验、包装等几个环节，这些环节均为物理过程，现将每个环节的危险、有害因素分析如下：</w:t>
      </w:r>
    </w:p>
    <w:p>
      <w:pPr>
        <w:spacing w:line="560" w:lineRule="exact"/>
        <w:jc w:val="both"/>
        <w:outlineLvl w:val="2"/>
        <w:rPr>
          <w:rFonts w:ascii="宋体" w:hAnsi="宋体" w:eastAsia="宋体" w:cs="Times New Roman"/>
          <w:bCs/>
          <w:color w:val="auto"/>
          <w:kern w:val="2"/>
          <w:sz w:val="28"/>
          <w:szCs w:val="28"/>
          <w:lang w:val="en-US" w:eastAsia="zh-CN" w:bidi="ar-SA"/>
        </w:rPr>
      </w:pPr>
      <w:bookmarkStart w:id="188" w:name="bookmark128"/>
      <w:r>
        <w:rPr>
          <w:rFonts w:ascii="宋体" w:hAnsi="宋体" w:eastAsia="宋体" w:cs="Times New Roman"/>
          <w:bCs/>
          <w:color w:val="auto"/>
          <w:kern w:val="2"/>
          <w:sz w:val="28"/>
          <w:szCs w:val="28"/>
          <w:lang w:val="en-US" w:eastAsia="zh-CN" w:bidi="ar-SA"/>
        </w:rPr>
        <w:t>1.</w:t>
      </w:r>
      <w:r>
        <w:rPr>
          <w:rFonts w:hint="eastAsia" w:ascii="宋体" w:hAnsi="宋体" w:eastAsia="宋体" w:cs="Times New Roman"/>
          <w:bCs/>
          <w:color w:val="auto"/>
          <w:kern w:val="2"/>
          <w:sz w:val="28"/>
          <w:szCs w:val="28"/>
          <w:lang w:val="en-US" w:eastAsia="zh-CN" w:bidi="ar-SA"/>
        </w:rPr>
        <w:t>4</w:t>
      </w:r>
      <w:r>
        <w:rPr>
          <w:rFonts w:ascii="宋体" w:hAnsi="宋体" w:eastAsia="宋体" w:cs="Times New Roman"/>
          <w:bCs/>
          <w:color w:val="auto"/>
          <w:kern w:val="2"/>
          <w:sz w:val="28"/>
          <w:szCs w:val="28"/>
          <w:lang w:val="en-US" w:eastAsia="zh-CN" w:bidi="ar-SA"/>
        </w:rPr>
        <w:t>.1搅拌混合过程危险、危害性分析</w:t>
      </w:r>
      <w:bookmarkEnd w:id="188"/>
    </w:p>
    <w:p>
      <w:pPr>
        <w:spacing w:line="560" w:lineRule="exact"/>
        <w:ind w:firstLine="425" w:firstLineChars="152"/>
        <w:rPr>
          <w:rFonts w:ascii="宋体" w:hAnsi="宋体" w:eastAsia="宋体"/>
          <w:color w:val="auto"/>
          <w:sz w:val="28"/>
          <w:szCs w:val="28"/>
          <w:lang w:eastAsia="zh-CN"/>
        </w:rPr>
      </w:pPr>
      <w:r>
        <w:rPr>
          <w:rFonts w:ascii="宋体" w:hAnsi="宋体" w:eastAsia="宋体"/>
          <w:color w:val="auto"/>
          <w:sz w:val="28"/>
          <w:szCs w:val="28"/>
          <w:lang w:eastAsia="zh-CN"/>
        </w:rPr>
        <w:t>甲乙类车间主要是进行投料、搅拌等作业，在这个过程中，存在的主要危险、有害因素有：</w:t>
      </w:r>
    </w:p>
    <w:p>
      <w:pPr>
        <w:spacing w:line="560" w:lineRule="exact"/>
        <w:ind w:firstLine="425" w:firstLineChars="152"/>
        <w:rPr>
          <w:rFonts w:ascii="宋体" w:hAnsi="宋体" w:eastAsia="宋体"/>
          <w:color w:val="auto"/>
          <w:sz w:val="28"/>
          <w:szCs w:val="28"/>
          <w:lang w:eastAsia="zh-CN"/>
        </w:rPr>
      </w:pPr>
      <w:r>
        <w:rPr>
          <w:rFonts w:hint="eastAsia" w:ascii="宋体" w:hAnsi="宋体" w:eastAsia="宋体"/>
          <w:color w:val="auto"/>
          <w:sz w:val="28"/>
          <w:szCs w:val="28"/>
          <w:lang w:eastAsia="zh-CN"/>
        </w:rPr>
        <w:t>1)</w:t>
      </w:r>
      <w:r>
        <w:rPr>
          <w:rFonts w:ascii="宋体" w:hAnsi="宋体" w:eastAsia="宋体"/>
          <w:color w:val="auto"/>
          <w:sz w:val="28"/>
          <w:szCs w:val="28"/>
          <w:lang w:eastAsia="zh-CN"/>
        </w:rPr>
        <w:t>在投料过程中和在生产过程中，容器设备始终是敞开的，会散发可燃液体蒸汽，可能会漏洒、漫溢，存在着火灾、爆炸和中毒的危险；</w:t>
      </w:r>
    </w:p>
    <w:p>
      <w:pPr>
        <w:spacing w:line="560" w:lineRule="exact"/>
        <w:ind w:firstLine="425" w:firstLineChars="152"/>
        <w:rPr>
          <w:rFonts w:ascii="宋体" w:hAnsi="宋体" w:eastAsia="宋体"/>
          <w:color w:val="auto"/>
          <w:sz w:val="28"/>
          <w:szCs w:val="28"/>
          <w:lang w:eastAsia="zh-CN"/>
        </w:rPr>
      </w:pPr>
      <w:r>
        <w:rPr>
          <w:rFonts w:hint="eastAsia" w:ascii="宋体" w:hAnsi="宋体" w:eastAsia="宋体"/>
          <w:color w:val="auto"/>
          <w:sz w:val="28"/>
          <w:szCs w:val="28"/>
          <w:lang w:eastAsia="zh-CN"/>
        </w:rPr>
        <w:t>2)</w:t>
      </w:r>
      <w:r>
        <w:rPr>
          <w:rFonts w:ascii="宋体" w:hAnsi="宋体" w:eastAsia="宋体"/>
          <w:color w:val="auto"/>
          <w:sz w:val="28"/>
          <w:szCs w:val="28"/>
          <w:lang w:eastAsia="zh-CN"/>
        </w:rPr>
        <w:t>在投料过程中，因流速过快、液体冲击、摩擦等原因产生静电集聚，存在着静电危害的危险；</w:t>
      </w:r>
    </w:p>
    <w:p>
      <w:pPr>
        <w:spacing w:line="560" w:lineRule="exact"/>
        <w:ind w:firstLine="425" w:firstLineChars="152"/>
        <w:rPr>
          <w:rFonts w:ascii="宋体" w:hAnsi="宋体" w:eastAsia="宋体"/>
          <w:color w:val="auto"/>
          <w:sz w:val="28"/>
          <w:szCs w:val="28"/>
          <w:lang w:eastAsia="zh-CN"/>
        </w:rPr>
      </w:pPr>
      <w:r>
        <w:rPr>
          <w:rFonts w:hint="eastAsia" w:ascii="宋体" w:hAnsi="宋体" w:eastAsia="宋体"/>
          <w:color w:val="auto"/>
          <w:sz w:val="28"/>
          <w:szCs w:val="28"/>
          <w:lang w:eastAsia="zh-CN"/>
        </w:rPr>
        <w:t>3)</w:t>
      </w:r>
      <w:r>
        <w:rPr>
          <w:rFonts w:ascii="宋体" w:hAnsi="宋体" w:eastAsia="宋体"/>
          <w:color w:val="auto"/>
          <w:sz w:val="28"/>
          <w:szCs w:val="28"/>
          <w:lang w:eastAsia="zh-CN"/>
        </w:rPr>
        <w:t>使用搅拌机进行混合，有可能使搅拌叶与容器壁发生碰撞、摩擦，产生火花而存在引发火灾、爆炸危险；</w:t>
      </w:r>
    </w:p>
    <w:p>
      <w:pPr>
        <w:spacing w:line="560" w:lineRule="exact"/>
        <w:ind w:firstLine="425" w:firstLineChars="152"/>
        <w:rPr>
          <w:rFonts w:ascii="宋体" w:hAnsi="宋体" w:eastAsia="宋体"/>
          <w:color w:val="auto"/>
          <w:sz w:val="28"/>
          <w:szCs w:val="28"/>
          <w:lang w:eastAsia="zh-CN"/>
        </w:rPr>
      </w:pPr>
      <w:r>
        <w:rPr>
          <w:rFonts w:hint="eastAsia" w:ascii="宋体" w:hAnsi="宋体" w:eastAsia="宋体"/>
          <w:color w:val="auto"/>
          <w:sz w:val="28"/>
          <w:szCs w:val="28"/>
          <w:lang w:eastAsia="zh-CN"/>
        </w:rPr>
        <w:t>4)</w:t>
      </w:r>
      <w:r>
        <w:rPr>
          <w:rFonts w:ascii="宋体" w:hAnsi="宋体" w:eastAsia="宋体"/>
          <w:color w:val="auto"/>
          <w:sz w:val="28"/>
          <w:szCs w:val="28"/>
          <w:lang w:eastAsia="zh-CN"/>
        </w:rPr>
        <w:t>使用搅拌机进行混合，存在着噪声危害；</w:t>
      </w:r>
    </w:p>
    <w:p>
      <w:pPr>
        <w:spacing w:line="560" w:lineRule="exact"/>
        <w:ind w:firstLine="425" w:firstLineChars="152"/>
        <w:rPr>
          <w:rFonts w:ascii="宋体" w:hAnsi="宋体" w:eastAsia="宋体"/>
          <w:color w:val="auto"/>
          <w:sz w:val="28"/>
          <w:szCs w:val="28"/>
          <w:lang w:eastAsia="zh-CN"/>
        </w:rPr>
      </w:pPr>
      <w:r>
        <w:rPr>
          <w:rFonts w:hint="eastAsia" w:ascii="宋体" w:hAnsi="宋体" w:eastAsia="宋体"/>
          <w:color w:val="auto"/>
          <w:sz w:val="28"/>
          <w:szCs w:val="28"/>
          <w:lang w:eastAsia="zh-CN"/>
        </w:rPr>
        <w:t>5)</w:t>
      </w:r>
      <w:r>
        <w:rPr>
          <w:rFonts w:ascii="宋体" w:hAnsi="宋体" w:eastAsia="宋体"/>
          <w:color w:val="auto"/>
          <w:sz w:val="28"/>
          <w:szCs w:val="28"/>
          <w:lang w:eastAsia="zh-CN"/>
        </w:rPr>
        <w:t>使用带有较长传动轴和桨叶的搅拌机有发生机械伤害的危险；</w:t>
      </w:r>
    </w:p>
    <w:p>
      <w:pPr>
        <w:spacing w:line="560" w:lineRule="exact"/>
        <w:ind w:firstLine="425" w:firstLineChars="152"/>
        <w:rPr>
          <w:rFonts w:ascii="宋体" w:hAnsi="宋体" w:eastAsia="宋体"/>
          <w:color w:val="auto"/>
          <w:sz w:val="28"/>
          <w:szCs w:val="28"/>
          <w:lang w:eastAsia="zh-CN"/>
        </w:rPr>
      </w:pPr>
      <w:r>
        <w:rPr>
          <w:rFonts w:hint="eastAsia" w:ascii="宋体" w:hAnsi="宋体" w:eastAsia="宋体"/>
          <w:color w:val="auto"/>
          <w:sz w:val="28"/>
          <w:szCs w:val="28"/>
          <w:lang w:eastAsia="zh-CN"/>
        </w:rPr>
        <w:t>6)</w:t>
      </w:r>
      <w:r>
        <w:rPr>
          <w:rFonts w:ascii="宋体" w:hAnsi="宋体" w:eastAsia="宋体"/>
          <w:color w:val="auto"/>
          <w:sz w:val="28"/>
          <w:szCs w:val="28"/>
          <w:lang w:eastAsia="zh-CN"/>
        </w:rPr>
        <w:t>使用电气设备有可能造成触电伤害的危险；</w:t>
      </w:r>
    </w:p>
    <w:p>
      <w:pPr>
        <w:spacing w:line="560" w:lineRule="exact"/>
        <w:ind w:firstLine="425" w:firstLineChars="152"/>
        <w:rPr>
          <w:rFonts w:ascii="宋体" w:hAnsi="宋体" w:eastAsia="宋体"/>
          <w:color w:val="auto"/>
          <w:sz w:val="28"/>
          <w:szCs w:val="28"/>
          <w:lang w:eastAsia="zh-CN"/>
        </w:rPr>
      </w:pPr>
      <w:r>
        <w:rPr>
          <w:rFonts w:hint="eastAsia" w:ascii="宋体" w:hAnsi="宋体" w:eastAsia="宋体"/>
          <w:color w:val="auto"/>
          <w:sz w:val="28"/>
          <w:szCs w:val="28"/>
          <w:lang w:eastAsia="zh-CN"/>
        </w:rPr>
        <w:t>7)</w:t>
      </w:r>
      <w:r>
        <w:rPr>
          <w:rFonts w:ascii="宋体" w:hAnsi="宋体" w:eastAsia="宋体"/>
          <w:color w:val="auto"/>
          <w:sz w:val="28"/>
          <w:szCs w:val="28"/>
          <w:lang w:eastAsia="zh-CN"/>
        </w:rPr>
        <w:t>电气设备及设施有可能产生电气火花，存在着引发火灾、爆炸危险。</w:t>
      </w:r>
    </w:p>
    <w:p>
      <w:pPr>
        <w:spacing w:line="560" w:lineRule="exact"/>
        <w:jc w:val="both"/>
        <w:outlineLvl w:val="2"/>
        <w:rPr>
          <w:rFonts w:ascii="宋体" w:hAnsi="宋体" w:eastAsia="宋体" w:cs="Times New Roman"/>
          <w:bCs/>
          <w:color w:val="auto"/>
          <w:kern w:val="2"/>
          <w:sz w:val="28"/>
          <w:szCs w:val="28"/>
          <w:lang w:val="en-US" w:eastAsia="zh-CN" w:bidi="ar-SA"/>
        </w:rPr>
      </w:pPr>
      <w:r>
        <w:rPr>
          <w:rFonts w:ascii="宋体" w:hAnsi="宋体" w:eastAsia="宋体" w:cs="Times New Roman"/>
          <w:bCs/>
          <w:color w:val="auto"/>
          <w:kern w:val="2"/>
          <w:sz w:val="28"/>
          <w:szCs w:val="28"/>
          <w:lang w:val="en-US" w:eastAsia="zh-CN" w:bidi="ar-SA"/>
        </w:rPr>
        <w:t>1.</w:t>
      </w:r>
      <w:r>
        <w:rPr>
          <w:rFonts w:hint="eastAsia" w:ascii="宋体" w:hAnsi="宋体" w:eastAsia="宋体" w:cs="Times New Roman"/>
          <w:bCs/>
          <w:color w:val="auto"/>
          <w:kern w:val="2"/>
          <w:sz w:val="28"/>
          <w:szCs w:val="28"/>
          <w:lang w:val="en-US" w:eastAsia="zh-CN" w:bidi="ar-SA"/>
        </w:rPr>
        <w:t>4</w:t>
      </w:r>
      <w:r>
        <w:rPr>
          <w:rFonts w:ascii="宋体" w:hAnsi="宋体" w:eastAsia="宋体" w:cs="Times New Roman"/>
          <w:bCs/>
          <w:color w:val="auto"/>
          <w:kern w:val="2"/>
          <w:sz w:val="28"/>
          <w:szCs w:val="28"/>
          <w:lang w:val="en-US" w:eastAsia="zh-CN" w:bidi="ar-SA"/>
        </w:rPr>
        <w:t>.2分散研磨过程危险、危害性分析</w:t>
      </w:r>
    </w:p>
    <w:p>
      <w:pPr>
        <w:spacing w:line="560" w:lineRule="exact"/>
        <w:ind w:firstLine="425" w:firstLineChars="152"/>
        <w:rPr>
          <w:rFonts w:ascii="宋体" w:hAnsi="宋体" w:eastAsia="宋体"/>
          <w:color w:val="auto"/>
          <w:sz w:val="28"/>
          <w:szCs w:val="28"/>
          <w:lang w:eastAsia="zh-CN"/>
        </w:rPr>
      </w:pPr>
      <w:r>
        <w:rPr>
          <w:rFonts w:ascii="宋体" w:hAnsi="宋体" w:eastAsia="宋体"/>
          <w:color w:val="auto"/>
          <w:sz w:val="28"/>
          <w:szCs w:val="28"/>
          <w:lang w:eastAsia="zh-CN"/>
        </w:rPr>
        <w:t>搅拌混合合格后，将容器推到砂磨机前进行研磨分散，在这个过程中，存在的主要危险、有害因素有：</w:t>
      </w:r>
    </w:p>
    <w:p>
      <w:pPr>
        <w:spacing w:line="560" w:lineRule="exact"/>
        <w:ind w:firstLine="425" w:firstLineChars="152"/>
        <w:rPr>
          <w:rFonts w:ascii="宋体" w:hAnsi="宋体" w:eastAsia="宋体"/>
          <w:color w:val="auto"/>
          <w:sz w:val="28"/>
          <w:szCs w:val="28"/>
          <w:lang w:eastAsia="zh-CN"/>
        </w:rPr>
      </w:pPr>
      <w:r>
        <w:rPr>
          <w:rFonts w:hint="eastAsia" w:ascii="宋体" w:hAnsi="宋体" w:eastAsia="宋体"/>
          <w:color w:val="auto"/>
          <w:sz w:val="28"/>
          <w:szCs w:val="28"/>
          <w:lang w:eastAsia="zh-CN"/>
        </w:rPr>
        <w:t>1)</w:t>
      </w:r>
      <w:r>
        <w:rPr>
          <w:rFonts w:ascii="宋体" w:hAnsi="宋体" w:eastAsia="宋体"/>
          <w:color w:val="auto"/>
          <w:sz w:val="28"/>
          <w:szCs w:val="28"/>
          <w:lang w:eastAsia="zh-CN"/>
        </w:rPr>
        <w:t>在生产过程中，容器设备始终是敞开的，会散发可燃液体蒸汽，可能会漏洒、漫溢，存在着火灾、爆炸和中毒危险；</w:t>
      </w:r>
    </w:p>
    <w:p>
      <w:pPr>
        <w:spacing w:line="560" w:lineRule="exact"/>
        <w:ind w:firstLine="425" w:firstLineChars="152"/>
        <w:rPr>
          <w:rFonts w:ascii="宋体" w:hAnsi="宋体" w:eastAsia="宋体"/>
          <w:color w:val="auto"/>
          <w:sz w:val="28"/>
          <w:szCs w:val="28"/>
          <w:lang w:eastAsia="zh-CN"/>
        </w:rPr>
      </w:pPr>
      <w:r>
        <w:rPr>
          <w:rFonts w:hint="eastAsia" w:ascii="宋体" w:hAnsi="宋体" w:eastAsia="宋体"/>
          <w:color w:val="auto"/>
          <w:sz w:val="28"/>
          <w:szCs w:val="28"/>
          <w:lang w:eastAsia="zh-CN"/>
        </w:rPr>
        <w:t>2)</w:t>
      </w:r>
      <w:r>
        <w:rPr>
          <w:rFonts w:ascii="宋体" w:hAnsi="宋体" w:eastAsia="宋体"/>
          <w:color w:val="auto"/>
          <w:sz w:val="28"/>
          <w:szCs w:val="28"/>
          <w:lang w:eastAsia="zh-CN"/>
        </w:rPr>
        <w:t>半成品因摩擦等原因产生静电集聚，存在着静电危害的危险；</w:t>
      </w:r>
    </w:p>
    <w:p>
      <w:pPr>
        <w:spacing w:line="560" w:lineRule="exact"/>
        <w:ind w:firstLine="425" w:firstLineChars="152"/>
        <w:rPr>
          <w:rFonts w:ascii="宋体" w:hAnsi="宋体" w:eastAsia="宋体"/>
          <w:color w:val="auto"/>
          <w:sz w:val="28"/>
          <w:szCs w:val="28"/>
          <w:lang w:eastAsia="zh-CN"/>
        </w:rPr>
      </w:pPr>
      <w:r>
        <w:rPr>
          <w:rFonts w:hint="eastAsia" w:ascii="宋体" w:hAnsi="宋体" w:eastAsia="宋体"/>
          <w:color w:val="auto"/>
          <w:sz w:val="28"/>
          <w:szCs w:val="28"/>
          <w:lang w:eastAsia="zh-CN"/>
        </w:rPr>
        <w:t>3)</w:t>
      </w:r>
      <w:r>
        <w:rPr>
          <w:rFonts w:ascii="宋体" w:hAnsi="宋体" w:eastAsia="宋体"/>
          <w:color w:val="auto"/>
          <w:sz w:val="28"/>
          <w:szCs w:val="28"/>
          <w:lang w:eastAsia="zh-CN"/>
        </w:rPr>
        <w:t>使用砂磨机进行混合，存在着噪声危害；</w:t>
      </w:r>
    </w:p>
    <w:p>
      <w:pPr>
        <w:spacing w:line="560" w:lineRule="exact"/>
        <w:ind w:firstLine="425" w:firstLineChars="152"/>
        <w:rPr>
          <w:rFonts w:ascii="宋体" w:hAnsi="宋体" w:eastAsia="宋体"/>
          <w:color w:val="auto"/>
          <w:sz w:val="28"/>
          <w:szCs w:val="28"/>
          <w:lang w:eastAsia="zh-CN"/>
        </w:rPr>
      </w:pPr>
      <w:r>
        <w:rPr>
          <w:rFonts w:hint="eastAsia" w:ascii="宋体" w:hAnsi="宋体" w:eastAsia="宋体"/>
          <w:color w:val="auto"/>
          <w:sz w:val="28"/>
          <w:szCs w:val="28"/>
          <w:lang w:eastAsia="zh-CN"/>
        </w:rPr>
        <w:t>4)</w:t>
      </w:r>
      <w:r>
        <w:rPr>
          <w:rFonts w:ascii="宋体" w:hAnsi="宋体" w:eastAsia="宋体"/>
          <w:color w:val="auto"/>
          <w:sz w:val="28"/>
          <w:szCs w:val="28"/>
          <w:lang w:eastAsia="zh-CN"/>
        </w:rPr>
        <w:t>砂磨机机件出现故障，发生碰撞、摩擦，产生火花而存在引发火灾、爆炸危险；</w:t>
      </w:r>
    </w:p>
    <w:p>
      <w:pPr>
        <w:spacing w:line="560" w:lineRule="exact"/>
        <w:ind w:firstLine="425" w:firstLineChars="152"/>
        <w:rPr>
          <w:rFonts w:ascii="宋体" w:hAnsi="宋体" w:eastAsia="宋体"/>
          <w:color w:val="auto"/>
          <w:sz w:val="28"/>
          <w:szCs w:val="28"/>
          <w:lang w:eastAsia="zh-CN"/>
        </w:rPr>
      </w:pPr>
      <w:r>
        <w:rPr>
          <w:rFonts w:hint="eastAsia" w:ascii="宋体" w:hAnsi="宋体" w:eastAsia="宋体"/>
          <w:color w:val="auto"/>
          <w:sz w:val="28"/>
          <w:szCs w:val="28"/>
          <w:lang w:eastAsia="zh-CN"/>
        </w:rPr>
        <w:t>5)</w:t>
      </w:r>
      <w:r>
        <w:rPr>
          <w:rFonts w:ascii="宋体" w:hAnsi="宋体" w:eastAsia="宋体"/>
          <w:color w:val="auto"/>
          <w:sz w:val="28"/>
          <w:szCs w:val="28"/>
          <w:lang w:eastAsia="zh-CN"/>
        </w:rPr>
        <w:t>使用砂磨机有发生机械伤害的危险；</w:t>
      </w:r>
    </w:p>
    <w:p>
      <w:pPr>
        <w:spacing w:line="560" w:lineRule="exact"/>
        <w:ind w:firstLine="425" w:firstLineChars="152"/>
        <w:rPr>
          <w:rFonts w:ascii="宋体" w:hAnsi="宋体" w:eastAsia="宋体"/>
          <w:color w:val="auto"/>
          <w:sz w:val="28"/>
          <w:szCs w:val="28"/>
          <w:lang w:eastAsia="zh-CN"/>
        </w:rPr>
      </w:pPr>
      <w:r>
        <w:rPr>
          <w:rFonts w:hint="eastAsia" w:ascii="宋体" w:hAnsi="宋体" w:eastAsia="宋体"/>
          <w:color w:val="auto"/>
          <w:sz w:val="28"/>
          <w:szCs w:val="28"/>
          <w:lang w:eastAsia="zh-CN"/>
        </w:rPr>
        <w:t>6)</w:t>
      </w:r>
      <w:r>
        <w:rPr>
          <w:rFonts w:ascii="宋体" w:hAnsi="宋体" w:eastAsia="宋体"/>
          <w:color w:val="auto"/>
          <w:sz w:val="28"/>
          <w:szCs w:val="28"/>
          <w:lang w:eastAsia="zh-CN"/>
        </w:rPr>
        <w:t>砂磨机的电气设备有可能造成触电伤害的危险；</w:t>
      </w:r>
    </w:p>
    <w:p>
      <w:pPr>
        <w:spacing w:line="560" w:lineRule="exact"/>
        <w:ind w:firstLine="425" w:firstLineChars="152"/>
        <w:rPr>
          <w:rFonts w:ascii="宋体" w:hAnsi="宋体" w:eastAsia="宋体"/>
          <w:color w:val="auto"/>
          <w:sz w:val="28"/>
          <w:szCs w:val="28"/>
          <w:lang w:eastAsia="zh-CN"/>
        </w:rPr>
      </w:pPr>
      <w:r>
        <w:rPr>
          <w:rFonts w:hint="eastAsia" w:ascii="宋体" w:hAnsi="宋体" w:eastAsia="宋体"/>
          <w:color w:val="auto"/>
          <w:sz w:val="28"/>
          <w:szCs w:val="28"/>
          <w:lang w:eastAsia="zh-CN"/>
        </w:rPr>
        <w:t>7)</w:t>
      </w:r>
      <w:r>
        <w:rPr>
          <w:rFonts w:ascii="宋体" w:hAnsi="宋体" w:eastAsia="宋体"/>
          <w:color w:val="auto"/>
          <w:sz w:val="28"/>
          <w:szCs w:val="28"/>
          <w:lang w:eastAsia="zh-CN"/>
        </w:rPr>
        <w:t>电气设备及设施有可能产生电气火花，存在着引发火灾、爆炸危险。</w:t>
      </w:r>
    </w:p>
    <w:p>
      <w:pPr>
        <w:spacing w:line="560" w:lineRule="exact"/>
        <w:jc w:val="both"/>
        <w:outlineLvl w:val="2"/>
        <w:rPr>
          <w:rFonts w:ascii="宋体" w:hAnsi="宋体" w:eastAsia="宋体" w:cs="Times New Roman"/>
          <w:bCs/>
          <w:color w:val="auto"/>
          <w:kern w:val="2"/>
          <w:sz w:val="28"/>
          <w:szCs w:val="28"/>
          <w:lang w:val="en-US" w:eastAsia="zh-CN" w:bidi="ar-SA"/>
        </w:rPr>
      </w:pPr>
      <w:bookmarkStart w:id="189" w:name="bookmark129"/>
      <w:r>
        <w:rPr>
          <w:rFonts w:ascii="宋体" w:hAnsi="宋体" w:eastAsia="宋体" w:cs="Times New Roman"/>
          <w:bCs/>
          <w:color w:val="auto"/>
          <w:kern w:val="2"/>
          <w:sz w:val="28"/>
          <w:szCs w:val="28"/>
          <w:lang w:val="en-US" w:eastAsia="zh-CN" w:bidi="ar-SA"/>
        </w:rPr>
        <w:t>1.</w:t>
      </w:r>
      <w:r>
        <w:rPr>
          <w:rFonts w:hint="eastAsia" w:ascii="宋体" w:hAnsi="宋体" w:eastAsia="宋体" w:cs="Times New Roman"/>
          <w:bCs/>
          <w:color w:val="auto"/>
          <w:kern w:val="2"/>
          <w:sz w:val="28"/>
          <w:szCs w:val="28"/>
          <w:lang w:val="en-US" w:eastAsia="zh-CN" w:bidi="ar-SA"/>
        </w:rPr>
        <w:t>4</w:t>
      </w:r>
      <w:r>
        <w:rPr>
          <w:rFonts w:ascii="宋体" w:hAnsi="宋体" w:eastAsia="宋体" w:cs="Times New Roman"/>
          <w:bCs/>
          <w:color w:val="auto"/>
          <w:kern w:val="2"/>
          <w:sz w:val="28"/>
          <w:szCs w:val="28"/>
          <w:lang w:val="en-US" w:eastAsia="zh-CN" w:bidi="ar-SA"/>
        </w:rPr>
        <w:t>.</w:t>
      </w:r>
      <w:r>
        <w:rPr>
          <w:rFonts w:hint="eastAsia" w:ascii="宋体" w:hAnsi="宋体" w:eastAsia="宋体" w:cs="Times New Roman"/>
          <w:bCs/>
          <w:color w:val="auto"/>
          <w:kern w:val="2"/>
          <w:sz w:val="28"/>
          <w:szCs w:val="28"/>
          <w:lang w:val="en-US" w:eastAsia="zh-CN" w:bidi="ar-SA"/>
        </w:rPr>
        <w:t>3</w:t>
      </w:r>
      <w:r>
        <w:rPr>
          <w:rFonts w:ascii="宋体" w:hAnsi="宋体" w:eastAsia="宋体" w:cs="Times New Roman"/>
          <w:bCs/>
          <w:color w:val="auto"/>
          <w:kern w:val="2"/>
          <w:sz w:val="28"/>
          <w:szCs w:val="28"/>
          <w:lang w:val="en-US" w:eastAsia="zh-CN" w:bidi="ar-SA"/>
        </w:rPr>
        <w:t>检验过程危险、危害性分析</w:t>
      </w:r>
      <w:bookmarkEnd w:id="189"/>
    </w:p>
    <w:p>
      <w:pPr>
        <w:spacing w:line="560" w:lineRule="exact"/>
        <w:ind w:firstLine="425" w:firstLineChars="152"/>
        <w:rPr>
          <w:rFonts w:ascii="宋体" w:hAnsi="宋体" w:eastAsia="宋体"/>
          <w:color w:val="auto"/>
          <w:sz w:val="28"/>
          <w:szCs w:val="28"/>
          <w:lang w:eastAsia="zh-CN"/>
        </w:rPr>
      </w:pPr>
      <w:r>
        <w:rPr>
          <w:rFonts w:ascii="宋体" w:hAnsi="宋体" w:eastAsia="宋体"/>
          <w:color w:val="auto"/>
          <w:sz w:val="28"/>
          <w:szCs w:val="28"/>
          <w:lang w:eastAsia="zh-CN"/>
        </w:rPr>
        <w:t>过滤结束后，产出物必须经过检验，判断产品是否合格，在这个过程中，存在的主要危险、有害因素有：</w:t>
      </w:r>
    </w:p>
    <w:p>
      <w:pPr>
        <w:spacing w:line="560" w:lineRule="exact"/>
        <w:ind w:firstLine="425" w:firstLineChars="152"/>
        <w:rPr>
          <w:rFonts w:ascii="宋体" w:hAnsi="宋体" w:eastAsia="宋体"/>
          <w:color w:val="auto"/>
          <w:sz w:val="28"/>
          <w:szCs w:val="28"/>
          <w:lang w:eastAsia="zh-CN"/>
        </w:rPr>
      </w:pPr>
      <w:r>
        <w:rPr>
          <w:rFonts w:hint="eastAsia" w:ascii="宋体" w:hAnsi="宋体" w:eastAsia="宋体"/>
          <w:color w:val="auto"/>
          <w:sz w:val="28"/>
          <w:szCs w:val="28"/>
          <w:lang w:eastAsia="zh-CN"/>
        </w:rPr>
        <w:t>1)</w:t>
      </w:r>
      <w:r>
        <w:rPr>
          <w:rFonts w:ascii="宋体" w:hAnsi="宋体" w:eastAsia="宋体"/>
          <w:color w:val="auto"/>
          <w:sz w:val="28"/>
          <w:szCs w:val="28"/>
          <w:lang w:eastAsia="zh-CN"/>
        </w:rPr>
        <w:t>取样过程中设备设施散发的有毒气体及检验过程中添加的有毒试剂，使检验人员存在着中毒危险；</w:t>
      </w:r>
    </w:p>
    <w:p>
      <w:pPr>
        <w:spacing w:line="560" w:lineRule="exact"/>
        <w:ind w:firstLine="425" w:firstLineChars="152"/>
        <w:rPr>
          <w:rFonts w:ascii="宋体" w:hAnsi="宋体" w:eastAsia="宋体"/>
          <w:color w:val="auto"/>
          <w:sz w:val="28"/>
          <w:szCs w:val="28"/>
          <w:lang w:eastAsia="zh-CN"/>
        </w:rPr>
      </w:pPr>
      <w:r>
        <w:rPr>
          <w:rFonts w:hint="eastAsia" w:ascii="宋体" w:hAnsi="宋体" w:eastAsia="宋体"/>
          <w:color w:val="auto"/>
          <w:sz w:val="28"/>
          <w:szCs w:val="28"/>
          <w:lang w:eastAsia="zh-CN"/>
        </w:rPr>
        <w:t>2)</w:t>
      </w:r>
      <w:r>
        <w:rPr>
          <w:rFonts w:ascii="宋体" w:hAnsi="宋体" w:eastAsia="宋体"/>
          <w:color w:val="auto"/>
          <w:sz w:val="28"/>
          <w:szCs w:val="28"/>
          <w:lang w:eastAsia="zh-CN"/>
        </w:rPr>
        <w:t>取样过程中，运转的设备的噪声对检验人员存在着噪声危害；</w:t>
      </w:r>
    </w:p>
    <w:p>
      <w:pPr>
        <w:spacing w:line="560" w:lineRule="exact"/>
        <w:ind w:firstLine="425" w:firstLineChars="152"/>
        <w:rPr>
          <w:rFonts w:ascii="宋体" w:hAnsi="宋体" w:eastAsia="宋体"/>
          <w:color w:val="auto"/>
          <w:sz w:val="28"/>
          <w:szCs w:val="28"/>
          <w:lang w:eastAsia="zh-CN"/>
        </w:rPr>
      </w:pPr>
      <w:r>
        <w:rPr>
          <w:rFonts w:hint="eastAsia" w:ascii="宋体" w:hAnsi="宋体" w:eastAsia="宋体"/>
          <w:color w:val="auto"/>
          <w:sz w:val="28"/>
          <w:szCs w:val="28"/>
          <w:lang w:eastAsia="zh-CN"/>
        </w:rPr>
        <w:t>3)</w:t>
      </w:r>
      <w:r>
        <w:rPr>
          <w:rFonts w:ascii="宋体" w:hAnsi="宋体" w:eastAsia="宋体"/>
          <w:color w:val="auto"/>
          <w:sz w:val="28"/>
          <w:szCs w:val="28"/>
          <w:lang w:eastAsia="zh-CN"/>
        </w:rPr>
        <w:t>取样过程中，有发生机械伤害的危险；</w:t>
      </w:r>
    </w:p>
    <w:p>
      <w:pPr>
        <w:spacing w:line="560" w:lineRule="exact"/>
        <w:ind w:firstLine="425" w:firstLineChars="152"/>
        <w:rPr>
          <w:rFonts w:ascii="宋体" w:hAnsi="宋体" w:eastAsia="宋体"/>
          <w:color w:val="auto"/>
          <w:sz w:val="28"/>
          <w:szCs w:val="28"/>
          <w:lang w:eastAsia="zh-CN"/>
        </w:rPr>
      </w:pPr>
      <w:r>
        <w:rPr>
          <w:rFonts w:hint="eastAsia" w:ascii="宋体" w:hAnsi="宋体" w:eastAsia="宋体"/>
          <w:color w:val="auto"/>
          <w:sz w:val="28"/>
          <w:szCs w:val="28"/>
          <w:lang w:eastAsia="zh-CN"/>
        </w:rPr>
        <w:t>4)</w:t>
      </w:r>
      <w:r>
        <w:rPr>
          <w:rFonts w:ascii="宋体" w:hAnsi="宋体" w:eastAsia="宋体"/>
          <w:color w:val="auto"/>
          <w:sz w:val="28"/>
          <w:szCs w:val="28"/>
          <w:lang w:eastAsia="zh-CN"/>
        </w:rPr>
        <w:t>取样过程中及检验过程中，触及带电体有可能造成触电伤害；</w:t>
      </w:r>
    </w:p>
    <w:p>
      <w:pPr>
        <w:spacing w:line="560" w:lineRule="exact"/>
        <w:ind w:firstLine="425" w:firstLineChars="152"/>
        <w:rPr>
          <w:rFonts w:ascii="宋体" w:hAnsi="宋体" w:eastAsia="宋体"/>
          <w:color w:val="auto"/>
          <w:sz w:val="28"/>
          <w:szCs w:val="28"/>
          <w:lang w:eastAsia="zh-CN"/>
        </w:rPr>
      </w:pPr>
      <w:r>
        <w:rPr>
          <w:rFonts w:hint="eastAsia" w:ascii="宋体" w:hAnsi="宋体" w:eastAsia="宋体"/>
          <w:color w:val="auto"/>
          <w:sz w:val="28"/>
          <w:szCs w:val="28"/>
          <w:lang w:eastAsia="zh-CN"/>
        </w:rPr>
        <w:t>5)</w:t>
      </w:r>
      <w:r>
        <w:rPr>
          <w:rFonts w:ascii="宋体" w:hAnsi="宋体" w:eastAsia="宋体"/>
          <w:color w:val="auto"/>
          <w:sz w:val="28"/>
          <w:szCs w:val="28"/>
          <w:lang w:eastAsia="zh-CN"/>
        </w:rPr>
        <w:t>取样过程中，存在着物体打击和滑倒、跌摔的危险；</w:t>
      </w:r>
    </w:p>
    <w:p>
      <w:pPr>
        <w:spacing w:line="560" w:lineRule="exact"/>
        <w:ind w:firstLine="425" w:firstLineChars="152"/>
        <w:rPr>
          <w:rFonts w:ascii="宋体" w:hAnsi="宋体" w:eastAsia="宋体"/>
          <w:color w:val="auto"/>
          <w:sz w:val="28"/>
          <w:szCs w:val="28"/>
          <w:lang w:eastAsia="zh-CN"/>
        </w:rPr>
      </w:pPr>
      <w:r>
        <w:rPr>
          <w:rFonts w:hint="eastAsia" w:ascii="宋体" w:hAnsi="宋体" w:eastAsia="宋体"/>
          <w:color w:val="auto"/>
          <w:sz w:val="28"/>
          <w:szCs w:val="28"/>
          <w:lang w:eastAsia="zh-CN"/>
        </w:rPr>
        <w:t>6)</w:t>
      </w:r>
      <w:r>
        <w:rPr>
          <w:rFonts w:ascii="宋体" w:hAnsi="宋体" w:eastAsia="宋体"/>
          <w:color w:val="auto"/>
          <w:sz w:val="28"/>
          <w:szCs w:val="28"/>
          <w:lang w:eastAsia="zh-CN"/>
        </w:rPr>
        <w:t>检验过程中，可燃液体和溢出的可燃蒸汽存在着火灾、爆炸危险。</w:t>
      </w:r>
    </w:p>
    <w:p>
      <w:pPr>
        <w:spacing w:line="560" w:lineRule="exact"/>
        <w:jc w:val="both"/>
        <w:outlineLvl w:val="2"/>
        <w:rPr>
          <w:rFonts w:ascii="宋体" w:hAnsi="宋体" w:eastAsia="宋体" w:cs="Times New Roman"/>
          <w:bCs/>
          <w:color w:val="auto"/>
          <w:kern w:val="2"/>
          <w:sz w:val="28"/>
          <w:szCs w:val="28"/>
          <w:lang w:val="en-US" w:eastAsia="zh-CN" w:bidi="ar-SA"/>
        </w:rPr>
      </w:pPr>
      <w:r>
        <w:rPr>
          <w:rFonts w:ascii="宋体" w:hAnsi="宋体" w:eastAsia="宋体" w:cs="Times New Roman"/>
          <w:bCs/>
          <w:color w:val="auto"/>
          <w:kern w:val="2"/>
          <w:sz w:val="28"/>
          <w:szCs w:val="28"/>
          <w:lang w:val="en-US" w:eastAsia="zh-CN" w:bidi="ar-SA"/>
        </w:rPr>
        <w:t>1.</w:t>
      </w:r>
      <w:r>
        <w:rPr>
          <w:rFonts w:hint="eastAsia" w:ascii="宋体" w:hAnsi="宋体" w:eastAsia="宋体" w:cs="Times New Roman"/>
          <w:bCs/>
          <w:color w:val="auto"/>
          <w:kern w:val="2"/>
          <w:sz w:val="28"/>
          <w:szCs w:val="28"/>
          <w:lang w:val="en-US" w:eastAsia="zh-CN" w:bidi="ar-SA"/>
        </w:rPr>
        <w:t>4</w:t>
      </w:r>
      <w:r>
        <w:rPr>
          <w:rFonts w:ascii="宋体" w:hAnsi="宋体" w:eastAsia="宋体" w:cs="Times New Roman"/>
          <w:bCs/>
          <w:color w:val="auto"/>
          <w:kern w:val="2"/>
          <w:sz w:val="28"/>
          <w:szCs w:val="28"/>
          <w:lang w:val="en-US" w:eastAsia="zh-CN" w:bidi="ar-SA"/>
        </w:rPr>
        <w:t>.</w:t>
      </w:r>
      <w:r>
        <w:rPr>
          <w:rFonts w:hint="eastAsia" w:ascii="宋体" w:hAnsi="宋体" w:eastAsia="宋体" w:cs="Times New Roman"/>
          <w:bCs/>
          <w:color w:val="auto"/>
          <w:kern w:val="2"/>
          <w:sz w:val="28"/>
          <w:szCs w:val="28"/>
          <w:lang w:val="en-US" w:eastAsia="zh-CN" w:bidi="ar-SA"/>
        </w:rPr>
        <w:t>4</w:t>
      </w:r>
      <w:r>
        <w:rPr>
          <w:rFonts w:ascii="宋体" w:hAnsi="宋体" w:eastAsia="宋体" w:cs="Times New Roman"/>
          <w:bCs/>
          <w:color w:val="auto"/>
          <w:kern w:val="2"/>
          <w:sz w:val="28"/>
          <w:szCs w:val="28"/>
          <w:lang w:val="en-US" w:eastAsia="zh-CN" w:bidi="ar-SA"/>
        </w:rPr>
        <w:t>包装过程危险、危害性分析</w:t>
      </w:r>
    </w:p>
    <w:p>
      <w:pPr>
        <w:spacing w:line="560" w:lineRule="exact"/>
        <w:ind w:firstLine="425" w:firstLineChars="152"/>
        <w:rPr>
          <w:rFonts w:ascii="宋体" w:hAnsi="宋体" w:eastAsia="宋体"/>
          <w:color w:val="auto"/>
          <w:sz w:val="28"/>
          <w:szCs w:val="28"/>
          <w:lang w:eastAsia="zh-CN"/>
        </w:rPr>
      </w:pPr>
      <w:r>
        <w:rPr>
          <w:rFonts w:ascii="宋体" w:hAnsi="宋体" w:eastAsia="宋体"/>
          <w:color w:val="auto"/>
          <w:sz w:val="28"/>
          <w:szCs w:val="28"/>
          <w:lang w:eastAsia="zh-CN"/>
        </w:rPr>
        <w:t>产品检验合格后，即可进行包装，在这个过程中，存在的主要危险、有害因素有：</w:t>
      </w:r>
    </w:p>
    <w:p>
      <w:pPr>
        <w:spacing w:line="560" w:lineRule="exact"/>
        <w:ind w:firstLine="425" w:firstLineChars="152"/>
        <w:rPr>
          <w:rFonts w:ascii="宋体" w:hAnsi="宋体" w:eastAsia="宋体"/>
          <w:color w:val="auto"/>
          <w:sz w:val="28"/>
          <w:szCs w:val="28"/>
          <w:lang w:eastAsia="zh-CN"/>
        </w:rPr>
      </w:pPr>
      <w:r>
        <w:rPr>
          <w:rFonts w:hint="eastAsia" w:ascii="宋体" w:hAnsi="宋体" w:eastAsia="宋体"/>
          <w:color w:val="auto"/>
          <w:sz w:val="28"/>
          <w:szCs w:val="28"/>
          <w:lang w:eastAsia="zh-CN"/>
        </w:rPr>
        <w:t>1)</w:t>
      </w:r>
      <w:r>
        <w:rPr>
          <w:rFonts w:ascii="宋体" w:hAnsi="宋体" w:eastAsia="宋体"/>
          <w:color w:val="auto"/>
          <w:sz w:val="28"/>
          <w:szCs w:val="28"/>
          <w:lang w:eastAsia="zh-CN"/>
        </w:rPr>
        <w:t>在包装过程中，容器设备始终是敞开的，会散发可燃液体蒸汽和有毒气体，可能会漏洒、漫溢，存在着火灾、爆炸和中毒危险；</w:t>
      </w:r>
    </w:p>
    <w:p>
      <w:pPr>
        <w:spacing w:line="560" w:lineRule="exact"/>
        <w:ind w:firstLine="425" w:firstLineChars="152"/>
        <w:rPr>
          <w:rFonts w:ascii="宋体" w:hAnsi="宋体" w:eastAsia="宋体"/>
          <w:color w:val="auto"/>
          <w:sz w:val="28"/>
          <w:szCs w:val="28"/>
          <w:lang w:eastAsia="zh-CN"/>
        </w:rPr>
      </w:pPr>
      <w:r>
        <w:rPr>
          <w:rFonts w:hint="eastAsia" w:ascii="宋体" w:hAnsi="宋体" w:eastAsia="宋体"/>
          <w:color w:val="auto"/>
          <w:sz w:val="28"/>
          <w:szCs w:val="28"/>
          <w:lang w:eastAsia="zh-CN"/>
        </w:rPr>
        <w:t>2)</w:t>
      </w:r>
      <w:r>
        <w:rPr>
          <w:rFonts w:ascii="宋体" w:hAnsi="宋体" w:eastAsia="宋体"/>
          <w:color w:val="auto"/>
          <w:sz w:val="28"/>
          <w:szCs w:val="28"/>
          <w:lang w:eastAsia="zh-CN"/>
        </w:rPr>
        <w:t>机械设备运转的声音、包装容器撞击的声音使包装环境中存在着噪声危害；</w:t>
      </w:r>
    </w:p>
    <w:p>
      <w:pPr>
        <w:spacing w:line="560" w:lineRule="exact"/>
        <w:ind w:firstLine="425" w:firstLineChars="152"/>
        <w:rPr>
          <w:rFonts w:ascii="宋体" w:hAnsi="宋体" w:eastAsia="宋体"/>
          <w:color w:val="auto"/>
          <w:sz w:val="28"/>
          <w:szCs w:val="28"/>
          <w:lang w:eastAsia="zh-CN"/>
        </w:rPr>
      </w:pPr>
      <w:r>
        <w:rPr>
          <w:rFonts w:hint="eastAsia" w:ascii="宋体" w:hAnsi="宋体" w:eastAsia="宋体"/>
          <w:color w:val="auto"/>
          <w:sz w:val="28"/>
          <w:szCs w:val="28"/>
          <w:lang w:eastAsia="zh-CN"/>
        </w:rPr>
        <w:t>3)</w:t>
      </w:r>
      <w:r>
        <w:rPr>
          <w:rFonts w:ascii="宋体" w:hAnsi="宋体" w:eastAsia="宋体"/>
          <w:color w:val="auto"/>
          <w:sz w:val="28"/>
          <w:szCs w:val="28"/>
          <w:lang w:eastAsia="zh-CN"/>
        </w:rPr>
        <w:t>在包装过程中，机械设备部件有可能与人体发生夹击、碰撞、剪切、刺、割等伤害，存在着发生机械伤害的危险；</w:t>
      </w:r>
    </w:p>
    <w:p>
      <w:pPr>
        <w:spacing w:line="560" w:lineRule="exact"/>
        <w:ind w:firstLine="425" w:firstLineChars="152"/>
        <w:rPr>
          <w:rFonts w:ascii="宋体" w:hAnsi="宋体" w:eastAsia="宋体"/>
          <w:color w:val="auto"/>
          <w:sz w:val="28"/>
          <w:szCs w:val="28"/>
          <w:lang w:eastAsia="zh-CN"/>
        </w:rPr>
      </w:pPr>
      <w:r>
        <w:rPr>
          <w:rFonts w:hint="eastAsia" w:ascii="宋体" w:hAnsi="宋体" w:eastAsia="宋体"/>
          <w:color w:val="auto"/>
          <w:sz w:val="28"/>
          <w:szCs w:val="28"/>
          <w:lang w:eastAsia="zh-CN"/>
        </w:rPr>
        <w:t>4)</w:t>
      </w:r>
      <w:r>
        <w:rPr>
          <w:rFonts w:ascii="宋体" w:hAnsi="宋体" w:eastAsia="宋体"/>
          <w:color w:val="auto"/>
          <w:sz w:val="28"/>
          <w:szCs w:val="28"/>
          <w:lang w:eastAsia="zh-CN"/>
        </w:rPr>
        <w:t>在包装过程中，触及带电体有可能造成触电伤害的危险；</w:t>
      </w:r>
    </w:p>
    <w:p>
      <w:pPr>
        <w:spacing w:line="560" w:lineRule="exact"/>
        <w:ind w:firstLine="425" w:firstLineChars="152"/>
        <w:rPr>
          <w:rFonts w:ascii="宋体" w:hAnsi="宋体" w:eastAsia="宋体"/>
          <w:color w:val="auto"/>
          <w:sz w:val="28"/>
          <w:szCs w:val="28"/>
          <w:lang w:eastAsia="zh-CN"/>
        </w:rPr>
      </w:pPr>
      <w:r>
        <w:rPr>
          <w:rFonts w:hint="eastAsia" w:ascii="宋体" w:hAnsi="宋体" w:eastAsia="宋体"/>
          <w:color w:val="auto"/>
          <w:sz w:val="28"/>
          <w:szCs w:val="28"/>
          <w:lang w:eastAsia="zh-CN"/>
        </w:rPr>
        <w:t>5)</w:t>
      </w:r>
      <w:r>
        <w:rPr>
          <w:rFonts w:ascii="宋体" w:hAnsi="宋体" w:eastAsia="宋体"/>
          <w:color w:val="auto"/>
          <w:sz w:val="28"/>
          <w:szCs w:val="28"/>
          <w:lang w:eastAsia="zh-CN"/>
        </w:rPr>
        <w:t>使用人力进行搬运包装容器和已包装好的产品，存在着物体打击和手工操作中的危害和滑倒、跌摔的危险；</w:t>
      </w:r>
    </w:p>
    <w:p>
      <w:pPr>
        <w:spacing w:line="560" w:lineRule="exact"/>
        <w:ind w:firstLine="425" w:firstLineChars="152"/>
        <w:rPr>
          <w:rFonts w:ascii="宋体" w:hAnsi="宋体" w:eastAsia="宋体"/>
          <w:color w:val="auto"/>
          <w:sz w:val="28"/>
          <w:szCs w:val="28"/>
          <w:lang w:eastAsia="zh-CN"/>
        </w:rPr>
      </w:pPr>
      <w:r>
        <w:rPr>
          <w:rFonts w:hint="eastAsia" w:ascii="宋体" w:hAnsi="宋体" w:eastAsia="宋体"/>
          <w:color w:val="auto"/>
          <w:sz w:val="28"/>
          <w:szCs w:val="28"/>
          <w:lang w:eastAsia="zh-CN"/>
        </w:rPr>
        <w:t>6)</w:t>
      </w:r>
      <w:r>
        <w:rPr>
          <w:rFonts w:ascii="宋体" w:hAnsi="宋体" w:eastAsia="宋体"/>
          <w:color w:val="auto"/>
          <w:sz w:val="28"/>
          <w:szCs w:val="28"/>
          <w:lang w:eastAsia="zh-CN"/>
        </w:rPr>
        <w:t>检验产品效果时，需进行样板喷涂试验，容易挥发出易燃易爆气体，与空气形成爆炸性混合物，如遇明火、高热火电气火花等，有可能引起火灾爆炸的危险。</w:t>
      </w:r>
    </w:p>
    <w:p>
      <w:pPr>
        <w:spacing w:line="560" w:lineRule="exact"/>
        <w:ind w:firstLine="425" w:firstLineChars="152"/>
        <w:rPr>
          <w:rFonts w:ascii="宋体" w:hAnsi="宋体" w:eastAsia="宋体"/>
          <w:color w:val="auto"/>
          <w:sz w:val="28"/>
          <w:szCs w:val="28"/>
          <w:lang w:eastAsia="zh-CN"/>
        </w:rPr>
      </w:pPr>
      <w:r>
        <w:rPr>
          <w:rFonts w:hint="eastAsia" w:ascii="宋体" w:hAnsi="宋体" w:eastAsia="宋体"/>
          <w:color w:val="auto"/>
          <w:sz w:val="28"/>
          <w:szCs w:val="28"/>
          <w:lang w:eastAsia="zh-CN"/>
        </w:rPr>
        <w:t>7)</w:t>
      </w:r>
      <w:r>
        <w:rPr>
          <w:rFonts w:ascii="宋体" w:hAnsi="宋体" w:eastAsia="宋体"/>
          <w:color w:val="auto"/>
          <w:sz w:val="28"/>
          <w:szCs w:val="28"/>
          <w:lang w:eastAsia="zh-CN"/>
        </w:rPr>
        <w:t>包装容器撞击有可能产生火花，存在着引发火灾、爆炸危险。</w:t>
      </w:r>
    </w:p>
    <w:p>
      <w:pPr>
        <w:spacing w:line="560" w:lineRule="exact"/>
        <w:jc w:val="both"/>
        <w:outlineLvl w:val="2"/>
        <w:rPr>
          <w:rFonts w:ascii="宋体" w:hAnsi="宋体" w:eastAsia="宋体" w:cs="Times New Roman"/>
          <w:bCs/>
          <w:color w:val="auto"/>
          <w:kern w:val="2"/>
          <w:sz w:val="28"/>
          <w:szCs w:val="28"/>
          <w:lang w:val="en-US" w:eastAsia="zh-CN" w:bidi="ar-SA"/>
        </w:rPr>
      </w:pPr>
      <w:bookmarkStart w:id="190" w:name="bookmark130"/>
      <w:r>
        <w:rPr>
          <w:rFonts w:ascii="宋体" w:hAnsi="宋体" w:eastAsia="宋体" w:cs="Times New Roman"/>
          <w:bCs/>
          <w:color w:val="auto"/>
          <w:kern w:val="2"/>
          <w:sz w:val="28"/>
          <w:szCs w:val="28"/>
          <w:lang w:val="en-US" w:eastAsia="zh-CN" w:bidi="ar-SA"/>
        </w:rPr>
        <w:t>1.</w:t>
      </w:r>
      <w:r>
        <w:rPr>
          <w:rFonts w:hint="eastAsia" w:ascii="宋体" w:hAnsi="宋体" w:eastAsia="宋体" w:cs="Times New Roman"/>
          <w:bCs/>
          <w:color w:val="auto"/>
          <w:kern w:val="2"/>
          <w:sz w:val="28"/>
          <w:szCs w:val="28"/>
          <w:lang w:val="en-US" w:eastAsia="zh-CN" w:bidi="ar-SA"/>
        </w:rPr>
        <w:t>4</w:t>
      </w:r>
      <w:r>
        <w:rPr>
          <w:rFonts w:ascii="宋体" w:hAnsi="宋体" w:eastAsia="宋体" w:cs="Times New Roman"/>
          <w:bCs/>
          <w:color w:val="auto"/>
          <w:kern w:val="2"/>
          <w:sz w:val="28"/>
          <w:szCs w:val="28"/>
          <w:lang w:val="en-US" w:eastAsia="zh-CN" w:bidi="ar-SA"/>
        </w:rPr>
        <w:t>.6危险、有害因素辨识小结</w:t>
      </w:r>
      <w:bookmarkEnd w:id="190"/>
    </w:p>
    <w:p>
      <w:pPr>
        <w:spacing w:line="560" w:lineRule="exact"/>
        <w:ind w:firstLine="425" w:firstLineChars="152"/>
        <w:rPr>
          <w:rFonts w:ascii="宋体" w:hAnsi="宋体" w:eastAsia="宋体"/>
          <w:color w:val="auto"/>
          <w:sz w:val="28"/>
          <w:szCs w:val="28"/>
          <w:lang w:eastAsia="zh-CN"/>
        </w:rPr>
      </w:pPr>
      <w:r>
        <w:rPr>
          <w:rFonts w:ascii="宋体" w:hAnsi="宋体" w:eastAsia="宋体"/>
          <w:color w:val="auto"/>
          <w:sz w:val="28"/>
          <w:szCs w:val="28"/>
          <w:lang w:eastAsia="zh-CN"/>
        </w:rPr>
        <w:t>依照《企业职工伤亡事故分类》</w:t>
      </w:r>
      <w:r>
        <w:rPr>
          <w:rFonts w:hint="eastAsia" w:ascii="宋体" w:hAnsi="宋体" w:eastAsia="宋体"/>
          <w:color w:val="auto"/>
          <w:sz w:val="28"/>
          <w:szCs w:val="28"/>
          <w:lang w:eastAsia="zh-CN"/>
        </w:rPr>
        <w:t>(</w:t>
      </w:r>
      <w:r>
        <w:rPr>
          <w:rFonts w:ascii="宋体" w:hAnsi="宋体" w:eastAsia="宋体"/>
          <w:color w:val="auto"/>
          <w:sz w:val="28"/>
          <w:szCs w:val="28"/>
          <w:lang w:eastAsia="zh-CN"/>
        </w:rPr>
        <w:t>GB6441-</w:t>
      </w:r>
      <w:r>
        <w:rPr>
          <w:rFonts w:ascii="宋体" w:hAnsi="宋体" w:eastAsia="宋体"/>
          <w:color w:val="auto"/>
          <w:sz w:val="28"/>
          <w:szCs w:val="28"/>
        </w:rPr>
        <w:t>19</w:t>
      </w:r>
      <w:r>
        <w:rPr>
          <w:rFonts w:ascii="宋体" w:hAnsi="宋体" w:eastAsia="宋体"/>
          <w:color w:val="auto"/>
          <w:sz w:val="28"/>
          <w:szCs w:val="28"/>
          <w:lang w:eastAsia="zh-CN"/>
        </w:rPr>
        <w:t>86</w:t>
      </w:r>
      <w:r>
        <w:rPr>
          <w:rFonts w:hint="eastAsia" w:ascii="宋体" w:hAnsi="宋体" w:eastAsia="宋体"/>
          <w:color w:val="auto"/>
          <w:sz w:val="28"/>
          <w:szCs w:val="28"/>
          <w:lang w:eastAsia="zh-CN"/>
        </w:rPr>
        <w:t>)</w:t>
      </w:r>
      <w:r>
        <w:rPr>
          <w:rFonts w:ascii="宋体" w:hAnsi="宋体" w:eastAsia="宋体"/>
          <w:color w:val="auto"/>
          <w:sz w:val="28"/>
          <w:szCs w:val="28"/>
          <w:lang w:eastAsia="zh-CN"/>
        </w:rPr>
        <w:t>的规定，该公司可能存在的危险、有害因素有：火灾爆炸、中毒</w:t>
      </w:r>
      <w:r>
        <w:rPr>
          <w:rFonts w:hint="eastAsia" w:ascii="宋体" w:hAnsi="宋体" w:eastAsia="宋体"/>
          <w:color w:val="auto"/>
          <w:sz w:val="28"/>
          <w:szCs w:val="28"/>
          <w:lang w:eastAsia="zh-CN"/>
        </w:rPr>
        <w:t>和</w:t>
      </w:r>
      <w:r>
        <w:rPr>
          <w:rFonts w:ascii="宋体" w:hAnsi="宋体" w:eastAsia="宋体"/>
          <w:color w:val="auto"/>
          <w:sz w:val="28"/>
          <w:szCs w:val="28"/>
          <w:lang w:eastAsia="zh-CN"/>
        </w:rPr>
        <w:t>窒息、机械伤害、触电、车辆伤害、物体打击、灼烫、淹溺等。其中火灾爆炸、中毒和窒息是主要危险、有害因素；具体分布情况见下表。</w:t>
      </w:r>
    </w:p>
    <w:p>
      <w:pPr>
        <w:spacing w:line="560" w:lineRule="exact"/>
        <w:jc w:val="center"/>
        <w:rPr>
          <w:rFonts w:ascii="宋体" w:hAnsi="宋体" w:eastAsia="宋体"/>
          <w:b/>
          <w:color w:val="auto"/>
        </w:rPr>
      </w:pPr>
      <w:r>
        <w:rPr>
          <w:rFonts w:hint="eastAsia" w:ascii="宋体" w:hAnsi="宋体" w:eastAsia="宋体"/>
          <w:b/>
          <w:color w:val="auto"/>
        </w:rPr>
        <w:t>附表1</w:t>
      </w:r>
      <w:r>
        <w:rPr>
          <w:rFonts w:ascii="宋体" w:hAnsi="宋体" w:eastAsia="宋体"/>
          <w:b/>
          <w:color w:val="auto"/>
        </w:rPr>
        <w:t>-2</w:t>
      </w:r>
      <w:r>
        <w:rPr>
          <w:rFonts w:hint="eastAsia" w:ascii="宋体" w:hAnsi="宋体" w:eastAsia="宋体"/>
          <w:b/>
          <w:color w:val="auto"/>
          <w:lang w:eastAsia="zh-CN"/>
        </w:rPr>
        <w:t>5</w:t>
      </w:r>
      <w:r>
        <w:rPr>
          <w:rFonts w:hint="eastAsia" w:ascii="宋体" w:hAnsi="宋体" w:eastAsia="宋体"/>
          <w:b/>
          <w:color w:val="auto"/>
        </w:rPr>
        <w:t xml:space="preserve"> 主要危险有害因素及其分布情况表</w:t>
      </w:r>
    </w:p>
    <w:tbl>
      <w:tblPr>
        <w:tblStyle w:val="45"/>
        <w:tblW w:w="991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84"/>
        <w:gridCol w:w="850"/>
        <w:gridCol w:w="851"/>
        <w:gridCol w:w="850"/>
        <w:gridCol w:w="907"/>
        <w:gridCol w:w="851"/>
        <w:gridCol w:w="850"/>
        <w:gridCol w:w="804"/>
        <w:gridCol w:w="709"/>
        <w:gridCol w:w="7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blHeader/>
          <w:jc w:val="center"/>
        </w:trPr>
        <w:tc>
          <w:tcPr>
            <w:tcW w:w="2484" w:type="dxa"/>
            <w:vAlign w:val="center"/>
          </w:tcPr>
          <w:p>
            <w:pPr>
              <w:spacing w:line="340" w:lineRule="exact"/>
              <w:jc w:val="center"/>
              <w:rPr>
                <w:rFonts w:ascii="宋体" w:hAnsi="宋体" w:eastAsia="宋体"/>
                <w:b/>
                <w:color w:val="auto"/>
                <w:sz w:val="21"/>
                <w:szCs w:val="21"/>
              </w:rPr>
            </w:pPr>
            <w:r>
              <w:rPr>
                <w:rFonts w:hint="eastAsia" w:ascii="宋体" w:hAnsi="宋体" w:eastAsia="宋体"/>
                <w:b/>
                <w:color w:val="auto"/>
                <w:sz w:val="21"/>
                <w:szCs w:val="21"/>
              </w:rPr>
              <w:t>危险</w:t>
            </w:r>
          </w:p>
          <w:p>
            <w:pPr>
              <w:spacing w:line="340" w:lineRule="exact"/>
              <w:jc w:val="center"/>
              <w:rPr>
                <w:rFonts w:ascii="宋体" w:hAnsi="宋体" w:eastAsia="宋体"/>
                <w:b/>
                <w:color w:val="auto"/>
                <w:sz w:val="21"/>
                <w:szCs w:val="21"/>
              </w:rPr>
            </w:pPr>
            <w:r>
              <w:rPr>
                <w:rFonts w:hint="eastAsia" w:ascii="宋体" w:hAnsi="宋体" w:eastAsia="宋体"/>
                <w:b/>
                <w:color w:val="auto"/>
                <w:sz w:val="21"/>
                <w:szCs w:val="21"/>
              </w:rPr>
              <w:t>区域</w:t>
            </w:r>
          </w:p>
        </w:tc>
        <w:tc>
          <w:tcPr>
            <w:tcW w:w="850" w:type="dxa"/>
            <w:vAlign w:val="center"/>
          </w:tcPr>
          <w:p>
            <w:pPr>
              <w:spacing w:line="340" w:lineRule="exact"/>
              <w:jc w:val="center"/>
              <w:rPr>
                <w:rFonts w:ascii="宋体" w:hAnsi="宋体" w:eastAsia="宋体"/>
                <w:b/>
                <w:color w:val="auto"/>
                <w:sz w:val="21"/>
                <w:szCs w:val="21"/>
              </w:rPr>
            </w:pPr>
            <w:r>
              <w:rPr>
                <w:rFonts w:hint="eastAsia" w:ascii="宋体" w:hAnsi="宋体" w:eastAsia="宋体"/>
                <w:b/>
                <w:color w:val="auto"/>
                <w:sz w:val="21"/>
                <w:szCs w:val="21"/>
              </w:rPr>
              <w:t>火灾</w:t>
            </w:r>
            <w:r>
              <w:rPr>
                <w:rFonts w:hint="eastAsia" w:ascii="宋体" w:hAnsi="宋体" w:eastAsia="宋体"/>
                <w:b/>
                <w:color w:val="auto"/>
                <w:sz w:val="21"/>
                <w:szCs w:val="21"/>
                <w:lang w:eastAsia="zh-CN"/>
              </w:rPr>
              <w:t>、</w:t>
            </w:r>
            <w:r>
              <w:rPr>
                <w:rFonts w:hint="eastAsia" w:ascii="宋体" w:hAnsi="宋体" w:eastAsia="宋体"/>
                <w:b/>
                <w:color w:val="auto"/>
                <w:sz w:val="21"/>
                <w:szCs w:val="21"/>
              </w:rPr>
              <w:t>爆炸</w:t>
            </w:r>
          </w:p>
        </w:tc>
        <w:tc>
          <w:tcPr>
            <w:tcW w:w="851" w:type="dxa"/>
            <w:vAlign w:val="center"/>
          </w:tcPr>
          <w:p>
            <w:pPr>
              <w:spacing w:line="340" w:lineRule="exact"/>
              <w:jc w:val="center"/>
              <w:rPr>
                <w:rFonts w:ascii="宋体" w:hAnsi="宋体" w:eastAsia="宋体"/>
                <w:b/>
                <w:color w:val="auto"/>
                <w:sz w:val="21"/>
                <w:szCs w:val="21"/>
              </w:rPr>
            </w:pPr>
            <w:r>
              <w:rPr>
                <w:rFonts w:hint="eastAsia" w:ascii="宋体" w:hAnsi="宋体" w:eastAsia="宋体"/>
                <w:b/>
                <w:color w:val="auto"/>
                <w:sz w:val="21"/>
                <w:szCs w:val="21"/>
              </w:rPr>
              <w:t>中毒和窒息</w:t>
            </w:r>
          </w:p>
        </w:tc>
        <w:tc>
          <w:tcPr>
            <w:tcW w:w="850" w:type="dxa"/>
            <w:vAlign w:val="center"/>
          </w:tcPr>
          <w:p>
            <w:pPr>
              <w:spacing w:line="340" w:lineRule="exact"/>
              <w:jc w:val="center"/>
              <w:rPr>
                <w:rFonts w:ascii="宋体" w:hAnsi="宋体" w:eastAsia="宋体"/>
                <w:b/>
                <w:color w:val="auto"/>
                <w:sz w:val="21"/>
                <w:szCs w:val="21"/>
              </w:rPr>
            </w:pPr>
            <w:r>
              <w:rPr>
                <w:rFonts w:hint="eastAsia" w:ascii="宋体" w:hAnsi="宋体" w:eastAsia="宋体"/>
                <w:b/>
                <w:color w:val="auto"/>
                <w:sz w:val="21"/>
                <w:szCs w:val="21"/>
              </w:rPr>
              <w:t>机械伤害</w:t>
            </w:r>
          </w:p>
        </w:tc>
        <w:tc>
          <w:tcPr>
            <w:tcW w:w="907" w:type="dxa"/>
            <w:vAlign w:val="center"/>
          </w:tcPr>
          <w:p>
            <w:pPr>
              <w:spacing w:line="340" w:lineRule="exact"/>
              <w:jc w:val="center"/>
              <w:rPr>
                <w:rFonts w:ascii="宋体" w:hAnsi="宋体" w:eastAsia="宋体"/>
                <w:b/>
                <w:color w:val="auto"/>
                <w:sz w:val="21"/>
                <w:szCs w:val="21"/>
              </w:rPr>
            </w:pPr>
            <w:r>
              <w:rPr>
                <w:rFonts w:hint="eastAsia" w:ascii="宋体" w:hAnsi="宋体" w:eastAsia="宋体"/>
                <w:b/>
                <w:color w:val="auto"/>
                <w:sz w:val="21"/>
                <w:szCs w:val="21"/>
              </w:rPr>
              <w:t>触电伤害</w:t>
            </w:r>
          </w:p>
        </w:tc>
        <w:tc>
          <w:tcPr>
            <w:tcW w:w="851" w:type="dxa"/>
            <w:vAlign w:val="center"/>
          </w:tcPr>
          <w:p>
            <w:pPr>
              <w:spacing w:line="340" w:lineRule="exact"/>
              <w:jc w:val="center"/>
              <w:rPr>
                <w:rFonts w:ascii="宋体" w:hAnsi="宋体" w:eastAsia="宋体"/>
                <w:b/>
                <w:color w:val="auto"/>
                <w:sz w:val="21"/>
                <w:szCs w:val="21"/>
              </w:rPr>
            </w:pPr>
            <w:r>
              <w:rPr>
                <w:rFonts w:hint="eastAsia" w:ascii="宋体" w:hAnsi="宋体" w:eastAsia="宋体"/>
                <w:b/>
                <w:color w:val="auto"/>
                <w:sz w:val="21"/>
                <w:szCs w:val="21"/>
              </w:rPr>
              <w:t>物体打击</w:t>
            </w:r>
          </w:p>
        </w:tc>
        <w:tc>
          <w:tcPr>
            <w:tcW w:w="850" w:type="dxa"/>
            <w:vAlign w:val="center"/>
          </w:tcPr>
          <w:p>
            <w:pPr>
              <w:spacing w:line="340" w:lineRule="exact"/>
              <w:jc w:val="center"/>
              <w:rPr>
                <w:rFonts w:ascii="宋体" w:hAnsi="宋体" w:eastAsia="宋体"/>
                <w:b/>
                <w:color w:val="auto"/>
                <w:sz w:val="21"/>
                <w:szCs w:val="21"/>
                <w:lang w:eastAsia="zh-CN"/>
              </w:rPr>
            </w:pPr>
            <w:r>
              <w:rPr>
                <w:rFonts w:hint="eastAsia" w:ascii="宋体" w:hAnsi="宋体" w:eastAsia="宋体"/>
                <w:b/>
                <w:color w:val="auto"/>
                <w:sz w:val="21"/>
                <w:szCs w:val="21"/>
                <w:lang w:eastAsia="zh-CN"/>
              </w:rPr>
              <w:t>灼烫</w:t>
            </w:r>
          </w:p>
        </w:tc>
        <w:tc>
          <w:tcPr>
            <w:tcW w:w="804" w:type="dxa"/>
            <w:vAlign w:val="center"/>
          </w:tcPr>
          <w:p>
            <w:pPr>
              <w:spacing w:line="340" w:lineRule="exact"/>
              <w:jc w:val="center"/>
              <w:rPr>
                <w:rFonts w:ascii="宋体" w:hAnsi="宋体" w:eastAsia="宋体"/>
                <w:b/>
                <w:color w:val="auto"/>
                <w:sz w:val="21"/>
                <w:szCs w:val="21"/>
              </w:rPr>
            </w:pPr>
            <w:r>
              <w:rPr>
                <w:rFonts w:hint="eastAsia" w:ascii="宋体" w:hAnsi="宋体" w:eastAsia="宋体"/>
                <w:b/>
                <w:color w:val="auto"/>
                <w:sz w:val="21"/>
                <w:szCs w:val="21"/>
              </w:rPr>
              <w:t>淹溺</w:t>
            </w:r>
          </w:p>
        </w:tc>
        <w:tc>
          <w:tcPr>
            <w:tcW w:w="709" w:type="dxa"/>
            <w:vAlign w:val="center"/>
          </w:tcPr>
          <w:p>
            <w:pPr>
              <w:spacing w:line="340" w:lineRule="exact"/>
              <w:jc w:val="center"/>
              <w:rPr>
                <w:rFonts w:ascii="宋体" w:hAnsi="宋体" w:eastAsia="宋体"/>
                <w:b/>
                <w:color w:val="auto"/>
                <w:sz w:val="21"/>
                <w:szCs w:val="21"/>
              </w:rPr>
            </w:pPr>
            <w:r>
              <w:rPr>
                <w:rFonts w:hint="eastAsia" w:ascii="宋体" w:hAnsi="宋体" w:eastAsia="宋体"/>
                <w:b/>
                <w:color w:val="auto"/>
                <w:sz w:val="21"/>
                <w:szCs w:val="21"/>
              </w:rPr>
              <w:t>噪声</w:t>
            </w:r>
          </w:p>
        </w:tc>
        <w:tc>
          <w:tcPr>
            <w:tcW w:w="755" w:type="dxa"/>
            <w:vAlign w:val="center"/>
          </w:tcPr>
          <w:p>
            <w:pPr>
              <w:spacing w:line="340" w:lineRule="exact"/>
              <w:jc w:val="center"/>
              <w:rPr>
                <w:rFonts w:ascii="宋体" w:hAnsi="宋体" w:eastAsia="宋体"/>
                <w:b/>
                <w:color w:val="auto"/>
                <w:sz w:val="21"/>
                <w:szCs w:val="21"/>
                <w:lang w:eastAsia="zh-CN"/>
              </w:rPr>
            </w:pPr>
            <w:r>
              <w:rPr>
                <w:rFonts w:hint="eastAsia" w:ascii="宋体" w:hAnsi="宋体" w:eastAsia="宋体"/>
                <w:b/>
                <w:color w:val="auto"/>
                <w:sz w:val="21"/>
                <w:szCs w:val="21"/>
                <w:lang w:eastAsia="zh-CN"/>
              </w:rPr>
              <w:t>车辆伤害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2484" w:type="dxa"/>
            <w:vAlign w:val="center"/>
          </w:tcPr>
          <w:p>
            <w:pPr>
              <w:jc w:val="center"/>
              <w:rPr>
                <w:rFonts w:ascii="宋体" w:hAnsi="宋体" w:eastAsia="宋体"/>
                <w:color w:val="auto"/>
                <w:sz w:val="21"/>
                <w:szCs w:val="21"/>
              </w:rPr>
            </w:pPr>
            <w:r>
              <w:rPr>
                <w:rFonts w:hint="eastAsia" w:ascii="宋体" w:hAnsi="宋体" w:eastAsia="宋体"/>
                <w:color w:val="auto"/>
                <w:sz w:val="21"/>
                <w:szCs w:val="21"/>
              </w:rPr>
              <w:t>甲类车间</w:t>
            </w:r>
          </w:p>
        </w:tc>
        <w:tc>
          <w:tcPr>
            <w:tcW w:w="850" w:type="dxa"/>
            <w:vAlign w:val="center"/>
          </w:tcPr>
          <w:p>
            <w:pPr>
              <w:spacing w:line="500" w:lineRule="exact"/>
              <w:jc w:val="center"/>
              <w:rPr>
                <w:rFonts w:ascii="宋体" w:hAnsi="宋体" w:eastAsia="宋体"/>
                <w:color w:val="auto"/>
                <w:sz w:val="21"/>
                <w:szCs w:val="21"/>
              </w:rPr>
            </w:pPr>
            <w:r>
              <w:rPr>
                <w:rFonts w:hint="eastAsia" w:ascii="宋体" w:hAnsi="宋体" w:eastAsia="宋体"/>
                <w:color w:val="auto"/>
                <w:sz w:val="21"/>
                <w:szCs w:val="21"/>
              </w:rPr>
              <w:t>√</w:t>
            </w:r>
          </w:p>
        </w:tc>
        <w:tc>
          <w:tcPr>
            <w:tcW w:w="851" w:type="dxa"/>
            <w:vAlign w:val="center"/>
          </w:tcPr>
          <w:p>
            <w:pPr>
              <w:spacing w:line="500" w:lineRule="exact"/>
              <w:jc w:val="center"/>
              <w:rPr>
                <w:rFonts w:ascii="宋体" w:hAnsi="宋体" w:eastAsia="宋体"/>
                <w:color w:val="auto"/>
                <w:sz w:val="21"/>
                <w:szCs w:val="21"/>
              </w:rPr>
            </w:pPr>
            <w:r>
              <w:rPr>
                <w:rFonts w:hint="eastAsia" w:ascii="宋体" w:hAnsi="宋体" w:eastAsia="宋体"/>
                <w:color w:val="auto"/>
                <w:sz w:val="21"/>
                <w:szCs w:val="21"/>
              </w:rPr>
              <w:t>√</w:t>
            </w:r>
          </w:p>
        </w:tc>
        <w:tc>
          <w:tcPr>
            <w:tcW w:w="850" w:type="dxa"/>
            <w:vAlign w:val="center"/>
          </w:tcPr>
          <w:p>
            <w:pPr>
              <w:spacing w:line="500" w:lineRule="exact"/>
              <w:jc w:val="center"/>
              <w:rPr>
                <w:rFonts w:ascii="宋体" w:hAnsi="宋体" w:eastAsia="宋体"/>
                <w:color w:val="auto"/>
                <w:sz w:val="21"/>
                <w:szCs w:val="21"/>
              </w:rPr>
            </w:pPr>
            <w:r>
              <w:rPr>
                <w:rFonts w:hint="eastAsia" w:ascii="宋体" w:hAnsi="宋体" w:eastAsia="宋体"/>
                <w:color w:val="auto"/>
                <w:sz w:val="21"/>
                <w:szCs w:val="21"/>
              </w:rPr>
              <w:t>√</w:t>
            </w:r>
          </w:p>
        </w:tc>
        <w:tc>
          <w:tcPr>
            <w:tcW w:w="907" w:type="dxa"/>
            <w:vAlign w:val="center"/>
          </w:tcPr>
          <w:p>
            <w:pPr>
              <w:spacing w:line="500" w:lineRule="exact"/>
              <w:jc w:val="center"/>
              <w:rPr>
                <w:rFonts w:ascii="宋体" w:hAnsi="宋体" w:eastAsia="宋体"/>
                <w:color w:val="auto"/>
                <w:sz w:val="21"/>
                <w:szCs w:val="21"/>
              </w:rPr>
            </w:pPr>
            <w:r>
              <w:rPr>
                <w:rFonts w:hint="eastAsia" w:ascii="宋体" w:hAnsi="宋体" w:eastAsia="宋体"/>
                <w:color w:val="auto"/>
                <w:sz w:val="21"/>
                <w:szCs w:val="21"/>
              </w:rPr>
              <w:t>√</w:t>
            </w:r>
          </w:p>
        </w:tc>
        <w:tc>
          <w:tcPr>
            <w:tcW w:w="851" w:type="dxa"/>
            <w:vAlign w:val="center"/>
          </w:tcPr>
          <w:p>
            <w:pPr>
              <w:spacing w:line="500" w:lineRule="exact"/>
              <w:jc w:val="center"/>
              <w:rPr>
                <w:rFonts w:ascii="宋体" w:hAnsi="宋体" w:eastAsia="宋体"/>
                <w:color w:val="auto"/>
                <w:sz w:val="21"/>
                <w:szCs w:val="21"/>
              </w:rPr>
            </w:pPr>
            <w:r>
              <w:rPr>
                <w:rFonts w:hint="eastAsia" w:ascii="宋体" w:hAnsi="宋体" w:eastAsia="宋体"/>
                <w:color w:val="auto"/>
                <w:sz w:val="21"/>
                <w:szCs w:val="21"/>
              </w:rPr>
              <w:t>√</w:t>
            </w:r>
          </w:p>
        </w:tc>
        <w:tc>
          <w:tcPr>
            <w:tcW w:w="850" w:type="dxa"/>
            <w:vAlign w:val="center"/>
          </w:tcPr>
          <w:p>
            <w:pPr>
              <w:spacing w:line="500" w:lineRule="exact"/>
              <w:jc w:val="center"/>
              <w:rPr>
                <w:rFonts w:ascii="宋体" w:hAnsi="宋体" w:eastAsia="宋体"/>
                <w:color w:val="auto"/>
                <w:sz w:val="21"/>
                <w:szCs w:val="21"/>
              </w:rPr>
            </w:pPr>
            <w:r>
              <w:rPr>
                <w:rFonts w:hint="eastAsia" w:ascii="宋体" w:hAnsi="宋体" w:eastAsia="宋体"/>
                <w:color w:val="auto"/>
                <w:sz w:val="21"/>
                <w:szCs w:val="21"/>
              </w:rPr>
              <w:t>√</w:t>
            </w:r>
          </w:p>
        </w:tc>
        <w:tc>
          <w:tcPr>
            <w:tcW w:w="804" w:type="dxa"/>
            <w:vAlign w:val="center"/>
          </w:tcPr>
          <w:p>
            <w:pPr>
              <w:spacing w:line="500" w:lineRule="exact"/>
              <w:jc w:val="center"/>
              <w:rPr>
                <w:rFonts w:ascii="宋体" w:hAnsi="宋体" w:eastAsia="宋体"/>
                <w:color w:val="auto"/>
                <w:sz w:val="21"/>
                <w:szCs w:val="21"/>
              </w:rPr>
            </w:pPr>
            <w:r>
              <w:rPr>
                <w:rFonts w:hint="eastAsia" w:ascii="宋体" w:hAnsi="宋体" w:eastAsia="宋体"/>
                <w:color w:val="auto"/>
                <w:sz w:val="21"/>
                <w:szCs w:val="21"/>
              </w:rPr>
              <w:t>—</w:t>
            </w:r>
          </w:p>
        </w:tc>
        <w:tc>
          <w:tcPr>
            <w:tcW w:w="709" w:type="dxa"/>
            <w:vAlign w:val="center"/>
          </w:tcPr>
          <w:p>
            <w:pPr>
              <w:spacing w:line="500" w:lineRule="exact"/>
              <w:jc w:val="center"/>
              <w:rPr>
                <w:rFonts w:ascii="宋体" w:hAnsi="宋体" w:eastAsia="宋体"/>
                <w:color w:val="auto"/>
                <w:sz w:val="21"/>
                <w:szCs w:val="21"/>
              </w:rPr>
            </w:pPr>
            <w:r>
              <w:rPr>
                <w:rFonts w:hint="eastAsia" w:ascii="宋体" w:hAnsi="宋体" w:eastAsia="宋体"/>
                <w:color w:val="auto"/>
                <w:sz w:val="21"/>
                <w:szCs w:val="21"/>
              </w:rPr>
              <w:t>√</w:t>
            </w:r>
          </w:p>
        </w:tc>
        <w:tc>
          <w:tcPr>
            <w:tcW w:w="755" w:type="dxa"/>
            <w:vAlign w:val="center"/>
          </w:tcPr>
          <w:p>
            <w:pPr>
              <w:jc w:val="center"/>
              <w:rPr>
                <w:color w:val="auto"/>
              </w:rPr>
            </w:pPr>
            <w:r>
              <w:rPr>
                <w:rFonts w:hint="eastAsia" w:ascii="宋体" w:hAnsi="宋体" w:eastAsia="宋体"/>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2484" w:type="dxa"/>
            <w:vAlign w:val="center"/>
          </w:tcPr>
          <w:p>
            <w:pPr>
              <w:jc w:val="center"/>
              <w:rPr>
                <w:rFonts w:ascii="宋体" w:hAnsi="宋体" w:eastAsia="宋体"/>
                <w:color w:val="auto"/>
                <w:sz w:val="21"/>
                <w:szCs w:val="21"/>
              </w:rPr>
            </w:pPr>
            <w:r>
              <w:rPr>
                <w:rFonts w:hint="eastAsia" w:ascii="宋体" w:hAnsi="宋体" w:eastAsia="宋体"/>
                <w:color w:val="auto"/>
                <w:sz w:val="21"/>
                <w:szCs w:val="21"/>
              </w:rPr>
              <w:t>甲类仓库</w:t>
            </w:r>
          </w:p>
        </w:tc>
        <w:tc>
          <w:tcPr>
            <w:tcW w:w="850" w:type="dxa"/>
            <w:vAlign w:val="center"/>
          </w:tcPr>
          <w:p>
            <w:pPr>
              <w:spacing w:line="500" w:lineRule="exact"/>
              <w:jc w:val="center"/>
              <w:rPr>
                <w:rFonts w:ascii="宋体" w:hAnsi="宋体" w:eastAsia="宋体"/>
                <w:color w:val="auto"/>
                <w:sz w:val="21"/>
                <w:szCs w:val="21"/>
              </w:rPr>
            </w:pPr>
            <w:r>
              <w:rPr>
                <w:rFonts w:hint="eastAsia" w:ascii="宋体" w:hAnsi="宋体" w:eastAsia="宋体"/>
                <w:color w:val="auto"/>
                <w:sz w:val="21"/>
                <w:szCs w:val="21"/>
              </w:rPr>
              <w:t>√</w:t>
            </w:r>
          </w:p>
        </w:tc>
        <w:tc>
          <w:tcPr>
            <w:tcW w:w="851" w:type="dxa"/>
            <w:vAlign w:val="center"/>
          </w:tcPr>
          <w:p>
            <w:pPr>
              <w:spacing w:line="500" w:lineRule="exact"/>
              <w:jc w:val="center"/>
              <w:rPr>
                <w:rFonts w:ascii="宋体" w:hAnsi="宋体" w:eastAsia="宋体"/>
                <w:color w:val="auto"/>
                <w:sz w:val="21"/>
                <w:szCs w:val="21"/>
              </w:rPr>
            </w:pPr>
            <w:r>
              <w:rPr>
                <w:rFonts w:hint="eastAsia" w:ascii="宋体" w:hAnsi="宋体" w:eastAsia="宋体"/>
                <w:color w:val="auto"/>
                <w:sz w:val="21"/>
                <w:szCs w:val="21"/>
              </w:rPr>
              <w:t>√</w:t>
            </w:r>
          </w:p>
        </w:tc>
        <w:tc>
          <w:tcPr>
            <w:tcW w:w="850" w:type="dxa"/>
            <w:vAlign w:val="center"/>
          </w:tcPr>
          <w:p>
            <w:pPr>
              <w:spacing w:line="500" w:lineRule="exact"/>
              <w:jc w:val="center"/>
              <w:rPr>
                <w:rFonts w:ascii="宋体" w:hAnsi="宋体" w:eastAsia="宋体"/>
                <w:color w:val="auto"/>
                <w:sz w:val="21"/>
                <w:szCs w:val="21"/>
              </w:rPr>
            </w:pPr>
            <w:r>
              <w:rPr>
                <w:rFonts w:hint="eastAsia" w:ascii="宋体" w:hAnsi="宋体" w:eastAsia="宋体"/>
                <w:color w:val="auto"/>
                <w:sz w:val="21"/>
                <w:szCs w:val="21"/>
              </w:rPr>
              <w:t>—</w:t>
            </w:r>
          </w:p>
        </w:tc>
        <w:tc>
          <w:tcPr>
            <w:tcW w:w="907" w:type="dxa"/>
            <w:vAlign w:val="center"/>
          </w:tcPr>
          <w:p>
            <w:pPr>
              <w:spacing w:line="500" w:lineRule="exact"/>
              <w:jc w:val="center"/>
              <w:rPr>
                <w:rFonts w:ascii="宋体" w:hAnsi="宋体" w:eastAsia="宋体"/>
                <w:color w:val="auto"/>
                <w:sz w:val="21"/>
                <w:szCs w:val="21"/>
              </w:rPr>
            </w:pPr>
            <w:r>
              <w:rPr>
                <w:rFonts w:hint="eastAsia" w:ascii="宋体" w:hAnsi="宋体" w:eastAsia="宋体"/>
                <w:color w:val="auto"/>
                <w:sz w:val="21"/>
                <w:szCs w:val="21"/>
              </w:rPr>
              <w:t>√</w:t>
            </w:r>
          </w:p>
        </w:tc>
        <w:tc>
          <w:tcPr>
            <w:tcW w:w="851" w:type="dxa"/>
            <w:vAlign w:val="center"/>
          </w:tcPr>
          <w:p>
            <w:pPr>
              <w:spacing w:line="500" w:lineRule="exact"/>
              <w:jc w:val="center"/>
              <w:rPr>
                <w:rFonts w:ascii="宋体" w:hAnsi="宋体" w:eastAsia="宋体"/>
                <w:color w:val="auto"/>
                <w:sz w:val="21"/>
                <w:szCs w:val="21"/>
              </w:rPr>
            </w:pPr>
            <w:r>
              <w:rPr>
                <w:rFonts w:hint="eastAsia" w:ascii="宋体" w:hAnsi="宋体" w:eastAsia="宋体"/>
                <w:color w:val="auto"/>
                <w:sz w:val="21"/>
                <w:szCs w:val="21"/>
              </w:rPr>
              <w:t>√</w:t>
            </w:r>
          </w:p>
        </w:tc>
        <w:tc>
          <w:tcPr>
            <w:tcW w:w="850" w:type="dxa"/>
            <w:vAlign w:val="center"/>
          </w:tcPr>
          <w:p>
            <w:pPr>
              <w:spacing w:line="500" w:lineRule="exact"/>
              <w:jc w:val="center"/>
              <w:rPr>
                <w:rFonts w:ascii="宋体" w:hAnsi="宋体" w:eastAsia="宋体"/>
                <w:color w:val="auto"/>
                <w:sz w:val="21"/>
                <w:szCs w:val="21"/>
              </w:rPr>
            </w:pPr>
            <w:r>
              <w:rPr>
                <w:rFonts w:hint="eastAsia" w:ascii="宋体" w:hAnsi="宋体" w:eastAsia="宋体"/>
                <w:color w:val="auto"/>
                <w:sz w:val="21"/>
                <w:szCs w:val="21"/>
              </w:rPr>
              <w:t>√</w:t>
            </w:r>
          </w:p>
        </w:tc>
        <w:tc>
          <w:tcPr>
            <w:tcW w:w="804" w:type="dxa"/>
            <w:vAlign w:val="center"/>
          </w:tcPr>
          <w:p>
            <w:pPr>
              <w:jc w:val="center"/>
              <w:rPr>
                <w:rFonts w:ascii="宋体" w:hAnsi="宋体" w:eastAsia="宋体"/>
                <w:color w:val="auto"/>
                <w:sz w:val="21"/>
                <w:szCs w:val="21"/>
              </w:rPr>
            </w:pPr>
            <w:r>
              <w:rPr>
                <w:rFonts w:hint="eastAsia" w:ascii="宋体" w:hAnsi="宋体" w:eastAsia="宋体"/>
                <w:color w:val="auto"/>
                <w:sz w:val="21"/>
                <w:szCs w:val="21"/>
              </w:rPr>
              <w:t>—</w:t>
            </w:r>
          </w:p>
        </w:tc>
        <w:tc>
          <w:tcPr>
            <w:tcW w:w="709" w:type="dxa"/>
            <w:vAlign w:val="center"/>
          </w:tcPr>
          <w:p>
            <w:pPr>
              <w:jc w:val="center"/>
              <w:rPr>
                <w:rFonts w:ascii="宋体" w:hAnsi="宋体" w:eastAsia="宋体"/>
                <w:color w:val="auto"/>
                <w:sz w:val="21"/>
                <w:szCs w:val="21"/>
              </w:rPr>
            </w:pPr>
            <w:r>
              <w:rPr>
                <w:rFonts w:hint="eastAsia" w:ascii="宋体" w:hAnsi="宋体" w:eastAsia="宋体"/>
                <w:color w:val="auto"/>
                <w:sz w:val="21"/>
                <w:szCs w:val="21"/>
              </w:rPr>
              <w:t>—</w:t>
            </w:r>
          </w:p>
        </w:tc>
        <w:tc>
          <w:tcPr>
            <w:tcW w:w="755" w:type="dxa"/>
            <w:vAlign w:val="center"/>
          </w:tcPr>
          <w:p>
            <w:pPr>
              <w:jc w:val="center"/>
              <w:rPr>
                <w:color w:val="auto"/>
              </w:rPr>
            </w:pPr>
            <w:r>
              <w:rPr>
                <w:rFonts w:hint="eastAsia" w:ascii="宋体" w:hAnsi="宋体" w:eastAsia="宋体"/>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2484" w:type="dxa"/>
            <w:vAlign w:val="center"/>
          </w:tcPr>
          <w:p>
            <w:pPr>
              <w:jc w:val="center"/>
              <w:rPr>
                <w:rFonts w:ascii="宋体" w:hAnsi="宋体" w:eastAsia="宋体"/>
                <w:color w:val="auto"/>
                <w:sz w:val="21"/>
                <w:szCs w:val="21"/>
              </w:rPr>
            </w:pPr>
            <w:r>
              <w:rPr>
                <w:rFonts w:hint="eastAsia" w:ascii="宋体" w:hAnsi="宋体" w:eastAsia="宋体"/>
                <w:color w:val="auto"/>
                <w:sz w:val="21"/>
                <w:szCs w:val="21"/>
              </w:rPr>
              <w:t>配电房</w:t>
            </w:r>
          </w:p>
        </w:tc>
        <w:tc>
          <w:tcPr>
            <w:tcW w:w="850" w:type="dxa"/>
            <w:vAlign w:val="center"/>
          </w:tcPr>
          <w:p>
            <w:pPr>
              <w:jc w:val="center"/>
              <w:rPr>
                <w:rFonts w:ascii="宋体" w:hAnsi="宋体" w:eastAsia="宋体"/>
                <w:color w:val="auto"/>
                <w:sz w:val="21"/>
                <w:szCs w:val="21"/>
              </w:rPr>
            </w:pPr>
            <w:r>
              <w:rPr>
                <w:rFonts w:hint="eastAsia" w:ascii="宋体" w:hAnsi="宋体" w:eastAsia="宋体"/>
                <w:color w:val="auto"/>
                <w:sz w:val="21"/>
                <w:szCs w:val="21"/>
              </w:rPr>
              <w:t>√</w:t>
            </w:r>
          </w:p>
        </w:tc>
        <w:tc>
          <w:tcPr>
            <w:tcW w:w="851" w:type="dxa"/>
            <w:vAlign w:val="center"/>
          </w:tcPr>
          <w:p>
            <w:pPr>
              <w:jc w:val="center"/>
              <w:rPr>
                <w:rFonts w:ascii="宋体" w:hAnsi="宋体" w:eastAsia="宋体"/>
                <w:color w:val="auto"/>
                <w:sz w:val="21"/>
                <w:szCs w:val="21"/>
              </w:rPr>
            </w:pPr>
            <w:r>
              <w:rPr>
                <w:rFonts w:hint="eastAsia" w:ascii="宋体" w:hAnsi="宋体" w:eastAsia="宋体"/>
                <w:color w:val="auto"/>
                <w:sz w:val="21"/>
                <w:szCs w:val="21"/>
              </w:rPr>
              <w:t>—</w:t>
            </w:r>
          </w:p>
        </w:tc>
        <w:tc>
          <w:tcPr>
            <w:tcW w:w="850" w:type="dxa"/>
            <w:vAlign w:val="center"/>
          </w:tcPr>
          <w:p>
            <w:pPr>
              <w:jc w:val="center"/>
              <w:rPr>
                <w:rFonts w:ascii="宋体" w:hAnsi="宋体" w:eastAsia="宋体"/>
                <w:color w:val="auto"/>
                <w:sz w:val="21"/>
                <w:szCs w:val="21"/>
              </w:rPr>
            </w:pPr>
            <w:r>
              <w:rPr>
                <w:rFonts w:hint="eastAsia" w:ascii="宋体" w:hAnsi="宋体" w:eastAsia="宋体"/>
                <w:color w:val="auto"/>
                <w:sz w:val="21"/>
                <w:szCs w:val="21"/>
              </w:rPr>
              <w:t>—</w:t>
            </w:r>
          </w:p>
        </w:tc>
        <w:tc>
          <w:tcPr>
            <w:tcW w:w="907" w:type="dxa"/>
            <w:vAlign w:val="center"/>
          </w:tcPr>
          <w:p>
            <w:pPr>
              <w:jc w:val="center"/>
              <w:rPr>
                <w:rFonts w:ascii="宋体" w:hAnsi="宋体" w:eastAsia="宋体"/>
                <w:color w:val="auto"/>
                <w:sz w:val="21"/>
                <w:szCs w:val="21"/>
              </w:rPr>
            </w:pPr>
            <w:r>
              <w:rPr>
                <w:rFonts w:hint="eastAsia" w:ascii="宋体" w:hAnsi="宋体" w:eastAsia="宋体"/>
                <w:color w:val="auto"/>
                <w:sz w:val="21"/>
                <w:szCs w:val="21"/>
              </w:rPr>
              <w:t>√</w:t>
            </w:r>
          </w:p>
        </w:tc>
        <w:tc>
          <w:tcPr>
            <w:tcW w:w="851" w:type="dxa"/>
            <w:vAlign w:val="center"/>
          </w:tcPr>
          <w:p>
            <w:pPr>
              <w:jc w:val="center"/>
              <w:rPr>
                <w:rFonts w:ascii="宋体" w:hAnsi="宋体" w:eastAsia="宋体"/>
                <w:color w:val="auto"/>
                <w:sz w:val="21"/>
                <w:szCs w:val="21"/>
              </w:rPr>
            </w:pPr>
            <w:r>
              <w:rPr>
                <w:rFonts w:hint="eastAsia" w:ascii="宋体" w:hAnsi="宋体" w:eastAsia="宋体"/>
                <w:color w:val="auto"/>
                <w:sz w:val="21"/>
                <w:szCs w:val="21"/>
              </w:rPr>
              <w:t>√</w:t>
            </w:r>
          </w:p>
        </w:tc>
        <w:tc>
          <w:tcPr>
            <w:tcW w:w="850" w:type="dxa"/>
            <w:vAlign w:val="center"/>
          </w:tcPr>
          <w:p>
            <w:pPr>
              <w:jc w:val="center"/>
              <w:rPr>
                <w:rFonts w:ascii="宋体" w:hAnsi="宋体" w:eastAsia="宋体"/>
                <w:color w:val="auto"/>
                <w:sz w:val="21"/>
                <w:szCs w:val="21"/>
                <w:lang w:eastAsia="zh-CN"/>
              </w:rPr>
            </w:pPr>
            <w:r>
              <w:rPr>
                <w:rFonts w:hint="eastAsia" w:ascii="宋体" w:hAnsi="宋体" w:eastAsia="宋体"/>
                <w:color w:val="auto"/>
                <w:sz w:val="21"/>
                <w:szCs w:val="21"/>
              </w:rPr>
              <w:t>—</w:t>
            </w:r>
          </w:p>
        </w:tc>
        <w:tc>
          <w:tcPr>
            <w:tcW w:w="804" w:type="dxa"/>
            <w:vAlign w:val="center"/>
          </w:tcPr>
          <w:p>
            <w:pPr>
              <w:jc w:val="center"/>
              <w:rPr>
                <w:rFonts w:ascii="宋体" w:hAnsi="宋体" w:eastAsia="宋体"/>
                <w:color w:val="auto"/>
                <w:sz w:val="21"/>
                <w:szCs w:val="21"/>
              </w:rPr>
            </w:pPr>
            <w:r>
              <w:rPr>
                <w:rFonts w:hint="eastAsia" w:ascii="宋体" w:hAnsi="宋体" w:eastAsia="宋体"/>
                <w:color w:val="auto"/>
                <w:sz w:val="21"/>
                <w:szCs w:val="21"/>
              </w:rPr>
              <w:t>—</w:t>
            </w:r>
          </w:p>
        </w:tc>
        <w:tc>
          <w:tcPr>
            <w:tcW w:w="709" w:type="dxa"/>
            <w:vAlign w:val="center"/>
          </w:tcPr>
          <w:p>
            <w:pPr>
              <w:jc w:val="center"/>
              <w:rPr>
                <w:rFonts w:ascii="宋体" w:hAnsi="宋体" w:eastAsia="宋体"/>
                <w:color w:val="auto"/>
                <w:sz w:val="21"/>
                <w:szCs w:val="21"/>
              </w:rPr>
            </w:pPr>
            <w:r>
              <w:rPr>
                <w:rFonts w:hint="eastAsia" w:ascii="宋体" w:hAnsi="宋体" w:eastAsia="宋体"/>
                <w:color w:val="auto"/>
                <w:sz w:val="21"/>
                <w:szCs w:val="21"/>
              </w:rPr>
              <w:t>—</w:t>
            </w:r>
          </w:p>
        </w:tc>
        <w:tc>
          <w:tcPr>
            <w:tcW w:w="755" w:type="dxa"/>
            <w:vAlign w:val="center"/>
          </w:tcPr>
          <w:p>
            <w:pPr>
              <w:jc w:val="center"/>
              <w:rPr>
                <w:color w:val="auto"/>
              </w:rPr>
            </w:pPr>
            <w:r>
              <w:rPr>
                <w:rFonts w:hint="eastAsia" w:ascii="宋体" w:hAnsi="宋体" w:eastAsia="宋体"/>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jc w:val="center"/>
        </w:trPr>
        <w:tc>
          <w:tcPr>
            <w:tcW w:w="2484" w:type="dxa"/>
            <w:vAlign w:val="center"/>
          </w:tcPr>
          <w:p>
            <w:pPr>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办公楼</w:t>
            </w:r>
          </w:p>
        </w:tc>
        <w:tc>
          <w:tcPr>
            <w:tcW w:w="850" w:type="dxa"/>
            <w:vAlign w:val="center"/>
          </w:tcPr>
          <w:p>
            <w:pPr>
              <w:jc w:val="center"/>
              <w:rPr>
                <w:rFonts w:ascii="宋体" w:hAnsi="宋体" w:eastAsia="宋体"/>
                <w:color w:val="auto"/>
                <w:sz w:val="21"/>
                <w:szCs w:val="21"/>
              </w:rPr>
            </w:pPr>
            <w:r>
              <w:rPr>
                <w:rFonts w:hint="eastAsia" w:ascii="宋体" w:hAnsi="宋体" w:eastAsia="宋体"/>
                <w:color w:val="auto"/>
                <w:sz w:val="21"/>
                <w:szCs w:val="21"/>
              </w:rPr>
              <w:t>√</w:t>
            </w:r>
          </w:p>
        </w:tc>
        <w:tc>
          <w:tcPr>
            <w:tcW w:w="851" w:type="dxa"/>
            <w:vAlign w:val="center"/>
          </w:tcPr>
          <w:p>
            <w:pPr>
              <w:jc w:val="center"/>
              <w:rPr>
                <w:rFonts w:ascii="宋体" w:hAnsi="宋体" w:eastAsia="宋体"/>
                <w:color w:val="auto"/>
                <w:sz w:val="21"/>
                <w:szCs w:val="21"/>
              </w:rPr>
            </w:pPr>
            <w:r>
              <w:rPr>
                <w:rFonts w:hint="eastAsia" w:ascii="宋体" w:hAnsi="宋体" w:eastAsia="宋体"/>
                <w:color w:val="auto"/>
                <w:sz w:val="21"/>
                <w:szCs w:val="21"/>
              </w:rPr>
              <w:t>—</w:t>
            </w:r>
          </w:p>
        </w:tc>
        <w:tc>
          <w:tcPr>
            <w:tcW w:w="850" w:type="dxa"/>
            <w:vAlign w:val="center"/>
          </w:tcPr>
          <w:p>
            <w:pPr>
              <w:jc w:val="center"/>
              <w:rPr>
                <w:rFonts w:ascii="宋体" w:hAnsi="宋体" w:eastAsia="宋体"/>
                <w:color w:val="auto"/>
                <w:sz w:val="21"/>
                <w:szCs w:val="21"/>
              </w:rPr>
            </w:pPr>
            <w:r>
              <w:rPr>
                <w:rFonts w:hint="eastAsia" w:ascii="宋体" w:hAnsi="宋体" w:eastAsia="宋体"/>
                <w:color w:val="auto"/>
                <w:sz w:val="21"/>
                <w:szCs w:val="21"/>
              </w:rPr>
              <w:t>—</w:t>
            </w:r>
          </w:p>
        </w:tc>
        <w:tc>
          <w:tcPr>
            <w:tcW w:w="907" w:type="dxa"/>
            <w:vAlign w:val="center"/>
          </w:tcPr>
          <w:p>
            <w:pPr>
              <w:jc w:val="center"/>
              <w:rPr>
                <w:rFonts w:ascii="宋体" w:hAnsi="宋体" w:eastAsia="宋体"/>
                <w:color w:val="auto"/>
                <w:sz w:val="21"/>
                <w:szCs w:val="21"/>
              </w:rPr>
            </w:pPr>
            <w:r>
              <w:rPr>
                <w:rFonts w:hint="eastAsia" w:ascii="宋体" w:hAnsi="宋体" w:eastAsia="宋体"/>
                <w:color w:val="auto"/>
                <w:sz w:val="21"/>
                <w:szCs w:val="21"/>
              </w:rPr>
              <w:t>√</w:t>
            </w:r>
          </w:p>
        </w:tc>
        <w:tc>
          <w:tcPr>
            <w:tcW w:w="851" w:type="dxa"/>
            <w:vAlign w:val="center"/>
          </w:tcPr>
          <w:p>
            <w:pPr>
              <w:jc w:val="center"/>
              <w:rPr>
                <w:rFonts w:ascii="宋体" w:hAnsi="宋体" w:eastAsia="宋体"/>
                <w:color w:val="auto"/>
                <w:sz w:val="21"/>
                <w:szCs w:val="21"/>
              </w:rPr>
            </w:pPr>
            <w:r>
              <w:rPr>
                <w:rFonts w:hint="eastAsia" w:ascii="宋体" w:hAnsi="宋体" w:eastAsia="宋体"/>
                <w:color w:val="auto"/>
                <w:sz w:val="21"/>
                <w:szCs w:val="21"/>
              </w:rPr>
              <w:t>√</w:t>
            </w:r>
          </w:p>
        </w:tc>
        <w:tc>
          <w:tcPr>
            <w:tcW w:w="850" w:type="dxa"/>
            <w:vAlign w:val="center"/>
          </w:tcPr>
          <w:p>
            <w:pPr>
              <w:jc w:val="center"/>
              <w:rPr>
                <w:rFonts w:ascii="宋体" w:hAnsi="宋体" w:eastAsia="宋体"/>
                <w:color w:val="auto"/>
                <w:sz w:val="21"/>
                <w:szCs w:val="21"/>
              </w:rPr>
            </w:pPr>
            <w:r>
              <w:rPr>
                <w:rFonts w:hint="eastAsia" w:ascii="宋体" w:hAnsi="宋体" w:eastAsia="宋体"/>
                <w:color w:val="auto"/>
                <w:sz w:val="21"/>
                <w:szCs w:val="21"/>
              </w:rPr>
              <w:t>—</w:t>
            </w:r>
          </w:p>
        </w:tc>
        <w:tc>
          <w:tcPr>
            <w:tcW w:w="804" w:type="dxa"/>
            <w:vAlign w:val="center"/>
          </w:tcPr>
          <w:p>
            <w:pPr>
              <w:jc w:val="center"/>
              <w:rPr>
                <w:rFonts w:ascii="宋体" w:hAnsi="宋体" w:eastAsia="宋体"/>
                <w:color w:val="auto"/>
                <w:sz w:val="21"/>
                <w:szCs w:val="21"/>
              </w:rPr>
            </w:pPr>
            <w:r>
              <w:rPr>
                <w:rFonts w:hint="eastAsia" w:ascii="宋体" w:hAnsi="宋体" w:eastAsia="宋体"/>
                <w:color w:val="auto"/>
                <w:sz w:val="21"/>
                <w:szCs w:val="21"/>
              </w:rPr>
              <w:t>—</w:t>
            </w:r>
          </w:p>
        </w:tc>
        <w:tc>
          <w:tcPr>
            <w:tcW w:w="709" w:type="dxa"/>
            <w:vAlign w:val="center"/>
          </w:tcPr>
          <w:p>
            <w:pPr>
              <w:jc w:val="center"/>
              <w:rPr>
                <w:rFonts w:ascii="宋体" w:hAnsi="宋体" w:eastAsia="宋体"/>
                <w:color w:val="auto"/>
                <w:sz w:val="21"/>
                <w:szCs w:val="21"/>
              </w:rPr>
            </w:pPr>
            <w:r>
              <w:rPr>
                <w:rFonts w:hint="eastAsia" w:ascii="宋体" w:hAnsi="宋体" w:eastAsia="宋体"/>
                <w:color w:val="auto"/>
                <w:sz w:val="21"/>
                <w:szCs w:val="21"/>
              </w:rPr>
              <w:t>—</w:t>
            </w:r>
          </w:p>
        </w:tc>
        <w:tc>
          <w:tcPr>
            <w:tcW w:w="755" w:type="dxa"/>
            <w:vAlign w:val="center"/>
          </w:tcPr>
          <w:p>
            <w:pPr>
              <w:jc w:val="center"/>
              <w:rPr>
                <w:color w:val="auto"/>
              </w:rPr>
            </w:pPr>
            <w:r>
              <w:rPr>
                <w:rFonts w:hint="eastAsia" w:ascii="宋体" w:hAnsi="宋体" w:eastAsia="宋体"/>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2484" w:type="dxa"/>
            <w:vAlign w:val="center"/>
          </w:tcPr>
          <w:p>
            <w:pPr>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宿舍楼</w:t>
            </w:r>
          </w:p>
        </w:tc>
        <w:tc>
          <w:tcPr>
            <w:tcW w:w="850" w:type="dxa"/>
            <w:vAlign w:val="center"/>
          </w:tcPr>
          <w:p>
            <w:pPr>
              <w:jc w:val="center"/>
              <w:rPr>
                <w:rFonts w:ascii="宋体" w:hAnsi="宋体" w:eastAsia="宋体"/>
                <w:color w:val="auto"/>
                <w:sz w:val="21"/>
                <w:szCs w:val="21"/>
              </w:rPr>
            </w:pPr>
            <w:r>
              <w:rPr>
                <w:rFonts w:hint="eastAsia" w:ascii="宋体" w:hAnsi="宋体" w:eastAsia="宋体"/>
                <w:color w:val="auto"/>
                <w:sz w:val="21"/>
                <w:szCs w:val="21"/>
              </w:rPr>
              <w:t>√</w:t>
            </w:r>
          </w:p>
        </w:tc>
        <w:tc>
          <w:tcPr>
            <w:tcW w:w="851" w:type="dxa"/>
            <w:vAlign w:val="center"/>
          </w:tcPr>
          <w:p>
            <w:pPr>
              <w:jc w:val="center"/>
              <w:rPr>
                <w:rFonts w:ascii="宋体" w:hAnsi="宋体" w:eastAsia="宋体"/>
                <w:color w:val="auto"/>
                <w:sz w:val="21"/>
                <w:szCs w:val="21"/>
              </w:rPr>
            </w:pPr>
            <w:r>
              <w:rPr>
                <w:rFonts w:hint="eastAsia" w:ascii="宋体" w:hAnsi="宋体" w:eastAsia="宋体"/>
                <w:color w:val="auto"/>
                <w:sz w:val="21"/>
                <w:szCs w:val="21"/>
              </w:rPr>
              <w:t>—</w:t>
            </w:r>
          </w:p>
        </w:tc>
        <w:tc>
          <w:tcPr>
            <w:tcW w:w="850" w:type="dxa"/>
            <w:vAlign w:val="center"/>
          </w:tcPr>
          <w:p>
            <w:pPr>
              <w:jc w:val="center"/>
              <w:rPr>
                <w:rFonts w:ascii="宋体" w:hAnsi="宋体" w:eastAsia="宋体"/>
                <w:color w:val="auto"/>
                <w:sz w:val="21"/>
                <w:szCs w:val="21"/>
              </w:rPr>
            </w:pPr>
            <w:r>
              <w:rPr>
                <w:rFonts w:hint="eastAsia" w:ascii="宋体" w:hAnsi="宋体" w:eastAsia="宋体"/>
                <w:color w:val="auto"/>
                <w:sz w:val="21"/>
                <w:szCs w:val="21"/>
              </w:rPr>
              <w:t>—</w:t>
            </w:r>
          </w:p>
        </w:tc>
        <w:tc>
          <w:tcPr>
            <w:tcW w:w="907" w:type="dxa"/>
            <w:vAlign w:val="center"/>
          </w:tcPr>
          <w:p>
            <w:pPr>
              <w:jc w:val="center"/>
              <w:rPr>
                <w:rFonts w:ascii="宋体" w:hAnsi="宋体" w:eastAsia="宋体"/>
                <w:color w:val="auto"/>
                <w:sz w:val="21"/>
                <w:szCs w:val="21"/>
              </w:rPr>
            </w:pPr>
            <w:r>
              <w:rPr>
                <w:rFonts w:hint="eastAsia" w:ascii="宋体" w:hAnsi="宋体" w:eastAsia="宋体"/>
                <w:color w:val="auto"/>
                <w:sz w:val="21"/>
                <w:szCs w:val="21"/>
              </w:rPr>
              <w:t>√</w:t>
            </w:r>
          </w:p>
        </w:tc>
        <w:tc>
          <w:tcPr>
            <w:tcW w:w="851" w:type="dxa"/>
            <w:vAlign w:val="center"/>
          </w:tcPr>
          <w:p>
            <w:pPr>
              <w:jc w:val="center"/>
              <w:rPr>
                <w:rFonts w:ascii="宋体" w:hAnsi="宋体" w:eastAsia="宋体"/>
                <w:color w:val="auto"/>
                <w:sz w:val="21"/>
                <w:szCs w:val="21"/>
              </w:rPr>
            </w:pPr>
            <w:r>
              <w:rPr>
                <w:rFonts w:hint="eastAsia" w:ascii="宋体" w:hAnsi="宋体" w:eastAsia="宋体"/>
                <w:color w:val="auto"/>
                <w:sz w:val="21"/>
                <w:szCs w:val="21"/>
              </w:rPr>
              <w:t>√</w:t>
            </w:r>
          </w:p>
        </w:tc>
        <w:tc>
          <w:tcPr>
            <w:tcW w:w="850" w:type="dxa"/>
            <w:vAlign w:val="center"/>
          </w:tcPr>
          <w:p>
            <w:pPr>
              <w:jc w:val="center"/>
              <w:rPr>
                <w:rFonts w:ascii="宋体" w:hAnsi="宋体" w:eastAsia="宋体"/>
                <w:color w:val="auto"/>
                <w:sz w:val="21"/>
                <w:szCs w:val="21"/>
              </w:rPr>
            </w:pPr>
            <w:r>
              <w:rPr>
                <w:rFonts w:hint="eastAsia" w:ascii="宋体" w:hAnsi="宋体" w:eastAsia="宋体"/>
                <w:color w:val="auto"/>
                <w:sz w:val="21"/>
                <w:szCs w:val="21"/>
              </w:rPr>
              <w:t>—</w:t>
            </w:r>
          </w:p>
        </w:tc>
        <w:tc>
          <w:tcPr>
            <w:tcW w:w="804" w:type="dxa"/>
            <w:vAlign w:val="center"/>
          </w:tcPr>
          <w:p>
            <w:pPr>
              <w:jc w:val="center"/>
              <w:rPr>
                <w:rFonts w:ascii="宋体" w:hAnsi="宋体" w:eastAsia="宋体"/>
                <w:color w:val="auto"/>
                <w:sz w:val="21"/>
                <w:szCs w:val="21"/>
              </w:rPr>
            </w:pPr>
            <w:r>
              <w:rPr>
                <w:rFonts w:hint="eastAsia" w:ascii="宋体" w:hAnsi="宋体" w:eastAsia="宋体"/>
                <w:color w:val="auto"/>
                <w:sz w:val="21"/>
                <w:szCs w:val="21"/>
              </w:rPr>
              <w:t>—</w:t>
            </w:r>
          </w:p>
        </w:tc>
        <w:tc>
          <w:tcPr>
            <w:tcW w:w="709" w:type="dxa"/>
            <w:vAlign w:val="center"/>
          </w:tcPr>
          <w:p>
            <w:pPr>
              <w:jc w:val="center"/>
              <w:rPr>
                <w:rFonts w:ascii="宋体" w:hAnsi="宋体" w:eastAsia="宋体"/>
                <w:color w:val="auto"/>
                <w:sz w:val="21"/>
                <w:szCs w:val="21"/>
              </w:rPr>
            </w:pPr>
            <w:r>
              <w:rPr>
                <w:rFonts w:hint="eastAsia" w:ascii="宋体" w:hAnsi="宋体" w:eastAsia="宋体"/>
                <w:color w:val="auto"/>
                <w:sz w:val="21"/>
                <w:szCs w:val="21"/>
              </w:rPr>
              <w:t>—</w:t>
            </w:r>
          </w:p>
        </w:tc>
        <w:tc>
          <w:tcPr>
            <w:tcW w:w="755" w:type="dxa"/>
            <w:vAlign w:val="center"/>
          </w:tcPr>
          <w:p>
            <w:pPr>
              <w:jc w:val="center"/>
              <w:rPr>
                <w:color w:val="auto"/>
              </w:rPr>
            </w:pPr>
            <w:r>
              <w:rPr>
                <w:rFonts w:hint="eastAsia" w:ascii="宋体" w:hAnsi="宋体" w:eastAsia="宋体"/>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jc w:val="center"/>
        </w:trPr>
        <w:tc>
          <w:tcPr>
            <w:tcW w:w="2484" w:type="dxa"/>
            <w:vAlign w:val="center"/>
          </w:tcPr>
          <w:p>
            <w:pPr>
              <w:jc w:val="center"/>
              <w:rPr>
                <w:rFonts w:ascii="宋体" w:hAnsi="宋体" w:eastAsia="宋体"/>
                <w:color w:val="auto"/>
                <w:sz w:val="21"/>
                <w:szCs w:val="21"/>
              </w:rPr>
            </w:pPr>
            <w:r>
              <w:rPr>
                <w:rFonts w:hint="eastAsia" w:ascii="宋体" w:hAnsi="宋体" w:eastAsia="宋体"/>
                <w:color w:val="auto"/>
                <w:sz w:val="21"/>
                <w:szCs w:val="21"/>
              </w:rPr>
              <w:t>消防水池、事故应急池</w:t>
            </w:r>
          </w:p>
        </w:tc>
        <w:tc>
          <w:tcPr>
            <w:tcW w:w="850" w:type="dxa"/>
            <w:vAlign w:val="center"/>
          </w:tcPr>
          <w:p>
            <w:pPr>
              <w:jc w:val="center"/>
              <w:rPr>
                <w:rFonts w:ascii="宋体" w:hAnsi="宋体" w:eastAsia="宋体"/>
                <w:color w:val="auto"/>
                <w:sz w:val="21"/>
                <w:szCs w:val="21"/>
              </w:rPr>
            </w:pPr>
            <w:r>
              <w:rPr>
                <w:rFonts w:hint="eastAsia" w:ascii="宋体" w:hAnsi="宋体" w:eastAsia="宋体"/>
                <w:color w:val="auto"/>
                <w:sz w:val="21"/>
                <w:szCs w:val="21"/>
              </w:rPr>
              <w:t>—</w:t>
            </w:r>
          </w:p>
        </w:tc>
        <w:tc>
          <w:tcPr>
            <w:tcW w:w="851" w:type="dxa"/>
            <w:vAlign w:val="center"/>
          </w:tcPr>
          <w:p>
            <w:pPr>
              <w:jc w:val="center"/>
              <w:rPr>
                <w:rFonts w:ascii="宋体" w:hAnsi="宋体" w:eastAsia="宋体"/>
                <w:color w:val="auto"/>
                <w:sz w:val="21"/>
                <w:szCs w:val="21"/>
              </w:rPr>
            </w:pPr>
            <w:r>
              <w:rPr>
                <w:rFonts w:hint="eastAsia" w:ascii="宋体" w:hAnsi="宋体" w:eastAsia="宋体"/>
                <w:color w:val="auto"/>
                <w:sz w:val="21"/>
                <w:szCs w:val="21"/>
              </w:rPr>
              <w:t>—</w:t>
            </w:r>
          </w:p>
        </w:tc>
        <w:tc>
          <w:tcPr>
            <w:tcW w:w="850" w:type="dxa"/>
            <w:vAlign w:val="center"/>
          </w:tcPr>
          <w:p>
            <w:pPr>
              <w:jc w:val="center"/>
              <w:rPr>
                <w:rFonts w:ascii="宋体" w:hAnsi="宋体" w:eastAsia="宋体"/>
                <w:color w:val="auto"/>
                <w:sz w:val="21"/>
                <w:szCs w:val="21"/>
              </w:rPr>
            </w:pPr>
            <w:r>
              <w:rPr>
                <w:rFonts w:hint="eastAsia" w:ascii="宋体" w:hAnsi="宋体" w:eastAsia="宋体"/>
                <w:color w:val="auto"/>
                <w:sz w:val="21"/>
                <w:szCs w:val="21"/>
              </w:rPr>
              <w:t>—</w:t>
            </w:r>
          </w:p>
        </w:tc>
        <w:tc>
          <w:tcPr>
            <w:tcW w:w="907" w:type="dxa"/>
            <w:vAlign w:val="center"/>
          </w:tcPr>
          <w:p>
            <w:pPr>
              <w:jc w:val="center"/>
              <w:rPr>
                <w:rFonts w:ascii="宋体" w:hAnsi="宋体" w:eastAsia="宋体"/>
                <w:color w:val="auto"/>
                <w:sz w:val="21"/>
                <w:szCs w:val="21"/>
              </w:rPr>
            </w:pPr>
            <w:r>
              <w:rPr>
                <w:rFonts w:hint="eastAsia" w:ascii="宋体" w:hAnsi="宋体" w:eastAsia="宋体"/>
                <w:color w:val="auto"/>
                <w:sz w:val="21"/>
                <w:szCs w:val="21"/>
              </w:rPr>
              <w:t>—</w:t>
            </w:r>
          </w:p>
        </w:tc>
        <w:tc>
          <w:tcPr>
            <w:tcW w:w="851" w:type="dxa"/>
            <w:vAlign w:val="center"/>
          </w:tcPr>
          <w:p>
            <w:pPr>
              <w:jc w:val="center"/>
              <w:rPr>
                <w:rFonts w:ascii="宋体" w:hAnsi="宋体" w:eastAsia="宋体"/>
                <w:color w:val="auto"/>
                <w:sz w:val="21"/>
                <w:szCs w:val="21"/>
              </w:rPr>
            </w:pPr>
            <w:r>
              <w:rPr>
                <w:rFonts w:hint="eastAsia" w:ascii="宋体" w:hAnsi="宋体" w:eastAsia="宋体"/>
                <w:color w:val="auto"/>
                <w:sz w:val="21"/>
                <w:szCs w:val="21"/>
              </w:rPr>
              <w:t>—</w:t>
            </w:r>
          </w:p>
        </w:tc>
        <w:tc>
          <w:tcPr>
            <w:tcW w:w="850" w:type="dxa"/>
            <w:vAlign w:val="center"/>
          </w:tcPr>
          <w:p>
            <w:pPr>
              <w:jc w:val="center"/>
              <w:rPr>
                <w:rFonts w:ascii="宋体" w:hAnsi="宋体" w:eastAsia="宋体"/>
                <w:color w:val="auto"/>
                <w:sz w:val="21"/>
                <w:szCs w:val="21"/>
              </w:rPr>
            </w:pPr>
            <w:r>
              <w:rPr>
                <w:rFonts w:hint="eastAsia" w:ascii="宋体" w:hAnsi="宋体" w:eastAsia="宋体"/>
                <w:color w:val="auto"/>
                <w:sz w:val="21"/>
                <w:szCs w:val="21"/>
              </w:rPr>
              <w:t>—</w:t>
            </w:r>
          </w:p>
        </w:tc>
        <w:tc>
          <w:tcPr>
            <w:tcW w:w="804" w:type="dxa"/>
            <w:vAlign w:val="center"/>
          </w:tcPr>
          <w:p>
            <w:pPr>
              <w:jc w:val="center"/>
              <w:rPr>
                <w:rFonts w:ascii="宋体" w:hAnsi="宋体" w:eastAsia="宋体"/>
                <w:color w:val="auto"/>
                <w:sz w:val="21"/>
                <w:szCs w:val="21"/>
              </w:rPr>
            </w:pPr>
            <w:r>
              <w:rPr>
                <w:rFonts w:hint="eastAsia" w:ascii="宋体" w:hAnsi="宋体" w:eastAsia="宋体"/>
                <w:color w:val="auto"/>
                <w:sz w:val="21"/>
                <w:szCs w:val="21"/>
              </w:rPr>
              <w:t>√</w:t>
            </w:r>
          </w:p>
        </w:tc>
        <w:tc>
          <w:tcPr>
            <w:tcW w:w="709" w:type="dxa"/>
            <w:vAlign w:val="center"/>
          </w:tcPr>
          <w:p>
            <w:pPr>
              <w:jc w:val="center"/>
              <w:rPr>
                <w:rFonts w:ascii="宋体" w:hAnsi="宋体" w:eastAsia="宋体"/>
                <w:color w:val="auto"/>
                <w:sz w:val="21"/>
                <w:szCs w:val="21"/>
              </w:rPr>
            </w:pPr>
            <w:r>
              <w:rPr>
                <w:rFonts w:hint="eastAsia" w:ascii="宋体" w:hAnsi="宋体" w:eastAsia="宋体"/>
                <w:color w:val="auto"/>
                <w:sz w:val="21"/>
                <w:szCs w:val="21"/>
              </w:rPr>
              <w:t>—</w:t>
            </w:r>
          </w:p>
        </w:tc>
        <w:tc>
          <w:tcPr>
            <w:tcW w:w="755" w:type="dxa"/>
            <w:vAlign w:val="center"/>
          </w:tcPr>
          <w:p>
            <w:pPr>
              <w:jc w:val="center"/>
              <w:rPr>
                <w:rFonts w:ascii="宋体" w:hAnsi="宋体" w:eastAsia="宋体"/>
                <w:color w:val="auto"/>
                <w:sz w:val="21"/>
                <w:szCs w:val="21"/>
              </w:rPr>
            </w:pPr>
            <w:r>
              <w:rPr>
                <w:rFonts w:hint="eastAsia" w:ascii="宋体" w:hAnsi="宋体" w:eastAsia="宋体"/>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jc w:val="center"/>
        </w:trPr>
        <w:tc>
          <w:tcPr>
            <w:tcW w:w="2484" w:type="dxa"/>
            <w:vAlign w:val="center"/>
          </w:tcPr>
          <w:p>
            <w:pPr>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厂区道路</w:t>
            </w:r>
          </w:p>
        </w:tc>
        <w:tc>
          <w:tcPr>
            <w:tcW w:w="850" w:type="dxa"/>
            <w:vAlign w:val="center"/>
          </w:tcPr>
          <w:p>
            <w:pPr>
              <w:jc w:val="center"/>
              <w:rPr>
                <w:rFonts w:ascii="宋体" w:hAnsi="宋体" w:eastAsia="宋体"/>
                <w:color w:val="auto"/>
                <w:sz w:val="21"/>
                <w:szCs w:val="21"/>
              </w:rPr>
            </w:pPr>
            <w:r>
              <w:rPr>
                <w:rFonts w:hint="eastAsia" w:ascii="宋体" w:hAnsi="宋体" w:eastAsia="宋体"/>
                <w:color w:val="auto"/>
                <w:sz w:val="21"/>
                <w:szCs w:val="21"/>
              </w:rPr>
              <w:t>√</w:t>
            </w:r>
          </w:p>
        </w:tc>
        <w:tc>
          <w:tcPr>
            <w:tcW w:w="851" w:type="dxa"/>
            <w:vAlign w:val="center"/>
          </w:tcPr>
          <w:p>
            <w:pPr>
              <w:jc w:val="center"/>
              <w:rPr>
                <w:color w:val="auto"/>
              </w:rPr>
            </w:pPr>
            <w:r>
              <w:rPr>
                <w:rFonts w:hint="eastAsia" w:ascii="宋体" w:hAnsi="宋体" w:eastAsia="宋体"/>
                <w:color w:val="auto"/>
                <w:sz w:val="21"/>
                <w:szCs w:val="21"/>
              </w:rPr>
              <w:t>—</w:t>
            </w:r>
          </w:p>
        </w:tc>
        <w:tc>
          <w:tcPr>
            <w:tcW w:w="850" w:type="dxa"/>
            <w:vAlign w:val="center"/>
          </w:tcPr>
          <w:p>
            <w:pPr>
              <w:jc w:val="center"/>
              <w:rPr>
                <w:color w:val="auto"/>
              </w:rPr>
            </w:pPr>
            <w:r>
              <w:rPr>
                <w:rFonts w:hint="eastAsia" w:ascii="宋体" w:hAnsi="宋体" w:eastAsia="宋体"/>
                <w:color w:val="auto"/>
                <w:sz w:val="21"/>
                <w:szCs w:val="21"/>
              </w:rPr>
              <w:t>—</w:t>
            </w:r>
          </w:p>
        </w:tc>
        <w:tc>
          <w:tcPr>
            <w:tcW w:w="907" w:type="dxa"/>
            <w:vAlign w:val="center"/>
          </w:tcPr>
          <w:p>
            <w:pPr>
              <w:jc w:val="center"/>
              <w:rPr>
                <w:color w:val="auto"/>
              </w:rPr>
            </w:pPr>
            <w:r>
              <w:rPr>
                <w:rFonts w:hint="eastAsia" w:ascii="宋体" w:hAnsi="宋体" w:eastAsia="宋体"/>
                <w:color w:val="auto"/>
                <w:sz w:val="21"/>
                <w:szCs w:val="21"/>
              </w:rPr>
              <w:t>—</w:t>
            </w:r>
          </w:p>
        </w:tc>
        <w:tc>
          <w:tcPr>
            <w:tcW w:w="851" w:type="dxa"/>
            <w:vAlign w:val="center"/>
          </w:tcPr>
          <w:p>
            <w:pPr>
              <w:jc w:val="center"/>
              <w:rPr>
                <w:color w:val="auto"/>
              </w:rPr>
            </w:pPr>
            <w:r>
              <w:rPr>
                <w:rFonts w:hint="eastAsia" w:ascii="宋体" w:hAnsi="宋体" w:eastAsia="宋体"/>
                <w:color w:val="auto"/>
                <w:sz w:val="21"/>
                <w:szCs w:val="21"/>
              </w:rPr>
              <w:t>—</w:t>
            </w:r>
          </w:p>
        </w:tc>
        <w:tc>
          <w:tcPr>
            <w:tcW w:w="850" w:type="dxa"/>
            <w:vAlign w:val="center"/>
          </w:tcPr>
          <w:p>
            <w:pPr>
              <w:jc w:val="center"/>
              <w:rPr>
                <w:color w:val="auto"/>
              </w:rPr>
            </w:pPr>
            <w:r>
              <w:rPr>
                <w:rFonts w:hint="eastAsia" w:ascii="宋体" w:hAnsi="宋体" w:eastAsia="宋体"/>
                <w:color w:val="auto"/>
                <w:sz w:val="21"/>
                <w:szCs w:val="21"/>
              </w:rPr>
              <w:t>—</w:t>
            </w:r>
          </w:p>
        </w:tc>
        <w:tc>
          <w:tcPr>
            <w:tcW w:w="804" w:type="dxa"/>
            <w:vAlign w:val="center"/>
          </w:tcPr>
          <w:p>
            <w:pPr>
              <w:jc w:val="center"/>
              <w:rPr>
                <w:color w:val="auto"/>
              </w:rPr>
            </w:pPr>
            <w:r>
              <w:rPr>
                <w:rFonts w:hint="eastAsia" w:ascii="宋体" w:hAnsi="宋体" w:eastAsia="宋体"/>
                <w:color w:val="auto"/>
                <w:sz w:val="21"/>
                <w:szCs w:val="21"/>
              </w:rPr>
              <w:t>—</w:t>
            </w:r>
          </w:p>
        </w:tc>
        <w:tc>
          <w:tcPr>
            <w:tcW w:w="709" w:type="dxa"/>
            <w:vAlign w:val="center"/>
          </w:tcPr>
          <w:p>
            <w:pPr>
              <w:jc w:val="center"/>
              <w:rPr>
                <w:color w:val="auto"/>
              </w:rPr>
            </w:pPr>
            <w:r>
              <w:rPr>
                <w:rFonts w:hint="eastAsia" w:ascii="宋体" w:hAnsi="宋体" w:eastAsia="宋体"/>
                <w:color w:val="auto"/>
                <w:sz w:val="21"/>
                <w:szCs w:val="21"/>
              </w:rPr>
              <w:t>—</w:t>
            </w:r>
          </w:p>
        </w:tc>
        <w:tc>
          <w:tcPr>
            <w:tcW w:w="755" w:type="dxa"/>
            <w:vAlign w:val="center"/>
          </w:tcPr>
          <w:p>
            <w:pPr>
              <w:jc w:val="center"/>
              <w:rPr>
                <w:rFonts w:ascii="宋体" w:hAnsi="宋体" w:eastAsia="宋体"/>
                <w:color w:val="auto"/>
                <w:sz w:val="21"/>
                <w:szCs w:val="21"/>
              </w:rPr>
            </w:pPr>
            <w:r>
              <w:rPr>
                <w:rFonts w:hint="eastAsia" w:ascii="宋体" w:hAnsi="宋体" w:eastAsia="宋体"/>
                <w:color w:val="auto"/>
                <w:sz w:val="21"/>
                <w:szCs w:val="21"/>
              </w:rPr>
              <w:t>√</w:t>
            </w:r>
          </w:p>
        </w:tc>
      </w:tr>
    </w:tbl>
    <w:p>
      <w:pPr>
        <w:spacing w:line="560" w:lineRule="exact"/>
        <w:jc w:val="both"/>
        <w:outlineLvl w:val="1"/>
        <w:rPr>
          <w:rFonts w:ascii="楷体_GB2312" w:hAnsi="Times New Roman" w:eastAsia="楷体_GB2312" w:cs="Times New Roman"/>
          <w:bCs/>
          <w:color w:val="auto"/>
          <w:kern w:val="2"/>
          <w:sz w:val="32"/>
          <w:lang w:val="en-US" w:eastAsia="zh-CN" w:bidi="ar-SA"/>
        </w:rPr>
      </w:pPr>
      <w:bookmarkStart w:id="191" w:name="_Toc40045941"/>
      <w:r>
        <w:rPr>
          <w:rFonts w:ascii="楷体_GB2312" w:hAnsi="Times New Roman" w:eastAsia="楷体_GB2312" w:cs="Times New Roman"/>
          <w:bCs/>
          <w:color w:val="auto"/>
          <w:kern w:val="2"/>
          <w:sz w:val="32"/>
          <w:lang w:val="en-US" w:eastAsia="zh-CN" w:bidi="ar-SA"/>
        </w:rPr>
        <w:t>附件1.</w:t>
      </w:r>
      <w:r>
        <w:rPr>
          <w:rFonts w:hint="eastAsia" w:ascii="楷体_GB2312" w:hAnsi="Times New Roman" w:eastAsia="楷体_GB2312" w:cs="Times New Roman"/>
          <w:bCs/>
          <w:color w:val="auto"/>
          <w:kern w:val="2"/>
          <w:sz w:val="32"/>
          <w:lang w:val="en-US" w:eastAsia="zh-CN" w:bidi="ar-SA"/>
        </w:rPr>
        <w:t>5</w:t>
      </w:r>
      <w:r>
        <w:rPr>
          <w:rFonts w:ascii="楷体_GB2312" w:hAnsi="Times New Roman" w:eastAsia="楷体_GB2312" w:cs="Times New Roman"/>
          <w:bCs/>
          <w:color w:val="auto"/>
          <w:kern w:val="2"/>
          <w:sz w:val="32"/>
          <w:lang w:val="en-US" w:eastAsia="zh-CN" w:bidi="ar-SA"/>
        </w:rPr>
        <w:t>危险化学品重大危险源辨识</w:t>
      </w:r>
      <w:bookmarkEnd w:id="191"/>
    </w:p>
    <w:p>
      <w:pPr>
        <w:spacing w:line="560" w:lineRule="exact"/>
        <w:ind w:firstLine="425" w:firstLineChars="152"/>
        <w:rPr>
          <w:rFonts w:ascii="宋体" w:hAnsi="宋体" w:eastAsia="宋体"/>
          <w:color w:val="auto"/>
          <w:sz w:val="28"/>
          <w:szCs w:val="28"/>
          <w:lang w:eastAsia="zh-CN"/>
        </w:rPr>
      </w:pPr>
      <w:r>
        <w:rPr>
          <w:rFonts w:ascii="宋体" w:hAnsi="宋体" w:eastAsia="宋体"/>
          <w:color w:val="auto"/>
          <w:sz w:val="28"/>
          <w:szCs w:val="28"/>
        </w:rPr>
        <w:t>依据《危险化学品重大危险源辨识》(GB18218-2018)可知，危险化学品重大危险源辨识是长期地或临时地生产、</w:t>
      </w:r>
      <w:r>
        <w:rPr>
          <w:rFonts w:hint="eastAsia" w:ascii="宋体" w:hAnsi="宋体" w:eastAsia="宋体"/>
          <w:color w:val="auto"/>
          <w:sz w:val="28"/>
          <w:szCs w:val="28"/>
        </w:rPr>
        <w:t>储存</w:t>
      </w:r>
      <w:r>
        <w:rPr>
          <w:rFonts w:ascii="宋体" w:hAnsi="宋体" w:eastAsia="宋体"/>
          <w:color w:val="auto"/>
          <w:sz w:val="28"/>
          <w:szCs w:val="28"/>
        </w:rPr>
        <w:t>、使用</w:t>
      </w:r>
      <w:r>
        <w:rPr>
          <w:rFonts w:hint="eastAsia" w:ascii="宋体" w:hAnsi="宋体" w:eastAsia="宋体"/>
          <w:color w:val="auto"/>
          <w:sz w:val="28"/>
          <w:szCs w:val="28"/>
        </w:rPr>
        <w:t>和经营</w:t>
      </w:r>
      <w:r>
        <w:rPr>
          <w:rFonts w:ascii="宋体" w:hAnsi="宋体" w:eastAsia="宋体"/>
          <w:color w:val="auto"/>
          <w:sz w:val="28"/>
          <w:szCs w:val="28"/>
        </w:rPr>
        <w:t>危险化学品，且危险化学品的数量等于或超过临界量的单元。单元是</w:t>
      </w:r>
      <w:r>
        <w:rPr>
          <w:rFonts w:hint="eastAsia" w:ascii="宋体" w:hAnsi="宋体" w:eastAsia="宋体"/>
          <w:color w:val="auto"/>
          <w:sz w:val="28"/>
          <w:szCs w:val="28"/>
        </w:rPr>
        <w:t>指涉及危险化学品的生产、储存装置</w:t>
      </w:r>
      <w:r>
        <w:rPr>
          <w:rFonts w:ascii="宋体" w:hAnsi="宋体" w:eastAsia="宋体"/>
          <w:color w:val="auto"/>
          <w:sz w:val="28"/>
          <w:szCs w:val="28"/>
        </w:rPr>
        <w:t>、设施或场所，</w:t>
      </w:r>
      <w:r>
        <w:rPr>
          <w:rFonts w:hint="eastAsia" w:ascii="宋体" w:hAnsi="宋体" w:eastAsia="宋体"/>
          <w:color w:val="auto"/>
          <w:sz w:val="28"/>
          <w:szCs w:val="28"/>
        </w:rPr>
        <w:t>分为生产单元和储存单元。</w:t>
      </w:r>
    </w:p>
    <w:p>
      <w:pPr>
        <w:spacing w:line="560" w:lineRule="exact"/>
        <w:ind w:firstLine="425" w:firstLineChars="152"/>
        <w:rPr>
          <w:rFonts w:ascii="宋体" w:hAnsi="宋体" w:eastAsia="宋体"/>
          <w:color w:val="auto"/>
          <w:sz w:val="28"/>
          <w:szCs w:val="28"/>
          <w:lang w:eastAsia="zh-CN"/>
        </w:rPr>
      </w:pPr>
      <w:r>
        <w:rPr>
          <w:rFonts w:ascii="宋体" w:hAnsi="宋体" w:eastAsia="宋体"/>
          <w:color w:val="auto"/>
          <w:sz w:val="28"/>
          <w:szCs w:val="28"/>
        </w:rPr>
        <w:t>该公司</w:t>
      </w:r>
      <w:r>
        <w:rPr>
          <w:rFonts w:hint="eastAsia" w:ascii="宋体" w:hAnsi="宋体" w:eastAsia="宋体"/>
          <w:color w:val="auto"/>
          <w:sz w:val="28"/>
          <w:szCs w:val="28"/>
        </w:rPr>
        <w:t>生产过程中涉及的危险化学品有二甲苯异构体混合物、乙酸正丁酯、环己酮、苯乙烯[抑制了的]、乙酸乙酯、醇酸树脂、硝化纤维素溶液、不饱和聚酯树脂、正丁醇、混丙醇、乙酸甲酯、乙酸仲丁酯、N,N-二甲基甲酰胺</w:t>
      </w:r>
      <w:r>
        <w:rPr>
          <w:rFonts w:hint="eastAsia" w:ascii="宋体" w:hAnsi="宋体" w:eastAsia="宋体"/>
          <w:color w:val="auto"/>
          <w:sz w:val="28"/>
          <w:szCs w:val="28"/>
          <w:lang w:eastAsia="zh-CN"/>
        </w:rPr>
        <w:t>、</w:t>
      </w:r>
      <w:r>
        <w:rPr>
          <w:rFonts w:hint="eastAsia" w:ascii="宋体" w:hAnsi="宋体" w:eastAsia="宋体"/>
          <w:color w:val="auto"/>
          <w:sz w:val="28"/>
          <w:szCs w:val="28"/>
        </w:rPr>
        <w:t>丙二醇甲醚乙酸酯、氨酯漆稀释剂、聚酯树脂清漆、硝基清漆、硝基漆稀释剂</w:t>
      </w:r>
      <w:r>
        <w:rPr>
          <w:rFonts w:ascii="宋体" w:hAnsi="宋体" w:eastAsia="宋体"/>
          <w:color w:val="auto"/>
          <w:sz w:val="28"/>
          <w:szCs w:val="28"/>
        </w:rPr>
        <w:t>等；对照《危险化学品重大危险源辨识》(GB18218-2018)，对该公司的危险化学品进行重大危险源辨识，具体辨识见下表。</w:t>
      </w:r>
    </w:p>
    <w:p>
      <w:pPr>
        <w:spacing w:line="560" w:lineRule="exact"/>
        <w:jc w:val="center"/>
        <w:rPr>
          <w:rFonts w:ascii="宋体" w:hAnsi="宋体" w:eastAsia="PMingLiU"/>
          <w:b/>
          <w:color w:val="auto"/>
        </w:rPr>
      </w:pPr>
      <w:r>
        <w:rPr>
          <w:rFonts w:hint="eastAsia" w:ascii="宋体" w:hAnsi="宋体" w:eastAsia="宋体"/>
          <w:b/>
          <w:color w:val="auto"/>
        </w:rPr>
        <w:t>附表1</w:t>
      </w:r>
      <w:r>
        <w:rPr>
          <w:rFonts w:ascii="宋体" w:hAnsi="宋体" w:eastAsia="宋体"/>
          <w:b/>
          <w:color w:val="auto"/>
        </w:rPr>
        <w:t>-2</w:t>
      </w:r>
      <w:r>
        <w:rPr>
          <w:rFonts w:hint="eastAsia" w:ascii="宋体" w:hAnsi="宋体" w:eastAsia="宋体"/>
          <w:b/>
          <w:color w:val="auto"/>
          <w:lang w:eastAsia="zh-CN"/>
        </w:rPr>
        <w:t>6</w:t>
      </w:r>
      <w:r>
        <w:rPr>
          <w:rFonts w:hint="eastAsia" w:ascii="宋体" w:hAnsi="宋体" w:eastAsia="宋体"/>
          <w:b/>
          <w:color w:val="auto"/>
        </w:rPr>
        <w:t xml:space="preserve"> </w:t>
      </w:r>
      <w:r>
        <w:rPr>
          <w:rFonts w:hint="eastAsia" w:ascii="宋体" w:hAnsi="宋体" w:eastAsia="宋体"/>
          <w:b/>
          <w:color w:val="auto"/>
          <w:lang w:eastAsia="zh-CN"/>
        </w:rPr>
        <w:t>甲类仓库</w:t>
      </w:r>
      <w:r>
        <w:rPr>
          <w:rFonts w:hint="eastAsia" w:ascii="宋体" w:hAnsi="宋体" w:eastAsia="宋体"/>
          <w:b/>
          <w:color w:val="auto"/>
        </w:rPr>
        <w:t>危险化学品重大危险源辨识表</w:t>
      </w:r>
    </w:p>
    <w:tbl>
      <w:tblPr>
        <w:tblStyle w:val="45"/>
        <w:tblW w:w="9072"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040"/>
        <w:gridCol w:w="2678"/>
        <w:gridCol w:w="1819"/>
        <w:gridCol w:w="1804"/>
        <w:gridCol w:w="1731"/>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66" w:hRule="atLeast"/>
          <w:tblHeader/>
          <w:jc w:val="center"/>
        </w:trPr>
        <w:tc>
          <w:tcPr>
            <w:tcW w:w="1040" w:type="dxa"/>
            <w:vAlign w:val="center"/>
          </w:tcPr>
          <w:p>
            <w:pPr>
              <w:spacing w:line="360" w:lineRule="auto"/>
              <w:jc w:val="center"/>
              <w:rPr>
                <w:rFonts w:ascii="宋体" w:hAnsi="宋体" w:eastAsia="宋体"/>
                <w:b/>
                <w:color w:val="auto"/>
                <w:sz w:val="21"/>
                <w:szCs w:val="21"/>
              </w:rPr>
            </w:pPr>
            <w:r>
              <w:rPr>
                <w:rFonts w:hint="eastAsia" w:ascii="宋体" w:hAnsi="宋体" w:eastAsia="宋体"/>
                <w:b/>
                <w:color w:val="auto"/>
                <w:sz w:val="21"/>
                <w:szCs w:val="21"/>
              </w:rPr>
              <w:t>序号</w:t>
            </w:r>
          </w:p>
        </w:tc>
        <w:tc>
          <w:tcPr>
            <w:tcW w:w="2678" w:type="dxa"/>
            <w:vAlign w:val="center"/>
          </w:tcPr>
          <w:p>
            <w:pPr>
              <w:spacing w:line="360" w:lineRule="auto"/>
              <w:jc w:val="center"/>
              <w:rPr>
                <w:rFonts w:ascii="宋体" w:hAnsi="宋体" w:eastAsia="宋体"/>
                <w:b/>
                <w:color w:val="auto"/>
                <w:sz w:val="21"/>
                <w:szCs w:val="21"/>
              </w:rPr>
            </w:pPr>
            <w:r>
              <w:rPr>
                <w:rFonts w:hint="eastAsia" w:ascii="宋体" w:hAnsi="宋体" w:eastAsia="宋体"/>
                <w:b/>
                <w:color w:val="auto"/>
                <w:sz w:val="21"/>
                <w:szCs w:val="21"/>
              </w:rPr>
              <w:t>物质名称</w:t>
            </w:r>
          </w:p>
        </w:tc>
        <w:tc>
          <w:tcPr>
            <w:tcW w:w="1819" w:type="dxa"/>
            <w:vAlign w:val="center"/>
          </w:tcPr>
          <w:p>
            <w:pPr>
              <w:spacing w:line="360" w:lineRule="auto"/>
              <w:jc w:val="center"/>
              <w:rPr>
                <w:rFonts w:ascii="宋体" w:hAnsi="宋体" w:eastAsia="宋体"/>
                <w:b/>
                <w:color w:val="auto"/>
                <w:sz w:val="21"/>
                <w:szCs w:val="21"/>
              </w:rPr>
            </w:pPr>
            <w:r>
              <w:rPr>
                <w:rFonts w:hint="eastAsia" w:ascii="宋体" w:hAnsi="宋体" w:eastAsia="宋体"/>
                <w:b/>
                <w:color w:val="auto"/>
                <w:sz w:val="21"/>
                <w:szCs w:val="21"/>
              </w:rPr>
              <w:t>临界量</w:t>
            </w:r>
          </w:p>
          <w:p>
            <w:pPr>
              <w:spacing w:line="360" w:lineRule="auto"/>
              <w:jc w:val="center"/>
              <w:rPr>
                <w:rFonts w:ascii="宋体" w:hAnsi="宋体" w:eastAsia="宋体"/>
                <w:b/>
                <w:color w:val="auto"/>
                <w:sz w:val="21"/>
                <w:szCs w:val="21"/>
              </w:rPr>
            </w:pPr>
            <w:r>
              <w:rPr>
                <w:rFonts w:hint="eastAsia" w:ascii="宋体" w:hAnsi="宋体" w:eastAsia="宋体"/>
                <w:b/>
                <w:color w:val="auto"/>
                <w:sz w:val="21"/>
                <w:szCs w:val="21"/>
              </w:rPr>
              <w:t>Q（t）</w:t>
            </w:r>
          </w:p>
        </w:tc>
        <w:tc>
          <w:tcPr>
            <w:tcW w:w="1804" w:type="dxa"/>
            <w:vAlign w:val="center"/>
          </w:tcPr>
          <w:p>
            <w:pPr>
              <w:spacing w:line="360" w:lineRule="auto"/>
              <w:jc w:val="center"/>
              <w:rPr>
                <w:rFonts w:ascii="宋体" w:hAnsi="宋体" w:eastAsia="宋体"/>
                <w:b/>
                <w:color w:val="auto"/>
                <w:sz w:val="21"/>
                <w:szCs w:val="21"/>
              </w:rPr>
            </w:pPr>
            <w:r>
              <w:rPr>
                <w:rFonts w:hint="eastAsia" w:ascii="宋体" w:hAnsi="宋体" w:eastAsia="宋体"/>
                <w:b/>
                <w:color w:val="auto"/>
                <w:sz w:val="21"/>
                <w:szCs w:val="21"/>
                <w:lang w:eastAsia="zh-CN"/>
              </w:rPr>
              <w:t>最大设计储存量</w:t>
            </w:r>
            <w:r>
              <w:rPr>
                <w:rFonts w:hint="eastAsia" w:ascii="宋体" w:hAnsi="宋体" w:eastAsia="宋体"/>
                <w:b/>
                <w:color w:val="auto"/>
                <w:sz w:val="21"/>
                <w:szCs w:val="21"/>
                <w:lang w:val="en-US" w:eastAsia="zh-CN"/>
              </w:rPr>
              <w:t>q</w:t>
            </w:r>
            <w:r>
              <w:rPr>
                <w:rFonts w:hint="eastAsia" w:ascii="宋体" w:hAnsi="宋体" w:eastAsia="宋体"/>
                <w:b/>
                <w:color w:val="auto"/>
                <w:sz w:val="21"/>
                <w:szCs w:val="21"/>
                <w:lang w:eastAsia="zh-CN"/>
              </w:rPr>
              <w:t>（</w:t>
            </w:r>
            <w:r>
              <w:rPr>
                <w:rFonts w:hint="eastAsia" w:ascii="宋体" w:hAnsi="宋体" w:eastAsia="宋体"/>
                <w:b/>
                <w:color w:val="auto"/>
                <w:sz w:val="21"/>
                <w:szCs w:val="21"/>
                <w:lang w:val="en-US" w:eastAsia="zh-CN"/>
              </w:rPr>
              <w:t>t</w:t>
            </w:r>
            <w:r>
              <w:rPr>
                <w:rFonts w:hint="eastAsia" w:ascii="宋体" w:hAnsi="宋体" w:eastAsia="宋体"/>
                <w:b/>
                <w:color w:val="auto"/>
                <w:sz w:val="21"/>
                <w:szCs w:val="21"/>
                <w:lang w:eastAsia="zh-CN"/>
              </w:rPr>
              <w:t>）</w:t>
            </w:r>
          </w:p>
        </w:tc>
        <w:tc>
          <w:tcPr>
            <w:tcW w:w="1731" w:type="dxa"/>
            <w:vAlign w:val="center"/>
          </w:tcPr>
          <w:p>
            <w:pPr>
              <w:spacing w:line="360" w:lineRule="auto"/>
              <w:jc w:val="center"/>
              <w:rPr>
                <w:rFonts w:ascii="宋体" w:hAnsi="宋体" w:eastAsia="宋体"/>
                <w:b/>
                <w:color w:val="auto"/>
                <w:sz w:val="21"/>
                <w:szCs w:val="21"/>
              </w:rPr>
            </w:pPr>
            <w:r>
              <w:rPr>
                <w:rFonts w:hint="eastAsia" w:ascii="宋体" w:hAnsi="宋体" w:eastAsia="宋体"/>
                <w:b/>
                <w:color w:val="auto"/>
                <w:sz w:val="21"/>
                <w:szCs w:val="21"/>
              </w:rPr>
              <w:t>q/Q</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040" w:type="dxa"/>
            <w:vAlign w:val="center"/>
          </w:tcPr>
          <w:p>
            <w:pPr>
              <w:spacing w:line="360" w:lineRule="auto"/>
              <w:jc w:val="center"/>
              <w:rPr>
                <w:rFonts w:ascii="宋体" w:hAnsi="宋体" w:eastAsia="宋体"/>
                <w:color w:val="auto"/>
                <w:sz w:val="21"/>
                <w:szCs w:val="21"/>
              </w:rPr>
            </w:pPr>
            <w:r>
              <w:rPr>
                <w:rFonts w:hint="eastAsia" w:ascii="宋体" w:hAnsi="宋体" w:eastAsia="宋体"/>
                <w:color w:val="auto"/>
                <w:sz w:val="21"/>
                <w:szCs w:val="21"/>
              </w:rPr>
              <w:t>1</w:t>
            </w:r>
          </w:p>
        </w:tc>
        <w:tc>
          <w:tcPr>
            <w:tcW w:w="2678" w:type="dxa"/>
            <w:vAlign w:val="center"/>
          </w:tcPr>
          <w:p>
            <w:pPr>
              <w:spacing w:line="360" w:lineRule="auto"/>
              <w:jc w:val="center"/>
              <w:rPr>
                <w:rFonts w:ascii="宋体" w:hAnsi="宋体" w:eastAsia="宋体"/>
                <w:color w:val="auto"/>
                <w:sz w:val="21"/>
                <w:szCs w:val="21"/>
              </w:rPr>
            </w:pPr>
            <w:r>
              <w:rPr>
                <w:rFonts w:hint="eastAsia" w:ascii="宋体" w:hAnsi="宋体" w:eastAsia="宋体"/>
                <w:color w:val="auto"/>
                <w:sz w:val="21"/>
                <w:szCs w:val="21"/>
              </w:rPr>
              <w:t>乙酸乙酯</w:t>
            </w:r>
          </w:p>
        </w:tc>
        <w:tc>
          <w:tcPr>
            <w:tcW w:w="1819" w:type="dxa"/>
            <w:vMerge w:val="restart"/>
            <w:vAlign w:val="center"/>
          </w:tcPr>
          <w:p>
            <w:pPr>
              <w:spacing w:line="360" w:lineRule="auto"/>
              <w:jc w:val="center"/>
              <w:rPr>
                <w:rFonts w:ascii="宋体" w:hAnsi="宋体" w:eastAsia="宋体"/>
                <w:color w:val="auto"/>
                <w:sz w:val="21"/>
                <w:szCs w:val="21"/>
              </w:rPr>
            </w:pPr>
            <w:r>
              <w:rPr>
                <w:rFonts w:hint="eastAsia" w:ascii="宋体" w:hAnsi="宋体" w:eastAsia="宋体"/>
                <w:color w:val="auto"/>
                <w:sz w:val="21"/>
                <w:szCs w:val="21"/>
              </w:rPr>
              <w:t>500</w:t>
            </w:r>
          </w:p>
        </w:tc>
        <w:tc>
          <w:tcPr>
            <w:tcW w:w="1804" w:type="dxa"/>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10</w:t>
            </w:r>
          </w:p>
        </w:tc>
        <w:tc>
          <w:tcPr>
            <w:tcW w:w="1731" w:type="dxa"/>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0.02</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040" w:type="dxa"/>
            <w:vAlign w:val="center"/>
          </w:tcPr>
          <w:p>
            <w:pPr>
              <w:spacing w:line="360" w:lineRule="auto"/>
              <w:jc w:val="center"/>
              <w:rPr>
                <w:rFonts w:ascii="宋体" w:hAnsi="宋体" w:eastAsia="宋体"/>
                <w:color w:val="auto"/>
                <w:sz w:val="21"/>
                <w:szCs w:val="21"/>
              </w:rPr>
            </w:pPr>
            <w:r>
              <w:rPr>
                <w:rFonts w:hint="eastAsia" w:ascii="宋体" w:hAnsi="宋体" w:eastAsia="宋体"/>
                <w:color w:val="auto"/>
                <w:sz w:val="21"/>
                <w:szCs w:val="21"/>
              </w:rPr>
              <w:t>2</w:t>
            </w:r>
          </w:p>
        </w:tc>
        <w:tc>
          <w:tcPr>
            <w:tcW w:w="2678" w:type="dxa"/>
            <w:vAlign w:val="center"/>
          </w:tcPr>
          <w:p>
            <w:pPr>
              <w:spacing w:line="360" w:lineRule="auto"/>
              <w:jc w:val="center"/>
              <w:rPr>
                <w:rFonts w:ascii="宋体" w:hAnsi="宋体" w:eastAsia="宋体"/>
                <w:color w:val="auto"/>
                <w:sz w:val="21"/>
                <w:szCs w:val="21"/>
              </w:rPr>
            </w:pPr>
            <w:r>
              <w:rPr>
                <w:rFonts w:hint="eastAsia" w:ascii="宋体" w:hAnsi="宋体" w:eastAsia="宋体"/>
                <w:color w:val="auto"/>
                <w:sz w:val="21"/>
                <w:szCs w:val="21"/>
              </w:rPr>
              <w:t>苯乙烯[抑制了的]</w:t>
            </w:r>
          </w:p>
        </w:tc>
        <w:tc>
          <w:tcPr>
            <w:tcW w:w="1819" w:type="dxa"/>
            <w:vMerge w:val="continue"/>
            <w:vAlign w:val="center"/>
          </w:tcPr>
          <w:p>
            <w:pPr>
              <w:spacing w:line="360" w:lineRule="auto"/>
              <w:jc w:val="center"/>
              <w:rPr>
                <w:rFonts w:ascii="宋体" w:hAnsi="宋体" w:eastAsia="宋体"/>
                <w:color w:val="auto"/>
                <w:sz w:val="21"/>
                <w:szCs w:val="21"/>
              </w:rPr>
            </w:pPr>
          </w:p>
        </w:tc>
        <w:tc>
          <w:tcPr>
            <w:tcW w:w="1804" w:type="dxa"/>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1</w:t>
            </w:r>
          </w:p>
        </w:tc>
        <w:tc>
          <w:tcPr>
            <w:tcW w:w="1731" w:type="dxa"/>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0.002</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040" w:type="dxa"/>
            <w:vAlign w:val="center"/>
          </w:tcPr>
          <w:p>
            <w:pPr>
              <w:spacing w:line="360" w:lineRule="auto"/>
              <w:jc w:val="center"/>
              <w:rPr>
                <w:rFonts w:ascii="宋体" w:hAnsi="宋体" w:eastAsia="宋体"/>
                <w:color w:val="auto"/>
                <w:sz w:val="21"/>
                <w:szCs w:val="21"/>
              </w:rPr>
            </w:pPr>
            <w:r>
              <w:rPr>
                <w:rFonts w:hint="eastAsia" w:ascii="宋体" w:hAnsi="宋体" w:eastAsia="宋体"/>
                <w:color w:val="auto"/>
                <w:sz w:val="21"/>
                <w:szCs w:val="21"/>
              </w:rPr>
              <w:t>3</w:t>
            </w:r>
          </w:p>
        </w:tc>
        <w:tc>
          <w:tcPr>
            <w:tcW w:w="2678" w:type="dxa"/>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rPr>
              <w:t>混丙醇</w:t>
            </w:r>
          </w:p>
        </w:tc>
        <w:tc>
          <w:tcPr>
            <w:tcW w:w="1819" w:type="dxa"/>
            <w:vMerge w:val="restart"/>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1000</w:t>
            </w:r>
          </w:p>
        </w:tc>
        <w:tc>
          <w:tcPr>
            <w:tcW w:w="1804" w:type="dxa"/>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2</w:t>
            </w:r>
          </w:p>
        </w:tc>
        <w:tc>
          <w:tcPr>
            <w:tcW w:w="1731" w:type="dxa"/>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0.002</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040" w:type="dxa"/>
            <w:vAlign w:val="center"/>
          </w:tcPr>
          <w:p>
            <w:pPr>
              <w:spacing w:line="360" w:lineRule="auto"/>
              <w:jc w:val="center"/>
              <w:rPr>
                <w:rFonts w:ascii="宋体" w:hAnsi="宋体" w:eastAsia="宋体"/>
                <w:color w:val="auto"/>
                <w:sz w:val="21"/>
                <w:szCs w:val="21"/>
              </w:rPr>
            </w:pPr>
            <w:r>
              <w:rPr>
                <w:rFonts w:hint="eastAsia" w:ascii="宋体" w:hAnsi="宋体" w:eastAsia="宋体"/>
                <w:color w:val="auto"/>
                <w:sz w:val="21"/>
                <w:szCs w:val="21"/>
              </w:rPr>
              <w:t>4</w:t>
            </w:r>
          </w:p>
        </w:tc>
        <w:tc>
          <w:tcPr>
            <w:tcW w:w="2678" w:type="dxa"/>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rPr>
              <w:t>乙酸甲酯</w:t>
            </w:r>
          </w:p>
        </w:tc>
        <w:tc>
          <w:tcPr>
            <w:tcW w:w="1819" w:type="dxa"/>
            <w:vMerge w:val="continue"/>
            <w:vAlign w:val="center"/>
          </w:tcPr>
          <w:p>
            <w:pPr>
              <w:spacing w:line="360" w:lineRule="auto"/>
              <w:jc w:val="center"/>
              <w:rPr>
                <w:rFonts w:ascii="宋体" w:hAnsi="宋体" w:eastAsia="宋体"/>
                <w:color w:val="auto"/>
                <w:sz w:val="21"/>
                <w:szCs w:val="21"/>
              </w:rPr>
            </w:pPr>
          </w:p>
        </w:tc>
        <w:tc>
          <w:tcPr>
            <w:tcW w:w="1804" w:type="dxa"/>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5</w:t>
            </w:r>
          </w:p>
        </w:tc>
        <w:tc>
          <w:tcPr>
            <w:tcW w:w="1731" w:type="dxa"/>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0.005</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34" w:hRule="exact"/>
          <w:jc w:val="center"/>
        </w:trPr>
        <w:tc>
          <w:tcPr>
            <w:tcW w:w="1040" w:type="dxa"/>
            <w:tcBorders>
              <w:bottom w:val="single" w:color="auto" w:sz="4" w:space="0"/>
            </w:tcBorders>
            <w:vAlign w:val="center"/>
          </w:tcPr>
          <w:p>
            <w:pPr>
              <w:spacing w:line="360" w:lineRule="auto"/>
              <w:jc w:val="center"/>
              <w:rPr>
                <w:rFonts w:ascii="宋体" w:hAnsi="宋体" w:eastAsia="宋体"/>
                <w:color w:val="auto"/>
                <w:sz w:val="21"/>
                <w:szCs w:val="21"/>
              </w:rPr>
            </w:pPr>
            <w:r>
              <w:rPr>
                <w:rFonts w:hint="eastAsia" w:ascii="宋体" w:hAnsi="宋体" w:eastAsia="宋体"/>
                <w:color w:val="auto"/>
                <w:sz w:val="21"/>
                <w:szCs w:val="21"/>
              </w:rPr>
              <w:t>5</w:t>
            </w:r>
          </w:p>
        </w:tc>
        <w:tc>
          <w:tcPr>
            <w:tcW w:w="2678" w:type="dxa"/>
            <w:tcBorders>
              <w:bottom w:val="single" w:color="auto" w:sz="4" w:space="0"/>
            </w:tcBorders>
            <w:vAlign w:val="center"/>
          </w:tcPr>
          <w:p>
            <w:pPr>
              <w:spacing w:line="360" w:lineRule="auto"/>
              <w:jc w:val="center"/>
              <w:rPr>
                <w:rFonts w:ascii="宋体" w:hAnsi="宋体" w:eastAsia="宋体"/>
                <w:color w:val="auto"/>
                <w:sz w:val="21"/>
                <w:szCs w:val="21"/>
              </w:rPr>
            </w:pPr>
            <w:r>
              <w:rPr>
                <w:rFonts w:hint="eastAsia" w:ascii="宋体" w:hAnsi="宋体" w:eastAsia="宋体"/>
                <w:color w:val="auto"/>
                <w:sz w:val="21"/>
                <w:szCs w:val="21"/>
              </w:rPr>
              <w:t>乙酸仲丁酯</w:t>
            </w:r>
          </w:p>
        </w:tc>
        <w:tc>
          <w:tcPr>
            <w:tcW w:w="1819" w:type="dxa"/>
            <w:vMerge w:val="continue"/>
            <w:vAlign w:val="center"/>
          </w:tcPr>
          <w:p>
            <w:pPr>
              <w:spacing w:line="360" w:lineRule="auto"/>
              <w:jc w:val="center"/>
              <w:rPr>
                <w:rFonts w:ascii="宋体" w:hAnsi="宋体" w:eastAsia="宋体"/>
                <w:color w:val="auto"/>
                <w:sz w:val="21"/>
                <w:szCs w:val="21"/>
              </w:rPr>
            </w:pPr>
          </w:p>
        </w:tc>
        <w:tc>
          <w:tcPr>
            <w:tcW w:w="1804" w:type="dxa"/>
            <w:tcBorders>
              <w:bottom w:val="single" w:color="auto" w:sz="4" w:space="0"/>
            </w:tcBorders>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10</w:t>
            </w:r>
          </w:p>
        </w:tc>
        <w:tc>
          <w:tcPr>
            <w:tcW w:w="1731" w:type="dxa"/>
            <w:tcBorders>
              <w:bottom w:val="single" w:color="auto" w:sz="4" w:space="0"/>
            </w:tcBorders>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0.01</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3" w:hRule="exact"/>
          <w:jc w:val="center"/>
        </w:trPr>
        <w:tc>
          <w:tcPr>
            <w:tcW w:w="1040" w:type="dxa"/>
            <w:tcBorders>
              <w:top w:val="single" w:color="auto" w:sz="4" w:space="0"/>
              <w:bottom w:val="single" w:color="auto" w:sz="4" w:space="0"/>
            </w:tcBorders>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6</w:t>
            </w:r>
          </w:p>
        </w:tc>
        <w:tc>
          <w:tcPr>
            <w:tcW w:w="2678" w:type="dxa"/>
            <w:tcBorders>
              <w:top w:val="single" w:color="auto" w:sz="4" w:space="0"/>
              <w:bottom w:val="single" w:color="auto" w:sz="4" w:space="0"/>
            </w:tcBorders>
            <w:vAlign w:val="center"/>
          </w:tcPr>
          <w:p>
            <w:pPr>
              <w:spacing w:line="360" w:lineRule="auto"/>
              <w:jc w:val="center"/>
              <w:rPr>
                <w:rFonts w:ascii="宋体" w:hAnsi="宋体" w:eastAsia="宋体"/>
                <w:color w:val="auto"/>
                <w:sz w:val="21"/>
                <w:szCs w:val="21"/>
              </w:rPr>
            </w:pPr>
            <w:r>
              <w:rPr>
                <w:rFonts w:hint="eastAsia" w:ascii="宋体" w:hAnsi="宋体" w:eastAsia="宋体"/>
                <w:color w:val="auto"/>
                <w:sz w:val="21"/>
                <w:szCs w:val="21"/>
              </w:rPr>
              <w:t>硝基漆清漆</w:t>
            </w:r>
          </w:p>
        </w:tc>
        <w:tc>
          <w:tcPr>
            <w:tcW w:w="1819" w:type="dxa"/>
            <w:vMerge w:val="continue"/>
            <w:vAlign w:val="center"/>
          </w:tcPr>
          <w:p>
            <w:pPr>
              <w:spacing w:line="360" w:lineRule="auto"/>
              <w:jc w:val="center"/>
              <w:rPr>
                <w:rFonts w:ascii="宋体" w:hAnsi="宋体" w:eastAsia="宋体"/>
                <w:color w:val="auto"/>
                <w:sz w:val="21"/>
                <w:szCs w:val="21"/>
              </w:rPr>
            </w:pPr>
          </w:p>
        </w:tc>
        <w:tc>
          <w:tcPr>
            <w:tcW w:w="1804" w:type="dxa"/>
            <w:tcBorders>
              <w:top w:val="single" w:color="auto" w:sz="4" w:space="0"/>
              <w:bottom w:val="single" w:color="auto" w:sz="4" w:space="0"/>
            </w:tcBorders>
            <w:vAlign w:val="center"/>
          </w:tcPr>
          <w:p>
            <w:pPr>
              <w:spacing w:line="360" w:lineRule="auto"/>
              <w:jc w:val="center"/>
              <w:rPr>
                <w:rFonts w:ascii="宋体" w:hAnsi="宋体" w:eastAsia="宋体"/>
                <w:color w:val="auto"/>
                <w:sz w:val="21"/>
                <w:szCs w:val="21"/>
                <w:lang w:eastAsia="zh-CN"/>
              </w:rPr>
            </w:pPr>
            <w:r>
              <w:rPr>
                <w:rFonts w:ascii="宋体" w:hAnsi="宋体" w:eastAsia="宋体"/>
                <w:color w:val="auto"/>
                <w:sz w:val="21"/>
                <w:szCs w:val="21"/>
              </w:rPr>
              <w:t>5</w:t>
            </w:r>
          </w:p>
        </w:tc>
        <w:tc>
          <w:tcPr>
            <w:tcW w:w="1731" w:type="dxa"/>
            <w:tcBorders>
              <w:top w:val="single" w:color="auto" w:sz="4" w:space="0"/>
              <w:bottom w:val="single" w:color="auto" w:sz="4" w:space="0"/>
            </w:tcBorders>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0.005</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25" w:hRule="exact"/>
          <w:jc w:val="center"/>
        </w:trPr>
        <w:tc>
          <w:tcPr>
            <w:tcW w:w="1040" w:type="dxa"/>
            <w:tcBorders>
              <w:top w:val="single" w:color="auto" w:sz="4" w:space="0"/>
              <w:bottom w:val="single" w:color="auto" w:sz="4" w:space="0"/>
            </w:tcBorders>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7</w:t>
            </w:r>
          </w:p>
        </w:tc>
        <w:tc>
          <w:tcPr>
            <w:tcW w:w="2678" w:type="dxa"/>
            <w:tcBorders>
              <w:top w:val="single" w:color="auto" w:sz="4" w:space="0"/>
              <w:bottom w:val="single" w:color="auto" w:sz="4" w:space="0"/>
            </w:tcBorders>
            <w:vAlign w:val="center"/>
          </w:tcPr>
          <w:p>
            <w:pPr>
              <w:spacing w:line="360" w:lineRule="auto"/>
              <w:jc w:val="center"/>
              <w:rPr>
                <w:rFonts w:ascii="宋体" w:hAnsi="宋体" w:eastAsia="宋体"/>
                <w:color w:val="auto"/>
                <w:sz w:val="21"/>
                <w:szCs w:val="21"/>
              </w:rPr>
            </w:pPr>
            <w:r>
              <w:rPr>
                <w:rFonts w:hint="eastAsia" w:ascii="宋体" w:hAnsi="宋体" w:eastAsia="宋体"/>
                <w:color w:val="auto"/>
                <w:sz w:val="21"/>
                <w:szCs w:val="21"/>
              </w:rPr>
              <w:t>硝基漆稀释剂</w:t>
            </w:r>
          </w:p>
        </w:tc>
        <w:tc>
          <w:tcPr>
            <w:tcW w:w="1819" w:type="dxa"/>
            <w:vMerge w:val="continue"/>
            <w:vAlign w:val="center"/>
          </w:tcPr>
          <w:p>
            <w:pPr>
              <w:spacing w:line="360" w:lineRule="auto"/>
              <w:jc w:val="center"/>
              <w:rPr>
                <w:rFonts w:ascii="宋体" w:hAnsi="宋体" w:eastAsia="宋体"/>
                <w:color w:val="auto"/>
                <w:sz w:val="21"/>
                <w:szCs w:val="21"/>
              </w:rPr>
            </w:pPr>
          </w:p>
        </w:tc>
        <w:tc>
          <w:tcPr>
            <w:tcW w:w="1804" w:type="dxa"/>
            <w:tcBorders>
              <w:top w:val="single" w:color="auto" w:sz="4" w:space="0"/>
              <w:bottom w:val="single" w:color="auto" w:sz="4" w:space="0"/>
            </w:tcBorders>
            <w:vAlign w:val="center"/>
          </w:tcPr>
          <w:p>
            <w:pPr>
              <w:spacing w:line="360" w:lineRule="auto"/>
              <w:jc w:val="center"/>
              <w:rPr>
                <w:rFonts w:ascii="宋体" w:hAnsi="宋体" w:eastAsia="宋体"/>
                <w:color w:val="auto"/>
                <w:sz w:val="21"/>
                <w:szCs w:val="21"/>
              </w:rPr>
            </w:pPr>
            <w:r>
              <w:rPr>
                <w:rFonts w:ascii="宋体" w:hAnsi="宋体" w:eastAsia="宋体"/>
                <w:color w:val="auto"/>
                <w:sz w:val="21"/>
                <w:szCs w:val="21"/>
              </w:rPr>
              <w:t>5</w:t>
            </w:r>
          </w:p>
        </w:tc>
        <w:tc>
          <w:tcPr>
            <w:tcW w:w="1731" w:type="dxa"/>
            <w:tcBorders>
              <w:top w:val="single" w:color="auto" w:sz="4" w:space="0"/>
              <w:bottom w:val="single" w:color="auto" w:sz="4" w:space="0"/>
            </w:tcBorders>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0.005</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040" w:type="dxa"/>
            <w:tcBorders>
              <w:top w:val="single" w:color="auto" w:sz="4" w:space="0"/>
            </w:tcBorders>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8</w:t>
            </w:r>
          </w:p>
        </w:tc>
        <w:tc>
          <w:tcPr>
            <w:tcW w:w="2678" w:type="dxa"/>
            <w:tcBorders>
              <w:top w:val="single" w:color="auto" w:sz="4" w:space="0"/>
            </w:tcBorders>
            <w:vAlign w:val="center"/>
          </w:tcPr>
          <w:p>
            <w:pPr>
              <w:spacing w:line="360" w:lineRule="auto"/>
              <w:jc w:val="center"/>
              <w:rPr>
                <w:rFonts w:ascii="宋体" w:hAnsi="宋体" w:eastAsia="宋体"/>
                <w:color w:val="auto"/>
                <w:sz w:val="21"/>
                <w:szCs w:val="21"/>
              </w:rPr>
            </w:pPr>
            <w:r>
              <w:rPr>
                <w:rFonts w:hint="eastAsia" w:ascii="宋体" w:hAnsi="宋体" w:eastAsia="宋体"/>
                <w:color w:val="auto"/>
                <w:sz w:val="21"/>
                <w:szCs w:val="21"/>
              </w:rPr>
              <w:t>聚氨酯漆稀释剂</w:t>
            </w:r>
          </w:p>
        </w:tc>
        <w:tc>
          <w:tcPr>
            <w:tcW w:w="1819" w:type="dxa"/>
            <w:vMerge w:val="restart"/>
            <w:tcBorders>
              <w:top w:val="single" w:color="auto" w:sz="4" w:space="0"/>
            </w:tcBorders>
            <w:vAlign w:val="center"/>
          </w:tcPr>
          <w:p>
            <w:pPr>
              <w:spacing w:line="360" w:lineRule="auto"/>
              <w:jc w:val="center"/>
              <w:rPr>
                <w:rFonts w:ascii="宋体" w:hAnsi="宋体" w:eastAsia="宋体"/>
                <w:color w:val="auto"/>
                <w:sz w:val="21"/>
                <w:szCs w:val="21"/>
              </w:rPr>
            </w:pPr>
            <w:r>
              <w:rPr>
                <w:rFonts w:hint="eastAsia" w:ascii="宋体" w:hAnsi="宋体" w:eastAsia="宋体"/>
                <w:color w:val="auto"/>
                <w:sz w:val="21"/>
                <w:szCs w:val="21"/>
              </w:rPr>
              <w:t>5000</w:t>
            </w:r>
          </w:p>
        </w:tc>
        <w:tc>
          <w:tcPr>
            <w:tcW w:w="1804" w:type="dxa"/>
            <w:tcBorders>
              <w:top w:val="single" w:color="auto" w:sz="4" w:space="0"/>
            </w:tcBorders>
            <w:vAlign w:val="center"/>
          </w:tcPr>
          <w:p>
            <w:pPr>
              <w:spacing w:line="360" w:lineRule="auto"/>
              <w:jc w:val="center"/>
              <w:rPr>
                <w:rFonts w:ascii="宋体" w:hAnsi="宋体" w:eastAsia="宋体"/>
                <w:color w:val="auto"/>
                <w:sz w:val="21"/>
                <w:szCs w:val="21"/>
              </w:rPr>
            </w:pPr>
            <w:r>
              <w:rPr>
                <w:rFonts w:ascii="宋体" w:hAnsi="宋体" w:eastAsia="宋体"/>
                <w:color w:val="auto"/>
                <w:sz w:val="21"/>
                <w:szCs w:val="21"/>
              </w:rPr>
              <w:t>20</w:t>
            </w:r>
          </w:p>
        </w:tc>
        <w:tc>
          <w:tcPr>
            <w:tcW w:w="1731" w:type="dxa"/>
            <w:tcBorders>
              <w:top w:val="single" w:color="auto" w:sz="4" w:space="0"/>
            </w:tcBorders>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0.004</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86" w:hRule="exact"/>
          <w:jc w:val="center"/>
        </w:trPr>
        <w:tc>
          <w:tcPr>
            <w:tcW w:w="1040" w:type="dxa"/>
            <w:tcBorders>
              <w:bottom w:val="single" w:color="auto" w:sz="4" w:space="0"/>
            </w:tcBorders>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9</w:t>
            </w:r>
          </w:p>
        </w:tc>
        <w:tc>
          <w:tcPr>
            <w:tcW w:w="2678" w:type="dxa"/>
            <w:tcBorders>
              <w:bottom w:val="single" w:color="auto" w:sz="4" w:space="0"/>
            </w:tcBorders>
            <w:vAlign w:val="center"/>
          </w:tcPr>
          <w:p>
            <w:pPr>
              <w:spacing w:line="360" w:lineRule="auto"/>
              <w:jc w:val="center"/>
              <w:rPr>
                <w:rFonts w:ascii="宋体" w:hAnsi="宋体" w:eastAsia="宋体"/>
                <w:color w:val="auto"/>
                <w:sz w:val="21"/>
                <w:szCs w:val="21"/>
              </w:rPr>
            </w:pPr>
            <w:r>
              <w:rPr>
                <w:rFonts w:hint="eastAsia" w:ascii="宋体" w:hAnsi="宋体" w:eastAsia="宋体"/>
                <w:color w:val="auto"/>
                <w:sz w:val="21"/>
                <w:szCs w:val="21"/>
              </w:rPr>
              <w:t>聚酯树脂清漆</w:t>
            </w:r>
          </w:p>
        </w:tc>
        <w:tc>
          <w:tcPr>
            <w:tcW w:w="1819" w:type="dxa"/>
            <w:vMerge w:val="continue"/>
            <w:vAlign w:val="center"/>
          </w:tcPr>
          <w:p>
            <w:pPr>
              <w:spacing w:line="360" w:lineRule="auto"/>
              <w:jc w:val="center"/>
              <w:rPr>
                <w:rFonts w:ascii="宋体" w:hAnsi="宋体" w:eastAsia="宋体"/>
                <w:color w:val="auto"/>
                <w:sz w:val="21"/>
                <w:szCs w:val="21"/>
              </w:rPr>
            </w:pPr>
          </w:p>
        </w:tc>
        <w:tc>
          <w:tcPr>
            <w:tcW w:w="1804" w:type="dxa"/>
            <w:tcBorders>
              <w:bottom w:val="single" w:color="auto" w:sz="4" w:space="0"/>
            </w:tcBorders>
            <w:vAlign w:val="center"/>
          </w:tcPr>
          <w:p>
            <w:pPr>
              <w:spacing w:line="360" w:lineRule="auto"/>
              <w:jc w:val="center"/>
              <w:rPr>
                <w:rFonts w:ascii="宋体" w:hAnsi="宋体" w:eastAsia="宋体"/>
                <w:color w:val="auto"/>
                <w:sz w:val="21"/>
                <w:szCs w:val="21"/>
              </w:rPr>
            </w:pPr>
            <w:r>
              <w:rPr>
                <w:rFonts w:ascii="宋体" w:hAnsi="宋体" w:eastAsia="宋体"/>
                <w:color w:val="auto"/>
                <w:sz w:val="21"/>
                <w:szCs w:val="21"/>
              </w:rPr>
              <w:t>20</w:t>
            </w:r>
          </w:p>
        </w:tc>
        <w:tc>
          <w:tcPr>
            <w:tcW w:w="1731" w:type="dxa"/>
            <w:tcBorders>
              <w:bottom w:val="single" w:color="auto" w:sz="4" w:space="0"/>
            </w:tcBorders>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0.004</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4" w:hRule="exact"/>
          <w:jc w:val="center"/>
        </w:trPr>
        <w:tc>
          <w:tcPr>
            <w:tcW w:w="1040" w:type="dxa"/>
            <w:tcBorders>
              <w:top w:val="single" w:color="auto" w:sz="4" w:space="0"/>
              <w:bottom w:val="single" w:color="auto" w:sz="4" w:space="0"/>
            </w:tcBorders>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10</w:t>
            </w:r>
          </w:p>
        </w:tc>
        <w:tc>
          <w:tcPr>
            <w:tcW w:w="2678" w:type="dxa"/>
            <w:tcBorders>
              <w:top w:val="single" w:color="auto" w:sz="4" w:space="0"/>
              <w:bottom w:val="single" w:color="auto" w:sz="4" w:space="0"/>
            </w:tcBorders>
            <w:vAlign w:val="center"/>
          </w:tcPr>
          <w:p>
            <w:pPr>
              <w:widowControl/>
              <w:spacing w:line="310" w:lineRule="exact"/>
              <w:jc w:val="center"/>
              <w:rPr>
                <w:rFonts w:ascii="宋体" w:hAnsi="宋体" w:eastAsia="宋体" w:cs="宋体"/>
                <w:color w:val="auto"/>
                <w:sz w:val="21"/>
                <w:szCs w:val="21"/>
              </w:rPr>
            </w:pPr>
            <w:r>
              <w:rPr>
                <w:rFonts w:hint="eastAsia" w:ascii="宋体" w:hAnsi="宋体" w:eastAsia="宋体"/>
                <w:color w:val="auto"/>
                <w:sz w:val="21"/>
                <w:szCs w:val="21"/>
              </w:rPr>
              <w:t>丙二醇甲醚乙酸酯</w:t>
            </w:r>
          </w:p>
          <w:p>
            <w:pPr>
              <w:spacing w:line="360" w:lineRule="auto"/>
              <w:jc w:val="center"/>
              <w:rPr>
                <w:rFonts w:ascii="宋体" w:hAnsi="宋体" w:eastAsia="宋体"/>
                <w:color w:val="auto"/>
                <w:sz w:val="21"/>
                <w:szCs w:val="21"/>
                <w:lang w:eastAsia="zh-CN"/>
              </w:rPr>
            </w:pPr>
          </w:p>
        </w:tc>
        <w:tc>
          <w:tcPr>
            <w:tcW w:w="1819" w:type="dxa"/>
            <w:vMerge w:val="continue"/>
            <w:vAlign w:val="center"/>
          </w:tcPr>
          <w:p>
            <w:pPr>
              <w:spacing w:line="360" w:lineRule="auto"/>
              <w:jc w:val="center"/>
              <w:rPr>
                <w:rFonts w:ascii="宋体" w:hAnsi="宋体" w:eastAsia="宋体"/>
                <w:color w:val="auto"/>
                <w:sz w:val="21"/>
                <w:szCs w:val="21"/>
              </w:rPr>
            </w:pPr>
          </w:p>
        </w:tc>
        <w:tc>
          <w:tcPr>
            <w:tcW w:w="1804" w:type="dxa"/>
            <w:tcBorders>
              <w:top w:val="single" w:color="auto" w:sz="4" w:space="0"/>
              <w:bottom w:val="single" w:color="auto" w:sz="4" w:space="0"/>
            </w:tcBorders>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2</w:t>
            </w:r>
          </w:p>
        </w:tc>
        <w:tc>
          <w:tcPr>
            <w:tcW w:w="1731" w:type="dxa"/>
            <w:tcBorders>
              <w:top w:val="single" w:color="auto" w:sz="4" w:space="0"/>
              <w:bottom w:val="single" w:color="auto" w:sz="4" w:space="0"/>
            </w:tcBorders>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0.0004</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040" w:type="dxa"/>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11</w:t>
            </w:r>
          </w:p>
        </w:tc>
        <w:tc>
          <w:tcPr>
            <w:tcW w:w="2678" w:type="dxa"/>
            <w:vAlign w:val="center"/>
          </w:tcPr>
          <w:p>
            <w:pPr>
              <w:spacing w:line="360" w:lineRule="auto"/>
              <w:jc w:val="center"/>
              <w:rPr>
                <w:rFonts w:ascii="宋体" w:hAnsi="宋体" w:eastAsia="宋体"/>
                <w:color w:val="auto"/>
                <w:sz w:val="21"/>
                <w:szCs w:val="21"/>
              </w:rPr>
            </w:pPr>
            <w:r>
              <w:rPr>
                <w:rFonts w:hint="eastAsia" w:ascii="宋体" w:hAnsi="宋体" w:eastAsia="宋体"/>
                <w:color w:val="auto"/>
                <w:sz w:val="21"/>
                <w:szCs w:val="21"/>
              </w:rPr>
              <w:t>二甲苯异构体混合物</w:t>
            </w:r>
          </w:p>
        </w:tc>
        <w:tc>
          <w:tcPr>
            <w:tcW w:w="1819" w:type="dxa"/>
            <w:vMerge w:val="continue"/>
            <w:vAlign w:val="center"/>
          </w:tcPr>
          <w:p>
            <w:pPr>
              <w:spacing w:line="360" w:lineRule="auto"/>
              <w:jc w:val="center"/>
              <w:rPr>
                <w:rFonts w:ascii="宋体" w:hAnsi="宋体" w:eastAsia="宋体"/>
                <w:color w:val="auto"/>
                <w:sz w:val="21"/>
                <w:szCs w:val="21"/>
              </w:rPr>
            </w:pPr>
          </w:p>
        </w:tc>
        <w:tc>
          <w:tcPr>
            <w:tcW w:w="1804" w:type="dxa"/>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20</w:t>
            </w:r>
          </w:p>
        </w:tc>
        <w:tc>
          <w:tcPr>
            <w:tcW w:w="1731" w:type="dxa"/>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0.004</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040" w:type="dxa"/>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12</w:t>
            </w:r>
          </w:p>
        </w:tc>
        <w:tc>
          <w:tcPr>
            <w:tcW w:w="2678" w:type="dxa"/>
            <w:vAlign w:val="center"/>
          </w:tcPr>
          <w:p>
            <w:pPr>
              <w:spacing w:line="360" w:lineRule="auto"/>
              <w:jc w:val="center"/>
              <w:rPr>
                <w:rFonts w:ascii="宋体" w:hAnsi="宋体" w:eastAsia="宋体"/>
                <w:color w:val="auto"/>
                <w:sz w:val="21"/>
                <w:szCs w:val="21"/>
              </w:rPr>
            </w:pPr>
            <w:r>
              <w:rPr>
                <w:rFonts w:hint="eastAsia" w:ascii="宋体" w:hAnsi="宋体" w:eastAsia="宋体"/>
                <w:color w:val="auto"/>
                <w:sz w:val="21"/>
                <w:szCs w:val="21"/>
              </w:rPr>
              <w:t>环己酮</w:t>
            </w:r>
          </w:p>
        </w:tc>
        <w:tc>
          <w:tcPr>
            <w:tcW w:w="1819" w:type="dxa"/>
            <w:vMerge w:val="continue"/>
            <w:vAlign w:val="center"/>
          </w:tcPr>
          <w:p>
            <w:pPr>
              <w:spacing w:line="360" w:lineRule="auto"/>
              <w:jc w:val="center"/>
              <w:rPr>
                <w:rFonts w:ascii="宋体" w:hAnsi="宋体" w:eastAsia="宋体"/>
                <w:color w:val="auto"/>
                <w:sz w:val="21"/>
                <w:szCs w:val="21"/>
              </w:rPr>
            </w:pPr>
          </w:p>
        </w:tc>
        <w:tc>
          <w:tcPr>
            <w:tcW w:w="1804" w:type="dxa"/>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20</w:t>
            </w:r>
          </w:p>
        </w:tc>
        <w:tc>
          <w:tcPr>
            <w:tcW w:w="1731" w:type="dxa"/>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0.004</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86" w:hRule="exact"/>
          <w:jc w:val="center"/>
        </w:trPr>
        <w:tc>
          <w:tcPr>
            <w:tcW w:w="1040" w:type="dxa"/>
            <w:tcBorders>
              <w:bottom w:val="single" w:color="auto" w:sz="4" w:space="0"/>
            </w:tcBorders>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rPr>
              <w:t>1</w:t>
            </w:r>
            <w:r>
              <w:rPr>
                <w:rFonts w:hint="eastAsia" w:ascii="宋体" w:hAnsi="宋体" w:eastAsia="宋体"/>
                <w:color w:val="auto"/>
                <w:sz w:val="21"/>
                <w:szCs w:val="21"/>
                <w:lang w:eastAsia="zh-CN"/>
              </w:rPr>
              <w:t>3</w:t>
            </w:r>
          </w:p>
        </w:tc>
        <w:tc>
          <w:tcPr>
            <w:tcW w:w="2678" w:type="dxa"/>
            <w:tcBorders>
              <w:bottom w:val="single" w:color="auto" w:sz="4" w:space="0"/>
            </w:tcBorders>
            <w:vAlign w:val="center"/>
          </w:tcPr>
          <w:p>
            <w:pPr>
              <w:spacing w:line="360" w:lineRule="auto"/>
              <w:jc w:val="center"/>
              <w:rPr>
                <w:rFonts w:ascii="宋体" w:hAnsi="宋体" w:eastAsia="宋体"/>
                <w:color w:val="auto"/>
                <w:sz w:val="21"/>
                <w:szCs w:val="21"/>
              </w:rPr>
            </w:pPr>
            <w:r>
              <w:rPr>
                <w:rFonts w:hint="eastAsia" w:ascii="宋体" w:hAnsi="宋体" w:eastAsia="宋体"/>
                <w:color w:val="auto"/>
                <w:sz w:val="21"/>
                <w:szCs w:val="21"/>
              </w:rPr>
              <w:t>醇酸树脂</w:t>
            </w:r>
          </w:p>
        </w:tc>
        <w:tc>
          <w:tcPr>
            <w:tcW w:w="1819" w:type="dxa"/>
            <w:vMerge w:val="continue"/>
            <w:vAlign w:val="center"/>
          </w:tcPr>
          <w:p>
            <w:pPr>
              <w:spacing w:line="360" w:lineRule="auto"/>
              <w:jc w:val="center"/>
              <w:rPr>
                <w:rFonts w:ascii="宋体" w:hAnsi="宋体" w:eastAsia="宋体"/>
                <w:color w:val="auto"/>
                <w:sz w:val="21"/>
                <w:szCs w:val="21"/>
              </w:rPr>
            </w:pPr>
          </w:p>
        </w:tc>
        <w:tc>
          <w:tcPr>
            <w:tcW w:w="1804" w:type="dxa"/>
            <w:tcBorders>
              <w:bottom w:val="single" w:color="auto" w:sz="4" w:space="0"/>
            </w:tcBorders>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20</w:t>
            </w:r>
          </w:p>
        </w:tc>
        <w:tc>
          <w:tcPr>
            <w:tcW w:w="1731" w:type="dxa"/>
            <w:tcBorders>
              <w:bottom w:val="single" w:color="auto" w:sz="4" w:space="0"/>
            </w:tcBorders>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0.004</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76" w:hRule="exact"/>
          <w:jc w:val="center"/>
        </w:trPr>
        <w:tc>
          <w:tcPr>
            <w:tcW w:w="1040" w:type="dxa"/>
            <w:tcBorders>
              <w:top w:val="single" w:color="auto" w:sz="4" w:space="0"/>
              <w:bottom w:val="single" w:color="auto" w:sz="4" w:space="0"/>
            </w:tcBorders>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14</w:t>
            </w:r>
          </w:p>
        </w:tc>
        <w:tc>
          <w:tcPr>
            <w:tcW w:w="2678" w:type="dxa"/>
            <w:tcBorders>
              <w:top w:val="single" w:color="auto" w:sz="4" w:space="0"/>
              <w:bottom w:val="single" w:color="auto" w:sz="4" w:space="0"/>
            </w:tcBorders>
            <w:vAlign w:val="center"/>
          </w:tcPr>
          <w:p>
            <w:pPr>
              <w:spacing w:line="360" w:lineRule="auto"/>
              <w:jc w:val="center"/>
              <w:rPr>
                <w:rFonts w:ascii="宋体" w:hAnsi="宋体" w:eastAsia="宋体"/>
                <w:color w:val="auto"/>
                <w:sz w:val="21"/>
                <w:szCs w:val="21"/>
              </w:rPr>
            </w:pPr>
            <w:r>
              <w:rPr>
                <w:rFonts w:hint="eastAsia" w:ascii="宋体" w:hAnsi="宋体" w:eastAsia="宋体"/>
                <w:color w:val="auto"/>
                <w:sz w:val="21"/>
                <w:szCs w:val="21"/>
              </w:rPr>
              <w:t>乙酸正丁酯</w:t>
            </w:r>
          </w:p>
        </w:tc>
        <w:tc>
          <w:tcPr>
            <w:tcW w:w="1819" w:type="dxa"/>
            <w:vMerge w:val="continue"/>
            <w:vAlign w:val="center"/>
          </w:tcPr>
          <w:p>
            <w:pPr>
              <w:spacing w:line="360" w:lineRule="auto"/>
              <w:jc w:val="center"/>
              <w:rPr>
                <w:rFonts w:ascii="宋体" w:hAnsi="宋体" w:eastAsia="宋体"/>
                <w:color w:val="auto"/>
                <w:sz w:val="21"/>
                <w:szCs w:val="21"/>
              </w:rPr>
            </w:pPr>
          </w:p>
        </w:tc>
        <w:tc>
          <w:tcPr>
            <w:tcW w:w="1804" w:type="dxa"/>
            <w:tcBorders>
              <w:top w:val="single" w:color="auto" w:sz="4" w:space="0"/>
              <w:bottom w:val="single" w:color="auto" w:sz="4" w:space="0"/>
            </w:tcBorders>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20</w:t>
            </w:r>
          </w:p>
        </w:tc>
        <w:tc>
          <w:tcPr>
            <w:tcW w:w="1731" w:type="dxa"/>
            <w:tcBorders>
              <w:top w:val="single" w:color="auto" w:sz="4" w:space="0"/>
              <w:bottom w:val="single" w:color="auto" w:sz="4" w:space="0"/>
            </w:tcBorders>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0.004</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45" w:hRule="exact"/>
          <w:jc w:val="center"/>
        </w:trPr>
        <w:tc>
          <w:tcPr>
            <w:tcW w:w="1040" w:type="dxa"/>
            <w:tcBorders>
              <w:top w:val="single" w:color="auto" w:sz="4" w:space="0"/>
              <w:bottom w:val="single" w:color="auto" w:sz="4" w:space="0"/>
            </w:tcBorders>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15</w:t>
            </w:r>
          </w:p>
        </w:tc>
        <w:tc>
          <w:tcPr>
            <w:tcW w:w="2678" w:type="dxa"/>
            <w:tcBorders>
              <w:top w:val="single" w:color="auto" w:sz="4" w:space="0"/>
              <w:bottom w:val="single" w:color="auto" w:sz="4" w:space="0"/>
            </w:tcBorders>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不饱和聚酯树脂</w:t>
            </w:r>
          </w:p>
        </w:tc>
        <w:tc>
          <w:tcPr>
            <w:tcW w:w="1819" w:type="dxa"/>
            <w:vMerge w:val="continue"/>
            <w:vAlign w:val="center"/>
          </w:tcPr>
          <w:p>
            <w:pPr>
              <w:spacing w:line="360" w:lineRule="auto"/>
              <w:jc w:val="center"/>
              <w:rPr>
                <w:rFonts w:ascii="宋体" w:hAnsi="宋体" w:eastAsia="宋体"/>
                <w:color w:val="auto"/>
                <w:sz w:val="21"/>
                <w:szCs w:val="21"/>
              </w:rPr>
            </w:pPr>
          </w:p>
        </w:tc>
        <w:tc>
          <w:tcPr>
            <w:tcW w:w="1804" w:type="dxa"/>
            <w:tcBorders>
              <w:top w:val="single" w:color="auto" w:sz="4" w:space="0"/>
              <w:bottom w:val="single" w:color="auto" w:sz="4" w:space="0"/>
            </w:tcBorders>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20</w:t>
            </w:r>
          </w:p>
        </w:tc>
        <w:tc>
          <w:tcPr>
            <w:tcW w:w="1731" w:type="dxa"/>
            <w:tcBorders>
              <w:top w:val="single" w:color="auto" w:sz="4" w:space="0"/>
              <w:bottom w:val="single" w:color="auto" w:sz="4" w:space="0"/>
            </w:tcBorders>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0.004</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6" w:hRule="exact"/>
          <w:jc w:val="center"/>
        </w:trPr>
        <w:tc>
          <w:tcPr>
            <w:tcW w:w="1040" w:type="dxa"/>
            <w:tcBorders>
              <w:top w:val="single" w:color="auto" w:sz="4" w:space="0"/>
              <w:bottom w:val="single" w:color="auto" w:sz="4" w:space="0"/>
            </w:tcBorders>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16</w:t>
            </w:r>
          </w:p>
        </w:tc>
        <w:tc>
          <w:tcPr>
            <w:tcW w:w="2678" w:type="dxa"/>
            <w:tcBorders>
              <w:top w:val="single" w:color="auto" w:sz="4" w:space="0"/>
              <w:bottom w:val="single" w:color="auto" w:sz="4" w:space="0"/>
            </w:tcBorders>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rPr>
              <w:t>N,N-二甲基甲酰胺</w:t>
            </w:r>
          </w:p>
        </w:tc>
        <w:tc>
          <w:tcPr>
            <w:tcW w:w="1819" w:type="dxa"/>
            <w:vMerge w:val="continue"/>
            <w:vAlign w:val="center"/>
          </w:tcPr>
          <w:p>
            <w:pPr>
              <w:spacing w:line="360" w:lineRule="auto"/>
              <w:jc w:val="center"/>
              <w:rPr>
                <w:rFonts w:ascii="宋体" w:hAnsi="宋体" w:eastAsia="宋体"/>
                <w:color w:val="auto"/>
                <w:sz w:val="21"/>
                <w:szCs w:val="21"/>
              </w:rPr>
            </w:pPr>
          </w:p>
        </w:tc>
        <w:tc>
          <w:tcPr>
            <w:tcW w:w="1804" w:type="dxa"/>
            <w:tcBorders>
              <w:top w:val="single" w:color="auto" w:sz="4" w:space="0"/>
              <w:bottom w:val="single" w:color="auto" w:sz="4" w:space="0"/>
            </w:tcBorders>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1</w:t>
            </w:r>
          </w:p>
        </w:tc>
        <w:tc>
          <w:tcPr>
            <w:tcW w:w="1731" w:type="dxa"/>
            <w:tcBorders>
              <w:top w:val="single" w:color="auto" w:sz="4" w:space="0"/>
              <w:bottom w:val="single" w:color="auto" w:sz="4" w:space="0"/>
            </w:tcBorders>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0.0002</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86" w:hRule="exact"/>
          <w:jc w:val="center"/>
        </w:trPr>
        <w:tc>
          <w:tcPr>
            <w:tcW w:w="1040" w:type="dxa"/>
            <w:tcBorders>
              <w:top w:val="single" w:color="auto" w:sz="4" w:space="0"/>
              <w:bottom w:val="single" w:color="auto" w:sz="4" w:space="0"/>
            </w:tcBorders>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18</w:t>
            </w:r>
          </w:p>
        </w:tc>
        <w:tc>
          <w:tcPr>
            <w:tcW w:w="2678" w:type="dxa"/>
            <w:tcBorders>
              <w:top w:val="single" w:color="auto" w:sz="4" w:space="0"/>
              <w:bottom w:val="single" w:color="auto" w:sz="4" w:space="0"/>
            </w:tcBorders>
            <w:vAlign w:val="center"/>
          </w:tcPr>
          <w:p>
            <w:pPr>
              <w:spacing w:line="360" w:lineRule="auto"/>
              <w:jc w:val="center"/>
              <w:rPr>
                <w:rFonts w:ascii="宋体" w:hAnsi="宋体" w:eastAsia="宋体"/>
                <w:color w:val="auto"/>
                <w:sz w:val="21"/>
                <w:szCs w:val="21"/>
              </w:rPr>
            </w:pPr>
            <w:r>
              <w:rPr>
                <w:rFonts w:hint="eastAsia" w:ascii="宋体" w:hAnsi="宋体" w:eastAsia="宋体"/>
                <w:color w:val="auto"/>
                <w:sz w:val="21"/>
                <w:szCs w:val="21"/>
                <w:lang w:eastAsia="zh-CN"/>
              </w:rPr>
              <w:t>正丁醇</w:t>
            </w:r>
          </w:p>
        </w:tc>
        <w:tc>
          <w:tcPr>
            <w:tcW w:w="1819" w:type="dxa"/>
            <w:vMerge w:val="continue"/>
            <w:tcBorders>
              <w:bottom w:val="single" w:color="auto" w:sz="4" w:space="0"/>
            </w:tcBorders>
            <w:vAlign w:val="center"/>
          </w:tcPr>
          <w:p>
            <w:pPr>
              <w:spacing w:line="360" w:lineRule="auto"/>
              <w:jc w:val="center"/>
              <w:rPr>
                <w:rFonts w:ascii="宋体" w:hAnsi="宋体" w:eastAsia="宋体"/>
                <w:color w:val="auto"/>
                <w:sz w:val="21"/>
                <w:szCs w:val="21"/>
              </w:rPr>
            </w:pPr>
          </w:p>
        </w:tc>
        <w:tc>
          <w:tcPr>
            <w:tcW w:w="1804" w:type="dxa"/>
            <w:tcBorders>
              <w:top w:val="single" w:color="auto" w:sz="4" w:space="0"/>
              <w:bottom w:val="single" w:color="auto" w:sz="4" w:space="0"/>
            </w:tcBorders>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2</w:t>
            </w:r>
          </w:p>
        </w:tc>
        <w:tc>
          <w:tcPr>
            <w:tcW w:w="1731" w:type="dxa"/>
            <w:tcBorders>
              <w:top w:val="single" w:color="auto" w:sz="4" w:space="0"/>
              <w:bottom w:val="single" w:color="auto" w:sz="4" w:space="0"/>
            </w:tcBorders>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0.0004</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301" w:hRule="exact"/>
          <w:jc w:val="center"/>
        </w:trPr>
        <w:tc>
          <w:tcPr>
            <w:tcW w:w="1040" w:type="dxa"/>
            <w:tcBorders>
              <w:top w:val="single" w:color="auto" w:sz="4" w:space="0"/>
            </w:tcBorders>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rPr>
              <w:t>1</w:t>
            </w:r>
            <w:r>
              <w:rPr>
                <w:rFonts w:hint="eastAsia" w:ascii="宋体" w:hAnsi="宋体" w:eastAsia="宋体"/>
                <w:color w:val="auto"/>
                <w:sz w:val="21"/>
                <w:szCs w:val="21"/>
                <w:lang w:eastAsia="zh-CN"/>
              </w:rPr>
              <w:t>8</w:t>
            </w:r>
          </w:p>
        </w:tc>
        <w:tc>
          <w:tcPr>
            <w:tcW w:w="2678" w:type="dxa"/>
            <w:tcBorders>
              <w:top w:val="single" w:color="auto" w:sz="4" w:space="0"/>
            </w:tcBorders>
            <w:vAlign w:val="center"/>
          </w:tcPr>
          <w:p>
            <w:pPr>
              <w:spacing w:line="360" w:lineRule="auto"/>
              <w:jc w:val="center"/>
              <w:rPr>
                <w:rFonts w:ascii="宋体" w:hAnsi="宋体" w:eastAsia="宋体"/>
                <w:color w:val="auto"/>
                <w:sz w:val="21"/>
                <w:szCs w:val="21"/>
              </w:rPr>
            </w:pPr>
            <w:r>
              <w:rPr>
                <w:rFonts w:hint="eastAsia" w:ascii="宋体" w:hAnsi="宋体" w:eastAsia="宋体"/>
                <w:color w:val="auto"/>
                <w:sz w:val="21"/>
                <w:szCs w:val="21"/>
              </w:rPr>
              <w:t>硝化纤维素溶液[含氮量</w:t>
            </w:r>
            <w:r>
              <w:rPr>
                <w:rFonts w:hint="eastAsia" w:ascii="宋体" w:hAnsi="宋体" w:eastAsia="宋体" w:cs="宋体"/>
                <w:color w:val="auto"/>
                <w:sz w:val="21"/>
                <w:szCs w:val="21"/>
              </w:rPr>
              <w:t>≤</w:t>
            </w:r>
            <w:r>
              <w:rPr>
                <w:rFonts w:hint="eastAsia" w:ascii="宋体" w:hAnsi="宋体" w:eastAsia="宋体"/>
                <w:color w:val="auto"/>
                <w:sz w:val="21"/>
                <w:szCs w:val="21"/>
              </w:rPr>
              <w:t>12.6%，含硝化纤维素</w:t>
            </w:r>
            <w:r>
              <w:rPr>
                <w:rFonts w:hint="eastAsia" w:ascii="宋体" w:hAnsi="宋体" w:eastAsia="宋体" w:cs="宋体"/>
                <w:color w:val="auto"/>
                <w:sz w:val="21"/>
                <w:szCs w:val="21"/>
              </w:rPr>
              <w:t>≤</w:t>
            </w:r>
            <w:r>
              <w:rPr>
                <w:rFonts w:hint="eastAsia" w:ascii="宋体" w:hAnsi="宋体" w:eastAsia="宋体"/>
                <w:color w:val="auto"/>
                <w:sz w:val="21"/>
                <w:szCs w:val="21"/>
              </w:rPr>
              <w:t>55%]</w:t>
            </w:r>
          </w:p>
        </w:tc>
        <w:tc>
          <w:tcPr>
            <w:tcW w:w="1819" w:type="dxa"/>
            <w:tcBorders>
              <w:top w:val="single" w:color="auto" w:sz="4" w:space="0"/>
            </w:tcBorders>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50</w:t>
            </w:r>
          </w:p>
        </w:tc>
        <w:tc>
          <w:tcPr>
            <w:tcW w:w="1804" w:type="dxa"/>
            <w:tcBorders>
              <w:top w:val="single" w:color="auto" w:sz="4" w:space="0"/>
            </w:tcBorders>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1</w:t>
            </w:r>
          </w:p>
        </w:tc>
        <w:tc>
          <w:tcPr>
            <w:tcW w:w="1731" w:type="dxa"/>
            <w:tcBorders>
              <w:top w:val="single" w:color="auto" w:sz="4" w:space="0"/>
            </w:tcBorders>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0.02</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80" w:hRule="exact"/>
          <w:jc w:val="center"/>
        </w:trPr>
        <w:tc>
          <w:tcPr>
            <w:tcW w:w="7341" w:type="dxa"/>
            <w:gridSpan w:val="4"/>
            <w:vAlign w:val="center"/>
          </w:tcPr>
          <w:p>
            <w:pPr>
              <w:spacing w:line="360" w:lineRule="auto"/>
              <w:jc w:val="center"/>
              <w:rPr>
                <w:rFonts w:ascii="宋体" w:hAnsi="宋体" w:eastAsia="宋体"/>
                <w:color w:val="auto"/>
                <w:sz w:val="21"/>
                <w:szCs w:val="21"/>
              </w:rPr>
            </w:pPr>
            <w:r>
              <w:rPr>
                <w:rFonts w:hint="eastAsia" w:ascii="宋体" w:hAnsi="宋体" w:eastAsia="宋体"/>
                <w:color w:val="auto"/>
                <w:sz w:val="21"/>
                <w:szCs w:val="21"/>
              </w:rPr>
              <w:t>合计</w:t>
            </w:r>
          </w:p>
        </w:tc>
        <w:tc>
          <w:tcPr>
            <w:tcW w:w="1731" w:type="dxa"/>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0.098</w:t>
            </w:r>
          </w:p>
        </w:tc>
      </w:tr>
    </w:tbl>
    <w:p>
      <w:pPr>
        <w:spacing w:line="560" w:lineRule="exact"/>
        <w:jc w:val="center"/>
        <w:rPr>
          <w:rFonts w:ascii="宋体" w:hAnsi="宋体" w:eastAsia="宋体"/>
          <w:b/>
          <w:color w:val="auto"/>
          <w:lang w:eastAsia="zh-CN"/>
        </w:rPr>
      </w:pPr>
    </w:p>
    <w:p>
      <w:pPr>
        <w:spacing w:line="560" w:lineRule="exact"/>
        <w:jc w:val="center"/>
        <w:rPr>
          <w:rFonts w:ascii="宋体" w:hAnsi="宋体" w:eastAsia="宋体"/>
          <w:b/>
          <w:color w:val="auto"/>
          <w:lang w:eastAsia="zh-CN"/>
        </w:rPr>
      </w:pPr>
    </w:p>
    <w:p>
      <w:pPr>
        <w:spacing w:line="560" w:lineRule="exact"/>
        <w:jc w:val="center"/>
        <w:rPr>
          <w:rFonts w:ascii="宋体" w:hAnsi="宋体" w:eastAsia="宋体"/>
          <w:b/>
          <w:color w:val="auto"/>
          <w:lang w:eastAsia="zh-CN"/>
        </w:rPr>
      </w:pPr>
    </w:p>
    <w:p>
      <w:pPr>
        <w:spacing w:line="560" w:lineRule="exact"/>
        <w:jc w:val="center"/>
        <w:rPr>
          <w:rFonts w:ascii="宋体" w:hAnsi="宋体" w:eastAsia="宋体"/>
          <w:b/>
          <w:color w:val="auto"/>
          <w:lang w:eastAsia="zh-CN"/>
        </w:rPr>
      </w:pPr>
    </w:p>
    <w:p>
      <w:pPr>
        <w:spacing w:line="560" w:lineRule="exact"/>
        <w:jc w:val="center"/>
        <w:rPr>
          <w:rFonts w:ascii="宋体" w:hAnsi="宋体" w:eastAsia="PMingLiU"/>
          <w:b/>
          <w:color w:val="auto"/>
        </w:rPr>
      </w:pPr>
      <w:r>
        <w:rPr>
          <w:rFonts w:hint="eastAsia" w:ascii="宋体" w:hAnsi="宋体" w:eastAsia="宋体"/>
          <w:b/>
          <w:color w:val="auto"/>
        </w:rPr>
        <w:t>附表1</w:t>
      </w:r>
      <w:r>
        <w:rPr>
          <w:rFonts w:ascii="宋体" w:hAnsi="宋体" w:eastAsia="宋体"/>
          <w:b/>
          <w:color w:val="auto"/>
        </w:rPr>
        <w:t>-2</w:t>
      </w:r>
      <w:r>
        <w:rPr>
          <w:rFonts w:hint="eastAsia" w:ascii="宋体" w:hAnsi="宋体" w:eastAsia="宋体"/>
          <w:b/>
          <w:color w:val="auto"/>
          <w:lang w:eastAsia="zh-CN"/>
        </w:rPr>
        <w:t>6</w:t>
      </w:r>
      <w:r>
        <w:rPr>
          <w:rFonts w:hint="eastAsia" w:ascii="宋体" w:hAnsi="宋体" w:eastAsia="宋体"/>
          <w:b/>
          <w:color w:val="auto"/>
        </w:rPr>
        <w:t xml:space="preserve"> </w:t>
      </w:r>
      <w:r>
        <w:rPr>
          <w:rFonts w:hint="eastAsia" w:ascii="宋体" w:hAnsi="宋体" w:eastAsia="宋体"/>
          <w:b/>
          <w:color w:val="auto"/>
          <w:lang w:eastAsia="zh-CN"/>
        </w:rPr>
        <w:t>甲类生产车间</w:t>
      </w:r>
      <w:r>
        <w:rPr>
          <w:rFonts w:hint="eastAsia" w:ascii="宋体" w:hAnsi="宋体" w:eastAsia="宋体"/>
          <w:b/>
          <w:color w:val="auto"/>
        </w:rPr>
        <w:t>危险化学品重大危险源辨识表</w:t>
      </w:r>
    </w:p>
    <w:tbl>
      <w:tblPr>
        <w:tblStyle w:val="45"/>
        <w:tblW w:w="9072"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040"/>
        <w:gridCol w:w="2678"/>
        <w:gridCol w:w="1819"/>
        <w:gridCol w:w="1804"/>
        <w:gridCol w:w="1731"/>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66" w:hRule="atLeast"/>
          <w:tblHeader/>
          <w:jc w:val="center"/>
        </w:trPr>
        <w:tc>
          <w:tcPr>
            <w:tcW w:w="1040" w:type="dxa"/>
            <w:vAlign w:val="center"/>
          </w:tcPr>
          <w:p>
            <w:pPr>
              <w:spacing w:line="360" w:lineRule="auto"/>
              <w:jc w:val="center"/>
              <w:rPr>
                <w:rFonts w:ascii="宋体" w:hAnsi="宋体" w:eastAsia="宋体"/>
                <w:b/>
                <w:color w:val="auto"/>
                <w:sz w:val="21"/>
                <w:szCs w:val="21"/>
              </w:rPr>
            </w:pPr>
            <w:r>
              <w:rPr>
                <w:rFonts w:hint="eastAsia" w:ascii="宋体" w:hAnsi="宋体" w:eastAsia="宋体"/>
                <w:b/>
                <w:color w:val="auto"/>
                <w:sz w:val="21"/>
                <w:szCs w:val="21"/>
              </w:rPr>
              <w:t>序号</w:t>
            </w:r>
          </w:p>
        </w:tc>
        <w:tc>
          <w:tcPr>
            <w:tcW w:w="2678" w:type="dxa"/>
            <w:vAlign w:val="center"/>
          </w:tcPr>
          <w:p>
            <w:pPr>
              <w:spacing w:line="360" w:lineRule="auto"/>
              <w:jc w:val="center"/>
              <w:rPr>
                <w:rFonts w:ascii="宋体" w:hAnsi="宋体" w:eastAsia="宋体"/>
                <w:b/>
                <w:color w:val="auto"/>
                <w:sz w:val="21"/>
                <w:szCs w:val="21"/>
              </w:rPr>
            </w:pPr>
            <w:r>
              <w:rPr>
                <w:rFonts w:hint="eastAsia" w:ascii="宋体" w:hAnsi="宋体" w:eastAsia="宋体"/>
                <w:b/>
                <w:color w:val="auto"/>
                <w:sz w:val="21"/>
                <w:szCs w:val="21"/>
              </w:rPr>
              <w:t>物质名称</w:t>
            </w:r>
          </w:p>
        </w:tc>
        <w:tc>
          <w:tcPr>
            <w:tcW w:w="1819" w:type="dxa"/>
            <w:vAlign w:val="center"/>
          </w:tcPr>
          <w:p>
            <w:pPr>
              <w:spacing w:line="360" w:lineRule="auto"/>
              <w:jc w:val="center"/>
              <w:rPr>
                <w:rFonts w:ascii="宋体" w:hAnsi="宋体" w:eastAsia="宋体"/>
                <w:b/>
                <w:color w:val="auto"/>
                <w:sz w:val="21"/>
                <w:szCs w:val="21"/>
              </w:rPr>
            </w:pPr>
            <w:r>
              <w:rPr>
                <w:rFonts w:hint="eastAsia" w:ascii="宋体" w:hAnsi="宋体" w:eastAsia="宋体"/>
                <w:b/>
                <w:color w:val="auto"/>
                <w:sz w:val="21"/>
                <w:szCs w:val="21"/>
              </w:rPr>
              <w:t>临界量</w:t>
            </w:r>
          </w:p>
          <w:p>
            <w:pPr>
              <w:spacing w:line="360" w:lineRule="auto"/>
              <w:jc w:val="center"/>
              <w:rPr>
                <w:rFonts w:ascii="宋体" w:hAnsi="宋体" w:eastAsia="宋体"/>
                <w:b/>
                <w:color w:val="auto"/>
                <w:sz w:val="21"/>
                <w:szCs w:val="21"/>
              </w:rPr>
            </w:pPr>
            <w:r>
              <w:rPr>
                <w:rFonts w:hint="eastAsia" w:ascii="宋体" w:hAnsi="宋体" w:eastAsia="宋体"/>
                <w:b/>
                <w:color w:val="auto"/>
                <w:sz w:val="21"/>
                <w:szCs w:val="21"/>
              </w:rPr>
              <w:t>Q（t）</w:t>
            </w:r>
          </w:p>
        </w:tc>
        <w:tc>
          <w:tcPr>
            <w:tcW w:w="1804" w:type="dxa"/>
            <w:vAlign w:val="center"/>
          </w:tcPr>
          <w:p>
            <w:pPr>
              <w:spacing w:line="360" w:lineRule="auto"/>
              <w:jc w:val="center"/>
              <w:rPr>
                <w:rFonts w:ascii="宋体" w:hAnsi="宋体" w:eastAsia="宋体"/>
                <w:b/>
                <w:color w:val="auto"/>
                <w:sz w:val="21"/>
                <w:szCs w:val="21"/>
              </w:rPr>
            </w:pPr>
            <w:r>
              <w:rPr>
                <w:rFonts w:hint="eastAsia" w:ascii="宋体" w:hAnsi="宋体" w:eastAsia="宋体"/>
                <w:b/>
                <w:color w:val="auto"/>
                <w:sz w:val="21"/>
                <w:szCs w:val="21"/>
                <w:lang w:eastAsia="zh-CN"/>
              </w:rPr>
              <w:t>最大设计储存量</w:t>
            </w:r>
            <w:r>
              <w:rPr>
                <w:rFonts w:hint="eastAsia" w:ascii="宋体" w:hAnsi="宋体" w:eastAsia="宋体"/>
                <w:b/>
                <w:color w:val="auto"/>
                <w:sz w:val="21"/>
                <w:szCs w:val="21"/>
                <w:lang w:val="en-US" w:eastAsia="zh-CN"/>
              </w:rPr>
              <w:t>q</w:t>
            </w:r>
            <w:r>
              <w:rPr>
                <w:rFonts w:hint="eastAsia" w:ascii="宋体" w:hAnsi="宋体" w:eastAsia="宋体"/>
                <w:b/>
                <w:color w:val="auto"/>
                <w:sz w:val="21"/>
                <w:szCs w:val="21"/>
                <w:lang w:eastAsia="zh-CN"/>
              </w:rPr>
              <w:t>（</w:t>
            </w:r>
            <w:r>
              <w:rPr>
                <w:rFonts w:hint="eastAsia" w:ascii="宋体" w:hAnsi="宋体" w:eastAsia="宋体"/>
                <w:b/>
                <w:color w:val="auto"/>
                <w:sz w:val="21"/>
                <w:szCs w:val="21"/>
                <w:lang w:val="en-US" w:eastAsia="zh-CN"/>
              </w:rPr>
              <w:t>t</w:t>
            </w:r>
            <w:r>
              <w:rPr>
                <w:rFonts w:hint="eastAsia" w:ascii="宋体" w:hAnsi="宋体" w:eastAsia="宋体"/>
                <w:b/>
                <w:color w:val="auto"/>
                <w:sz w:val="21"/>
                <w:szCs w:val="21"/>
                <w:lang w:eastAsia="zh-CN"/>
              </w:rPr>
              <w:t>）</w:t>
            </w:r>
          </w:p>
        </w:tc>
        <w:tc>
          <w:tcPr>
            <w:tcW w:w="1731" w:type="dxa"/>
            <w:vAlign w:val="center"/>
          </w:tcPr>
          <w:p>
            <w:pPr>
              <w:spacing w:line="360" w:lineRule="auto"/>
              <w:jc w:val="center"/>
              <w:rPr>
                <w:rFonts w:ascii="宋体" w:hAnsi="宋体" w:eastAsia="宋体"/>
                <w:b/>
                <w:color w:val="auto"/>
                <w:sz w:val="21"/>
                <w:szCs w:val="21"/>
              </w:rPr>
            </w:pPr>
            <w:r>
              <w:rPr>
                <w:rFonts w:hint="eastAsia" w:ascii="宋体" w:hAnsi="宋体" w:eastAsia="宋体"/>
                <w:b/>
                <w:color w:val="auto"/>
                <w:sz w:val="21"/>
                <w:szCs w:val="21"/>
              </w:rPr>
              <w:t>q/Q</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040" w:type="dxa"/>
            <w:vAlign w:val="center"/>
          </w:tcPr>
          <w:p>
            <w:pPr>
              <w:spacing w:line="360" w:lineRule="auto"/>
              <w:jc w:val="center"/>
              <w:rPr>
                <w:rFonts w:ascii="宋体" w:hAnsi="宋体" w:eastAsia="宋体"/>
                <w:color w:val="auto"/>
                <w:sz w:val="21"/>
                <w:szCs w:val="21"/>
              </w:rPr>
            </w:pPr>
            <w:r>
              <w:rPr>
                <w:rFonts w:hint="eastAsia" w:ascii="宋体" w:hAnsi="宋体" w:eastAsia="宋体"/>
                <w:color w:val="auto"/>
                <w:sz w:val="21"/>
                <w:szCs w:val="21"/>
              </w:rPr>
              <w:t>1</w:t>
            </w:r>
          </w:p>
        </w:tc>
        <w:tc>
          <w:tcPr>
            <w:tcW w:w="2678" w:type="dxa"/>
            <w:vAlign w:val="center"/>
          </w:tcPr>
          <w:p>
            <w:pPr>
              <w:spacing w:line="360" w:lineRule="auto"/>
              <w:jc w:val="center"/>
              <w:rPr>
                <w:rFonts w:ascii="宋体" w:hAnsi="宋体" w:eastAsia="宋体"/>
                <w:color w:val="auto"/>
                <w:sz w:val="21"/>
                <w:szCs w:val="21"/>
              </w:rPr>
            </w:pPr>
            <w:r>
              <w:rPr>
                <w:rFonts w:hint="eastAsia" w:ascii="宋体" w:hAnsi="宋体" w:eastAsia="宋体"/>
                <w:color w:val="auto"/>
                <w:sz w:val="21"/>
                <w:szCs w:val="21"/>
              </w:rPr>
              <w:t>乙酸乙酯</w:t>
            </w:r>
          </w:p>
        </w:tc>
        <w:tc>
          <w:tcPr>
            <w:tcW w:w="1819" w:type="dxa"/>
            <w:vMerge w:val="restart"/>
            <w:vAlign w:val="center"/>
          </w:tcPr>
          <w:p>
            <w:pPr>
              <w:spacing w:line="360" w:lineRule="auto"/>
              <w:jc w:val="center"/>
              <w:rPr>
                <w:rFonts w:ascii="宋体" w:hAnsi="宋体" w:eastAsia="宋体"/>
                <w:color w:val="auto"/>
                <w:sz w:val="21"/>
                <w:szCs w:val="21"/>
              </w:rPr>
            </w:pPr>
            <w:r>
              <w:rPr>
                <w:rFonts w:hint="eastAsia" w:ascii="宋体" w:hAnsi="宋体" w:eastAsia="宋体"/>
                <w:color w:val="auto"/>
                <w:sz w:val="21"/>
                <w:szCs w:val="21"/>
              </w:rPr>
              <w:t>500</w:t>
            </w:r>
          </w:p>
        </w:tc>
        <w:tc>
          <w:tcPr>
            <w:tcW w:w="1804" w:type="dxa"/>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0.2</w:t>
            </w:r>
          </w:p>
        </w:tc>
        <w:tc>
          <w:tcPr>
            <w:tcW w:w="1731" w:type="dxa"/>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0.0004</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040" w:type="dxa"/>
            <w:vAlign w:val="center"/>
          </w:tcPr>
          <w:p>
            <w:pPr>
              <w:spacing w:line="360" w:lineRule="auto"/>
              <w:jc w:val="center"/>
              <w:rPr>
                <w:rFonts w:ascii="宋体" w:hAnsi="宋体" w:eastAsia="宋体"/>
                <w:color w:val="auto"/>
                <w:sz w:val="21"/>
                <w:szCs w:val="21"/>
              </w:rPr>
            </w:pPr>
            <w:r>
              <w:rPr>
                <w:rFonts w:hint="eastAsia" w:ascii="宋体" w:hAnsi="宋体" w:eastAsia="宋体"/>
                <w:color w:val="auto"/>
                <w:sz w:val="21"/>
                <w:szCs w:val="21"/>
              </w:rPr>
              <w:t>2</w:t>
            </w:r>
          </w:p>
        </w:tc>
        <w:tc>
          <w:tcPr>
            <w:tcW w:w="2678" w:type="dxa"/>
            <w:vAlign w:val="center"/>
          </w:tcPr>
          <w:p>
            <w:pPr>
              <w:spacing w:line="360" w:lineRule="auto"/>
              <w:jc w:val="center"/>
              <w:rPr>
                <w:rFonts w:ascii="宋体" w:hAnsi="宋体" w:eastAsia="宋体"/>
                <w:color w:val="auto"/>
                <w:sz w:val="21"/>
                <w:szCs w:val="21"/>
              </w:rPr>
            </w:pPr>
            <w:r>
              <w:rPr>
                <w:rFonts w:hint="eastAsia" w:ascii="宋体" w:hAnsi="宋体" w:eastAsia="宋体"/>
                <w:color w:val="auto"/>
                <w:sz w:val="21"/>
                <w:szCs w:val="21"/>
              </w:rPr>
              <w:t>苯乙烯[抑制了的]</w:t>
            </w:r>
          </w:p>
        </w:tc>
        <w:tc>
          <w:tcPr>
            <w:tcW w:w="1819" w:type="dxa"/>
            <w:vMerge w:val="continue"/>
            <w:vAlign w:val="center"/>
          </w:tcPr>
          <w:p>
            <w:pPr>
              <w:spacing w:line="360" w:lineRule="auto"/>
              <w:jc w:val="center"/>
              <w:rPr>
                <w:rFonts w:ascii="宋体" w:hAnsi="宋体" w:eastAsia="宋体"/>
                <w:color w:val="auto"/>
                <w:sz w:val="21"/>
                <w:szCs w:val="21"/>
              </w:rPr>
            </w:pPr>
          </w:p>
        </w:tc>
        <w:tc>
          <w:tcPr>
            <w:tcW w:w="1804" w:type="dxa"/>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0.1</w:t>
            </w:r>
          </w:p>
        </w:tc>
        <w:tc>
          <w:tcPr>
            <w:tcW w:w="1731" w:type="dxa"/>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0.0002</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040" w:type="dxa"/>
            <w:vAlign w:val="center"/>
          </w:tcPr>
          <w:p>
            <w:pPr>
              <w:spacing w:line="360" w:lineRule="auto"/>
              <w:jc w:val="center"/>
              <w:rPr>
                <w:rFonts w:ascii="宋体" w:hAnsi="宋体" w:eastAsia="宋体"/>
                <w:color w:val="auto"/>
                <w:sz w:val="21"/>
                <w:szCs w:val="21"/>
              </w:rPr>
            </w:pPr>
            <w:r>
              <w:rPr>
                <w:rFonts w:hint="eastAsia" w:ascii="宋体" w:hAnsi="宋体" w:eastAsia="宋体"/>
                <w:color w:val="auto"/>
                <w:sz w:val="21"/>
                <w:szCs w:val="21"/>
              </w:rPr>
              <w:t>3</w:t>
            </w:r>
          </w:p>
        </w:tc>
        <w:tc>
          <w:tcPr>
            <w:tcW w:w="2678" w:type="dxa"/>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rPr>
              <w:t>混丙醇</w:t>
            </w:r>
          </w:p>
        </w:tc>
        <w:tc>
          <w:tcPr>
            <w:tcW w:w="1819" w:type="dxa"/>
            <w:vMerge w:val="restart"/>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1000</w:t>
            </w:r>
          </w:p>
        </w:tc>
        <w:tc>
          <w:tcPr>
            <w:tcW w:w="1804" w:type="dxa"/>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0.2</w:t>
            </w:r>
          </w:p>
        </w:tc>
        <w:tc>
          <w:tcPr>
            <w:tcW w:w="1731" w:type="dxa"/>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0.0002</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040" w:type="dxa"/>
            <w:vAlign w:val="center"/>
          </w:tcPr>
          <w:p>
            <w:pPr>
              <w:spacing w:line="360" w:lineRule="auto"/>
              <w:jc w:val="center"/>
              <w:rPr>
                <w:rFonts w:ascii="宋体" w:hAnsi="宋体" w:eastAsia="宋体"/>
                <w:color w:val="auto"/>
                <w:sz w:val="21"/>
                <w:szCs w:val="21"/>
              </w:rPr>
            </w:pPr>
            <w:r>
              <w:rPr>
                <w:rFonts w:hint="eastAsia" w:ascii="宋体" w:hAnsi="宋体" w:eastAsia="宋体"/>
                <w:color w:val="auto"/>
                <w:sz w:val="21"/>
                <w:szCs w:val="21"/>
              </w:rPr>
              <w:t>4</w:t>
            </w:r>
          </w:p>
        </w:tc>
        <w:tc>
          <w:tcPr>
            <w:tcW w:w="2678" w:type="dxa"/>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rPr>
              <w:t>乙酸甲酯</w:t>
            </w:r>
          </w:p>
        </w:tc>
        <w:tc>
          <w:tcPr>
            <w:tcW w:w="1819" w:type="dxa"/>
            <w:vMerge w:val="continue"/>
            <w:vAlign w:val="center"/>
          </w:tcPr>
          <w:p>
            <w:pPr>
              <w:spacing w:line="360" w:lineRule="auto"/>
              <w:jc w:val="center"/>
              <w:rPr>
                <w:rFonts w:ascii="宋体" w:hAnsi="宋体" w:eastAsia="宋体"/>
                <w:color w:val="auto"/>
                <w:sz w:val="21"/>
                <w:szCs w:val="21"/>
              </w:rPr>
            </w:pPr>
          </w:p>
        </w:tc>
        <w:tc>
          <w:tcPr>
            <w:tcW w:w="1804" w:type="dxa"/>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0.1</w:t>
            </w:r>
          </w:p>
        </w:tc>
        <w:tc>
          <w:tcPr>
            <w:tcW w:w="1731" w:type="dxa"/>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0.0001</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34" w:hRule="exact"/>
          <w:jc w:val="center"/>
        </w:trPr>
        <w:tc>
          <w:tcPr>
            <w:tcW w:w="1040" w:type="dxa"/>
            <w:tcBorders>
              <w:bottom w:val="single" w:color="auto" w:sz="4" w:space="0"/>
            </w:tcBorders>
            <w:vAlign w:val="center"/>
          </w:tcPr>
          <w:p>
            <w:pPr>
              <w:spacing w:line="360" w:lineRule="auto"/>
              <w:jc w:val="center"/>
              <w:rPr>
                <w:rFonts w:ascii="宋体" w:hAnsi="宋体" w:eastAsia="宋体"/>
                <w:color w:val="auto"/>
                <w:sz w:val="21"/>
                <w:szCs w:val="21"/>
              </w:rPr>
            </w:pPr>
            <w:r>
              <w:rPr>
                <w:rFonts w:hint="eastAsia" w:ascii="宋体" w:hAnsi="宋体" w:eastAsia="宋体"/>
                <w:color w:val="auto"/>
                <w:sz w:val="21"/>
                <w:szCs w:val="21"/>
              </w:rPr>
              <w:t>5</w:t>
            </w:r>
          </w:p>
        </w:tc>
        <w:tc>
          <w:tcPr>
            <w:tcW w:w="2678" w:type="dxa"/>
            <w:tcBorders>
              <w:bottom w:val="single" w:color="auto" w:sz="4" w:space="0"/>
            </w:tcBorders>
            <w:vAlign w:val="center"/>
          </w:tcPr>
          <w:p>
            <w:pPr>
              <w:spacing w:line="360" w:lineRule="auto"/>
              <w:jc w:val="center"/>
              <w:rPr>
                <w:rFonts w:ascii="宋体" w:hAnsi="宋体" w:eastAsia="宋体"/>
                <w:color w:val="auto"/>
                <w:sz w:val="21"/>
                <w:szCs w:val="21"/>
              </w:rPr>
            </w:pPr>
            <w:r>
              <w:rPr>
                <w:rFonts w:hint="eastAsia" w:ascii="宋体" w:hAnsi="宋体" w:eastAsia="宋体"/>
                <w:color w:val="auto"/>
                <w:sz w:val="21"/>
                <w:szCs w:val="21"/>
              </w:rPr>
              <w:t>乙酸仲丁酯</w:t>
            </w:r>
          </w:p>
        </w:tc>
        <w:tc>
          <w:tcPr>
            <w:tcW w:w="1819" w:type="dxa"/>
            <w:vMerge w:val="continue"/>
            <w:vAlign w:val="center"/>
          </w:tcPr>
          <w:p>
            <w:pPr>
              <w:spacing w:line="360" w:lineRule="auto"/>
              <w:jc w:val="center"/>
              <w:rPr>
                <w:rFonts w:ascii="宋体" w:hAnsi="宋体" w:eastAsia="宋体"/>
                <w:color w:val="auto"/>
                <w:sz w:val="21"/>
                <w:szCs w:val="21"/>
              </w:rPr>
            </w:pPr>
          </w:p>
        </w:tc>
        <w:tc>
          <w:tcPr>
            <w:tcW w:w="1804" w:type="dxa"/>
            <w:tcBorders>
              <w:bottom w:val="single" w:color="auto" w:sz="4" w:space="0"/>
            </w:tcBorders>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0.2</w:t>
            </w:r>
          </w:p>
        </w:tc>
        <w:tc>
          <w:tcPr>
            <w:tcW w:w="1731" w:type="dxa"/>
            <w:tcBorders>
              <w:bottom w:val="single" w:color="auto" w:sz="4" w:space="0"/>
            </w:tcBorders>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0.0002</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3" w:hRule="exact"/>
          <w:jc w:val="center"/>
        </w:trPr>
        <w:tc>
          <w:tcPr>
            <w:tcW w:w="1040" w:type="dxa"/>
            <w:tcBorders>
              <w:top w:val="single" w:color="auto" w:sz="4" w:space="0"/>
              <w:bottom w:val="single" w:color="auto" w:sz="4" w:space="0"/>
            </w:tcBorders>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6</w:t>
            </w:r>
          </w:p>
        </w:tc>
        <w:tc>
          <w:tcPr>
            <w:tcW w:w="2678" w:type="dxa"/>
            <w:tcBorders>
              <w:top w:val="single" w:color="auto" w:sz="4" w:space="0"/>
              <w:bottom w:val="single" w:color="auto" w:sz="4" w:space="0"/>
            </w:tcBorders>
            <w:vAlign w:val="center"/>
          </w:tcPr>
          <w:p>
            <w:pPr>
              <w:spacing w:line="360" w:lineRule="auto"/>
              <w:jc w:val="center"/>
              <w:rPr>
                <w:rFonts w:ascii="宋体" w:hAnsi="宋体" w:eastAsia="宋体"/>
                <w:color w:val="auto"/>
                <w:sz w:val="21"/>
                <w:szCs w:val="21"/>
              </w:rPr>
            </w:pPr>
            <w:r>
              <w:rPr>
                <w:rFonts w:hint="eastAsia" w:ascii="宋体" w:hAnsi="宋体" w:eastAsia="宋体"/>
                <w:color w:val="auto"/>
                <w:sz w:val="21"/>
                <w:szCs w:val="21"/>
              </w:rPr>
              <w:t>硝基漆清漆</w:t>
            </w:r>
          </w:p>
        </w:tc>
        <w:tc>
          <w:tcPr>
            <w:tcW w:w="1819" w:type="dxa"/>
            <w:vMerge w:val="continue"/>
            <w:vAlign w:val="center"/>
          </w:tcPr>
          <w:p>
            <w:pPr>
              <w:spacing w:line="360" w:lineRule="auto"/>
              <w:jc w:val="center"/>
              <w:rPr>
                <w:rFonts w:ascii="宋体" w:hAnsi="宋体" w:eastAsia="宋体"/>
                <w:color w:val="auto"/>
                <w:sz w:val="21"/>
                <w:szCs w:val="21"/>
              </w:rPr>
            </w:pPr>
          </w:p>
        </w:tc>
        <w:tc>
          <w:tcPr>
            <w:tcW w:w="1804" w:type="dxa"/>
            <w:tcBorders>
              <w:top w:val="single" w:color="auto" w:sz="4" w:space="0"/>
              <w:bottom w:val="single" w:color="auto" w:sz="4" w:space="0"/>
            </w:tcBorders>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0.2</w:t>
            </w:r>
          </w:p>
        </w:tc>
        <w:tc>
          <w:tcPr>
            <w:tcW w:w="1731" w:type="dxa"/>
            <w:tcBorders>
              <w:top w:val="single" w:color="auto" w:sz="4" w:space="0"/>
              <w:bottom w:val="single" w:color="auto" w:sz="4" w:space="0"/>
            </w:tcBorders>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0.0002</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25" w:hRule="exact"/>
          <w:jc w:val="center"/>
        </w:trPr>
        <w:tc>
          <w:tcPr>
            <w:tcW w:w="1040" w:type="dxa"/>
            <w:tcBorders>
              <w:top w:val="single" w:color="auto" w:sz="4" w:space="0"/>
              <w:bottom w:val="single" w:color="auto" w:sz="4" w:space="0"/>
            </w:tcBorders>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7</w:t>
            </w:r>
          </w:p>
        </w:tc>
        <w:tc>
          <w:tcPr>
            <w:tcW w:w="2678" w:type="dxa"/>
            <w:tcBorders>
              <w:top w:val="single" w:color="auto" w:sz="4" w:space="0"/>
              <w:bottom w:val="single" w:color="auto" w:sz="4" w:space="0"/>
            </w:tcBorders>
            <w:vAlign w:val="center"/>
          </w:tcPr>
          <w:p>
            <w:pPr>
              <w:spacing w:line="360" w:lineRule="auto"/>
              <w:jc w:val="center"/>
              <w:rPr>
                <w:rFonts w:ascii="宋体" w:hAnsi="宋体" w:eastAsia="宋体"/>
                <w:color w:val="auto"/>
                <w:sz w:val="21"/>
                <w:szCs w:val="21"/>
              </w:rPr>
            </w:pPr>
            <w:r>
              <w:rPr>
                <w:rFonts w:hint="eastAsia" w:ascii="宋体" w:hAnsi="宋体" w:eastAsia="宋体"/>
                <w:color w:val="auto"/>
                <w:sz w:val="21"/>
                <w:szCs w:val="21"/>
              </w:rPr>
              <w:t>硝基漆稀释剂</w:t>
            </w:r>
          </w:p>
        </w:tc>
        <w:tc>
          <w:tcPr>
            <w:tcW w:w="1819" w:type="dxa"/>
            <w:vMerge w:val="continue"/>
            <w:vAlign w:val="center"/>
          </w:tcPr>
          <w:p>
            <w:pPr>
              <w:spacing w:line="360" w:lineRule="auto"/>
              <w:jc w:val="center"/>
              <w:rPr>
                <w:rFonts w:ascii="宋体" w:hAnsi="宋体" w:eastAsia="宋体"/>
                <w:color w:val="auto"/>
                <w:sz w:val="21"/>
                <w:szCs w:val="21"/>
              </w:rPr>
            </w:pPr>
          </w:p>
        </w:tc>
        <w:tc>
          <w:tcPr>
            <w:tcW w:w="1804" w:type="dxa"/>
            <w:tcBorders>
              <w:top w:val="single" w:color="auto" w:sz="4" w:space="0"/>
              <w:bottom w:val="single" w:color="auto" w:sz="4" w:space="0"/>
            </w:tcBorders>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0.1</w:t>
            </w:r>
          </w:p>
        </w:tc>
        <w:tc>
          <w:tcPr>
            <w:tcW w:w="1731" w:type="dxa"/>
            <w:tcBorders>
              <w:top w:val="single" w:color="auto" w:sz="4" w:space="0"/>
              <w:bottom w:val="single" w:color="auto" w:sz="4" w:space="0"/>
            </w:tcBorders>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0.0001</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040" w:type="dxa"/>
            <w:tcBorders>
              <w:top w:val="single" w:color="auto" w:sz="4" w:space="0"/>
            </w:tcBorders>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8</w:t>
            </w:r>
          </w:p>
        </w:tc>
        <w:tc>
          <w:tcPr>
            <w:tcW w:w="2678" w:type="dxa"/>
            <w:tcBorders>
              <w:top w:val="single" w:color="auto" w:sz="4" w:space="0"/>
            </w:tcBorders>
            <w:vAlign w:val="center"/>
          </w:tcPr>
          <w:p>
            <w:pPr>
              <w:spacing w:line="360" w:lineRule="auto"/>
              <w:jc w:val="center"/>
              <w:rPr>
                <w:rFonts w:ascii="宋体" w:hAnsi="宋体" w:eastAsia="宋体"/>
                <w:color w:val="auto"/>
                <w:sz w:val="21"/>
                <w:szCs w:val="21"/>
              </w:rPr>
            </w:pPr>
            <w:r>
              <w:rPr>
                <w:rFonts w:hint="eastAsia" w:ascii="宋体" w:hAnsi="宋体" w:eastAsia="宋体"/>
                <w:color w:val="auto"/>
                <w:sz w:val="21"/>
                <w:szCs w:val="21"/>
              </w:rPr>
              <w:t>聚氨酯漆稀释剂</w:t>
            </w:r>
          </w:p>
        </w:tc>
        <w:tc>
          <w:tcPr>
            <w:tcW w:w="1819" w:type="dxa"/>
            <w:vMerge w:val="restart"/>
            <w:tcBorders>
              <w:top w:val="single" w:color="auto" w:sz="4" w:space="0"/>
            </w:tcBorders>
            <w:vAlign w:val="center"/>
          </w:tcPr>
          <w:p>
            <w:pPr>
              <w:spacing w:line="360" w:lineRule="auto"/>
              <w:jc w:val="center"/>
              <w:rPr>
                <w:rFonts w:ascii="宋体" w:hAnsi="宋体" w:eastAsia="宋体"/>
                <w:color w:val="auto"/>
                <w:sz w:val="21"/>
                <w:szCs w:val="21"/>
              </w:rPr>
            </w:pPr>
            <w:r>
              <w:rPr>
                <w:rFonts w:hint="eastAsia" w:ascii="宋体" w:hAnsi="宋体" w:eastAsia="宋体"/>
                <w:color w:val="auto"/>
                <w:sz w:val="21"/>
                <w:szCs w:val="21"/>
              </w:rPr>
              <w:t>5000</w:t>
            </w:r>
          </w:p>
        </w:tc>
        <w:tc>
          <w:tcPr>
            <w:tcW w:w="1804" w:type="dxa"/>
            <w:tcBorders>
              <w:top w:val="single" w:color="auto" w:sz="4" w:space="0"/>
            </w:tcBorders>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0.2</w:t>
            </w:r>
          </w:p>
        </w:tc>
        <w:tc>
          <w:tcPr>
            <w:tcW w:w="1731" w:type="dxa"/>
            <w:tcBorders>
              <w:top w:val="single" w:color="auto" w:sz="4" w:space="0"/>
            </w:tcBorders>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0.00004</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86" w:hRule="exact"/>
          <w:jc w:val="center"/>
        </w:trPr>
        <w:tc>
          <w:tcPr>
            <w:tcW w:w="1040" w:type="dxa"/>
            <w:tcBorders>
              <w:bottom w:val="single" w:color="auto" w:sz="4" w:space="0"/>
            </w:tcBorders>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9</w:t>
            </w:r>
          </w:p>
        </w:tc>
        <w:tc>
          <w:tcPr>
            <w:tcW w:w="2678" w:type="dxa"/>
            <w:tcBorders>
              <w:bottom w:val="single" w:color="auto" w:sz="4" w:space="0"/>
            </w:tcBorders>
            <w:vAlign w:val="center"/>
          </w:tcPr>
          <w:p>
            <w:pPr>
              <w:spacing w:line="360" w:lineRule="auto"/>
              <w:jc w:val="center"/>
              <w:rPr>
                <w:rFonts w:ascii="宋体" w:hAnsi="宋体" w:eastAsia="宋体"/>
                <w:color w:val="auto"/>
                <w:sz w:val="21"/>
                <w:szCs w:val="21"/>
              </w:rPr>
            </w:pPr>
            <w:r>
              <w:rPr>
                <w:rFonts w:hint="eastAsia" w:ascii="宋体" w:hAnsi="宋体" w:eastAsia="宋体"/>
                <w:color w:val="auto"/>
                <w:sz w:val="21"/>
                <w:szCs w:val="21"/>
              </w:rPr>
              <w:t>聚酯树脂清漆</w:t>
            </w:r>
          </w:p>
        </w:tc>
        <w:tc>
          <w:tcPr>
            <w:tcW w:w="1819" w:type="dxa"/>
            <w:vMerge w:val="continue"/>
            <w:vAlign w:val="center"/>
          </w:tcPr>
          <w:p>
            <w:pPr>
              <w:spacing w:line="360" w:lineRule="auto"/>
              <w:jc w:val="center"/>
              <w:rPr>
                <w:rFonts w:ascii="宋体" w:hAnsi="宋体" w:eastAsia="宋体"/>
                <w:color w:val="auto"/>
                <w:sz w:val="21"/>
                <w:szCs w:val="21"/>
              </w:rPr>
            </w:pPr>
          </w:p>
        </w:tc>
        <w:tc>
          <w:tcPr>
            <w:tcW w:w="1804" w:type="dxa"/>
            <w:tcBorders>
              <w:bottom w:val="single" w:color="auto" w:sz="4" w:space="0"/>
            </w:tcBorders>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0.2</w:t>
            </w:r>
          </w:p>
        </w:tc>
        <w:tc>
          <w:tcPr>
            <w:tcW w:w="1731" w:type="dxa"/>
            <w:tcBorders>
              <w:bottom w:val="single" w:color="auto" w:sz="4" w:space="0"/>
            </w:tcBorders>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0.00004</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4" w:hRule="exact"/>
          <w:jc w:val="center"/>
        </w:trPr>
        <w:tc>
          <w:tcPr>
            <w:tcW w:w="1040" w:type="dxa"/>
            <w:tcBorders>
              <w:top w:val="single" w:color="auto" w:sz="4" w:space="0"/>
              <w:bottom w:val="single" w:color="auto" w:sz="4" w:space="0"/>
            </w:tcBorders>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10</w:t>
            </w:r>
          </w:p>
        </w:tc>
        <w:tc>
          <w:tcPr>
            <w:tcW w:w="2678" w:type="dxa"/>
            <w:tcBorders>
              <w:top w:val="single" w:color="auto" w:sz="4" w:space="0"/>
              <w:bottom w:val="single" w:color="auto" w:sz="4" w:space="0"/>
            </w:tcBorders>
            <w:vAlign w:val="center"/>
          </w:tcPr>
          <w:p>
            <w:pPr>
              <w:widowControl/>
              <w:spacing w:line="310" w:lineRule="exact"/>
              <w:jc w:val="center"/>
              <w:rPr>
                <w:rFonts w:ascii="宋体" w:hAnsi="宋体" w:eastAsia="宋体" w:cs="宋体"/>
                <w:color w:val="auto"/>
                <w:sz w:val="21"/>
                <w:szCs w:val="21"/>
              </w:rPr>
            </w:pPr>
            <w:r>
              <w:rPr>
                <w:rFonts w:hint="eastAsia" w:ascii="宋体" w:hAnsi="宋体" w:eastAsia="宋体"/>
                <w:color w:val="auto"/>
                <w:sz w:val="21"/>
                <w:szCs w:val="21"/>
              </w:rPr>
              <w:t>丙二醇甲醚乙酸酯</w:t>
            </w:r>
          </w:p>
          <w:p>
            <w:pPr>
              <w:spacing w:line="360" w:lineRule="auto"/>
              <w:jc w:val="center"/>
              <w:rPr>
                <w:rFonts w:ascii="宋体" w:hAnsi="宋体" w:eastAsia="宋体"/>
                <w:color w:val="auto"/>
                <w:sz w:val="21"/>
                <w:szCs w:val="21"/>
                <w:lang w:eastAsia="zh-CN"/>
              </w:rPr>
            </w:pPr>
          </w:p>
        </w:tc>
        <w:tc>
          <w:tcPr>
            <w:tcW w:w="1819" w:type="dxa"/>
            <w:vMerge w:val="continue"/>
            <w:vAlign w:val="center"/>
          </w:tcPr>
          <w:p>
            <w:pPr>
              <w:spacing w:line="360" w:lineRule="auto"/>
              <w:jc w:val="center"/>
              <w:rPr>
                <w:rFonts w:ascii="宋体" w:hAnsi="宋体" w:eastAsia="宋体"/>
                <w:color w:val="auto"/>
                <w:sz w:val="21"/>
                <w:szCs w:val="21"/>
              </w:rPr>
            </w:pPr>
          </w:p>
        </w:tc>
        <w:tc>
          <w:tcPr>
            <w:tcW w:w="1804" w:type="dxa"/>
            <w:tcBorders>
              <w:top w:val="single" w:color="auto" w:sz="4" w:space="0"/>
              <w:bottom w:val="single" w:color="auto" w:sz="4" w:space="0"/>
            </w:tcBorders>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0.2</w:t>
            </w:r>
          </w:p>
        </w:tc>
        <w:tc>
          <w:tcPr>
            <w:tcW w:w="1731" w:type="dxa"/>
            <w:tcBorders>
              <w:top w:val="single" w:color="auto" w:sz="4" w:space="0"/>
              <w:bottom w:val="single" w:color="auto" w:sz="4" w:space="0"/>
            </w:tcBorders>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0.00004</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040" w:type="dxa"/>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11</w:t>
            </w:r>
          </w:p>
        </w:tc>
        <w:tc>
          <w:tcPr>
            <w:tcW w:w="2678" w:type="dxa"/>
            <w:vAlign w:val="center"/>
          </w:tcPr>
          <w:p>
            <w:pPr>
              <w:spacing w:line="360" w:lineRule="auto"/>
              <w:jc w:val="center"/>
              <w:rPr>
                <w:rFonts w:ascii="宋体" w:hAnsi="宋体" w:eastAsia="宋体"/>
                <w:color w:val="auto"/>
                <w:sz w:val="21"/>
                <w:szCs w:val="21"/>
              </w:rPr>
            </w:pPr>
            <w:r>
              <w:rPr>
                <w:rFonts w:hint="eastAsia" w:ascii="宋体" w:hAnsi="宋体" w:eastAsia="宋体"/>
                <w:color w:val="auto"/>
                <w:sz w:val="21"/>
                <w:szCs w:val="21"/>
              </w:rPr>
              <w:t>二甲苯异构体混合物</w:t>
            </w:r>
          </w:p>
        </w:tc>
        <w:tc>
          <w:tcPr>
            <w:tcW w:w="1819" w:type="dxa"/>
            <w:vMerge w:val="continue"/>
            <w:vAlign w:val="center"/>
          </w:tcPr>
          <w:p>
            <w:pPr>
              <w:spacing w:line="360" w:lineRule="auto"/>
              <w:jc w:val="center"/>
              <w:rPr>
                <w:rFonts w:ascii="宋体" w:hAnsi="宋体" w:eastAsia="宋体"/>
                <w:color w:val="auto"/>
                <w:sz w:val="21"/>
                <w:szCs w:val="21"/>
              </w:rPr>
            </w:pPr>
          </w:p>
        </w:tc>
        <w:tc>
          <w:tcPr>
            <w:tcW w:w="1804" w:type="dxa"/>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0.2</w:t>
            </w:r>
          </w:p>
        </w:tc>
        <w:tc>
          <w:tcPr>
            <w:tcW w:w="1731" w:type="dxa"/>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0.00004</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040" w:type="dxa"/>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12</w:t>
            </w:r>
          </w:p>
        </w:tc>
        <w:tc>
          <w:tcPr>
            <w:tcW w:w="2678" w:type="dxa"/>
            <w:vAlign w:val="center"/>
          </w:tcPr>
          <w:p>
            <w:pPr>
              <w:spacing w:line="360" w:lineRule="auto"/>
              <w:jc w:val="center"/>
              <w:rPr>
                <w:rFonts w:ascii="宋体" w:hAnsi="宋体" w:eastAsia="宋体"/>
                <w:color w:val="auto"/>
                <w:sz w:val="21"/>
                <w:szCs w:val="21"/>
              </w:rPr>
            </w:pPr>
            <w:r>
              <w:rPr>
                <w:rFonts w:hint="eastAsia" w:ascii="宋体" w:hAnsi="宋体" w:eastAsia="宋体"/>
                <w:color w:val="auto"/>
                <w:sz w:val="21"/>
                <w:szCs w:val="21"/>
              </w:rPr>
              <w:t>环己酮</w:t>
            </w:r>
          </w:p>
        </w:tc>
        <w:tc>
          <w:tcPr>
            <w:tcW w:w="1819" w:type="dxa"/>
            <w:vMerge w:val="continue"/>
            <w:vAlign w:val="center"/>
          </w:tcPr>
          <w:p>
            <w:pPr>
              <w:spacing w:line="360" w:lineRule="auto"/>
              <w:jc w:val="center"/>
              <w:rPr>
                <w:rFonts w:ascii="宋体" w:hAnsi="宋体" w:eastAsia="宋体"/>
                <w:color w:val="auto"/>
                <w:sz w:val="21"/>
                <w:szCs w:val="21"/>
              </w:rPr>
            </w:pPr>
          </w:p>
        </w:tc>
        <w:tc>
          <w:tcPr>
            <w:tcW w:w="1804" w:type="dxa"/>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0.1</w:t>
            </w:r>
          </w:p>
        </w:tc>
        <w:tc>
          <w:tcPr>
            <w:tcW w:w="1731" w:type="dxa"/>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0.00002</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86" w:hRule="exact"/>
          <w:jc w:val="center"/>
        </w:trPr>
        <w:tc>
          <w:tcPr>
            <w:tcW w:w="1040" w:type="dxa"/>
            <w:tcBorders>
              <w:bottom w:val="single" w:color="auto" w:sz="4" w:space="0"/>
            </w:tcBorders>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rPr>
              <w:t>1</w:t>
            </w:r>
            <w:r>
              <w:rPr>
                <w:rFonts w:hint="eastAsia" w:ascii="宋体" w:hAnsi="宋体" w:eastAsia="宋体"/>
                <w:color w:val="auto"/>
                <w:sz w:val="21"/>
                <w:szCs w:val="21"/>
                <w:lang w:eastAsia="zh-CN"/>
              </w:rPr>
              <w:t>3</w:t>
            </w:r>
          </w:p>
        </w:tc>
        <w:tc>
          <w:tcPr>
            <w:tcW w:w="2678" w:type="dxa"/>
            <w:tcBorders>
              <w:bottom w:val="single" w:color="auto" w:sz="4" w:space="0"/>
            </w:tcBorders>
            <w:vAlign w:val="center"/>
          </w:tcPr>
          <w:p>
            <w:pPr>
              <w:spacing w:line="360" w:lineRule="auto"/>
              <w:jc w:val="center"/>
              <w:rPr>
                <w:rFonts w:ascii="宋体" w:hAnsi="宋体" w:eastAsia="宋体"/>
                <w:color w:val="auto"/>
                <w:sz w:val="21"/>
                <w:szCs w:val="21"/>
              </w:rPr>
            </w:pPr>
            <w:r>
              <w:rPr>
                <w:rFonts w:hint="eastAsia" w:ascii="宋体" w:hAnsi="宋体" w:eastAsia="宋体"/>
                <w:color w:val="auto"/>
                <w:sz w:val="21"/>
                <w:szCs w:val="21"/>
              </w:rPr>
              <w:t>醇酸树脂</w:t>
            </w:r>
          </w:p>
        </w:tc>
        <w:tc>
          <w:tcPr>
            <w:tcW w:w="1819" w:type="dxa"/>
            <w:vMerge w:val="continue"/>
            <w:vAlign w:val="center"/>
          </w:tcPr>
          <w:p>
            <w:pPr>
              <w:spacing w:line="360" w:lineRule="auto"/>
              <w:jc w:val="center"/>
              <w:rPr>
                <w:rFonts w:ascii="宋体" w:hAnsi="宋体" w:eastAsia="宋体"/>
                <w:color w:val="auto"/>
                <w:sz w:val="21"/>
                <w:szCs w:val="21"/>
              </w:rPr>
            </w:pPr>
          </w:p>
        </w:tc>
        <w:tc>
          <w:tcPr>
            <w:tcW w:w="1804" w:type="dxa"/>
            <w:tcBorders>
              <w:bottom w:val="single" w:color="auto" w:sz="4" w:space="0"/>
            </w:tcBorders>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0.2</w:t>
            </w:r>
          </w:p>
        </w:tc>
        <w:tc>
          <w:tcPr>
            <w:tcW w:w="1731" w:type="dxa"/>
            <w:tcBorders>
              <w:bottom w:val="single" w:color="auto" w:sz="4" w:space="0"/>
            </w:tcBorders>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0.00004</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76" w:hRule="exact"/>
          <w:jc w:val="center"/>
        </w:trPr>
        <w:tc>
          <w:tcPr>
            <w:tcW w:w="1040" w:type="dxa"/>
            <w:tcBorders>
              <w:top w:val="single" w:color="auto" w:sz="4" w:space="0"/>
              <w:bottom w:val="single" w:color="auto" w:sz="4" w:space="0"/>
            </w:tcBorders>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14</w:t>
            </w:r>
          </w:p>
        </w:tc>
        <w:tc>
          <w:tcPr>
            <w:tcW w:w="2678" w:type="dxa"/>
            <w:tcBorders>
              <w:top w:val="single" w:color="auto" w:sz="4" w:space="0"/>
              <w:bottom w:val="single" w:color="auto" w:sz="4" w:space="0"/>
            </w:tcBorders>
            <w:vAlign w:val="center"/>
          </w:tcPr>
          <w:p>
            <w:pPr>
              <w:spacing w:line="360" w:lineRule="auto"/>
              <w:jc w:val="center"/>
              <w:rPr>
                <w:rFonts w:ascii="宋体" w:hAnsi="宋体" w:eastAsia="宋体"/>
                <w:color w:val="auto"/>
                <w:sz w:val="21"/>
                <w:szCs w:val="21"/>
              </w:rPr>
            </w:pPr>
            <w:r>
              <w:rPr>
                <w:rFonts w:hint="eastAsia" w:ascii="宋体" w:hAnsi="宋体" w:eastAsia="宋体"/>
                <w:color w:val="auto"/>
                <w:sz w:val="21"/>
                <w:szCs w:val="21"/>
              </w:rPr>
              <w:t>乙酸正丁酯</w:t>
            </w:r>
          </w:p>
        </w:tc>
        <w:tc>
          <w:tcPr>
            <w:tcW w:w="1819" w:type="dxa"/>
            <w:vMerge w:val="continue"/>
            <w:vAlign w:val="center"/>
          </w:tcPr>
          <w:p>
            <w:pPr>
              <w:spacing w:line="360" w:lineRule="auto"/>
              <w:jc w:val="center"/>
              <w:rPr>
                <w:rFonts w:ascii="宋体" w:hAnsi="宋体" w:eastAsia="宋体"/>
                <w:color w:val="auto"/>
                <w:sz w:val="21"/>
                <w:szCs w:val="21"/>
              </w:rPr>
            </w:pPr>
          </w:p>
        </w:tc>
        <w:tc>
          <w:tcPr>
            <w:tcW w:w="1804" w:type="dxa"/>
            <w:tcBorders>
              <w:top w:val="single" w:color="auto" w:sz="4" w:space="0"/>
              <w:bottom w:val="single" w:color="auto" w:sz="4" w:space="0"/>
            </w:tcBorders>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0.2</w:t>
            </w:r>
          </w:p>
        </w:tc>
        <w:tc>
          <w:tcPr>
            <w:tcW w:w="1731" w:type="dxa"/>
            <w:tcBorders>
              <w:top w:val="single" w:color="auto" w:sz="4" w:space="0"/>
              <w:bottom w:val="single" w:color="auto" w:sz="4" w:space="0"/>
            </w:tcBorders>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0.00004</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45" w:hRule="exact"/>
          <w:jc w:val="center"/>
        </w:trPr>
        <w:tc>
          <w:tcPr>
            <w:tcW w:w="1040" w:type="dxa"/>
            <w:tcBorders>
              <w:top w:val="single" w:color="auto" w:sz="4" w:space="0"/>
              <w:bottom w:val="single" w:color="auto" w:sz="4" w:space="0"/>
            </w:tcBorders>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15</w:t>
            </w:r>
          </w:p>
        </w:tc>
        <w:tc>
          <w:tcPr>
            <w:tcW w:w="2678" w:type="dxa"/>
            <w:tcBorders>
              <w:top w:val="single" w:color="auto" w:sz="4" w:space="0"/>
              <w:bottom w:val="single" w:color="auto" w:sz="4" w:space="0"/>
            </w:tcBorders>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不饱和聚酯树脂</w:t>
            </w:r>
          </w:p>
        </w:tc>
        <w:tc>
          <w:tcPr>
            <w:tcW w:w="1819" w:type="dxa"/>
            <w:vMerge w:val="continue"/>
            <w:vAlign w:val="center"/>
          </w:tcPr>
          <w:p>
            <w:pPr>
              <w:spacing w:line="360" w:lineRule="auto"/>
              <w:jc w:val="center"/>
              <w:rPr>
                <w:rFonts w:ascii="宋体" w:hAnsi="宋体" w:eastAsia="宋体"/>
                <w:color w:val="auto"/>
                <w:sz w:val="21"/>
                <w:szCs w:val="21"/>
              </w:rPr>
            </w:pPr>
          </w:p>
        </w:tc>
        <w:tc>
          <w:tcPr>
            <w:tcW w:w="1804" w:type="dxa"/>
            <w:tcBorders>
              <w:top w:val="single" w:color="auto" w:sz="4" w:space="0"/>
              <w:bottom w:val="single" w:color="auto" w:sz="4" w:space="0"/>
            </w:tcBorders>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0.2</w:t>
            </w:r>
          </w:p>
        </w:tc>
        <w:tc>
          <w:tcPr>
            <w:tcW w:w="1731" w:type="dxa"/>
            <w:tcBorders>
              <w:top w:val="single" w:color="auto" w:sz="4" w:space="0"/>
              <w:bottom w:val="single" w:color="auto" w:sz="4" w:space="0"/>
            </w:tcBorders>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0.00004</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6" w:hRule="exact"/>
          <w:jc w:val="center"/>
        </w:trPr>
        <w:tc>
          <w:tcPr>
            <w:tcW w:w="1040" w:type="dxa"/>
            <w:tcBorders>
              <w:top w:val="single" w:color="auto" w:sz="4" w:space="0"/>
              <w:bottom w:val="single" w:color="auto" w:sz="4" w:space="0"/>
            </w:tcBorders>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16</w:t>
            </w:r>
          </w:p>
        </w:tc>
        <w:tc>
          <w:tcPr>
            <w:tcW w:w="2678" w:type="dxa"/>
            <w:tcBorders>
              <w:top w:val="single" w:color="auto" w:sz="4" w:space="0"/>
              <w:bottom w:val="single" w:color="auto" w:sz="4" w:space="0"/>
            </w:tcBorders>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rPr>
              <w:t>N,N-二甲基甲酰胺</w:t>
            </w:r>
          </w:p>
        </w:tc>
        <w:tc>
          <w:tcPr>
            <w:tcW w:w="1819" w:type="dxa"/>
            <w:vMerge w:val="continue"/>
            <w:vAlign w:val="center"/>
          </w:tcPr>
          <w:p>
            <w:pPr>
              <w:spacing w:line="360" w:lineRule="auto"/>
              <w:jc w:val="center"/>
              <w:rPr>
                <w:rFonts w:ascii="宋体" w:hAnsi="宋体" w:eastAsia="宋体"/>
                <w:color w:val="auto"/>
                <w:sz w:val="21"/>
                <w:szCs w:val="21"/>
              </w:rPr>
            </w:pPr>
          </w:p>
        </w:tc>
        <w:tc>
          <w:tcPr>
            <w:tcW w:w="1804" w:type="dxa"/>
            <w:tcBorders>
              <w:top w:val="single" w:color="auto" w:sz="4" w:space="0"/>
              <w:bottom w:val="single" w:color="auto" w:sz="4" w:space="0"/>
            </w:tcBorders>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0.1</w:t>
            </w:r>
          </w:p>
        </w:tc>
        <w:tc>
          <w:tcPr>
            <w:tcW w:w="1731" w:type="dxa"/>
            <w:tcBorders>
              <w:top w:val="single" w:color="auto" w:sz="4" w:space="0"/>
              <w:bottom w:val="single" w:color="auto" w:sz="4" w:space="0"/>
            </w:tcBorders>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0.00002</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86" w:hRule="exact"/>
          <w:jc w:val="center"/>
        </w:trPr>
        <w:tc>
          <w:tcPr>
            <w:tcW w:w="1040" w:type="dxa"/>
            <w:tcBorders>
              <w:top w:val="single" w:color="auto" w:sz="4" w:space="0"/>
              <w:bottom w:val="single" w:color="auto" w:sz="4" w:space="0"/>
            </w:tcBorders>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18</w:t>
            </w:r>
          </w:p>
        </w:tc>
        <w:tc>
          <w:tcPr>
            <w:tcW w:w="2678" w:type="dxa"/>
            <w:tcBorders>
              <w:top w:val="single" w:color="auto" w:sz="4" w:space="0"/>
              <w:bottom w:val="single" w:color="auto" w:sz="4" w:space="0"/>
            </w:tcBorders>
            <w:vAlign w:val="center"/>
          </w:tcPr>
          <w:p>
            <w:pPr>
              <w:spacing w:line="360" w:lineRule="auto"/>
              <w:jc w:val="center"/>
              <w:rPr>
                <w:rFonts w:ascii="宋体" w:hAnsi="宋体" w:eastAsia="宋体"/>
                <w:color w:val="auto"/>
                <w:sz w:val="21"/>
                <w:szCs w:val="21"/>
              </w:rPr>
            </w:pPr>
            <w:r>
              <w:rPr>
                <w:rFonts w:hint="eastAsia" w:ascii="宋体" w:hAnsi="宋体" w:eastAsia="宋体"/>
                <w:color w:val="auto"/>
                <w:sz w:val="21"/>
                <w:szCs w:val="21"/>
                <w:lang w:eastAsia="zh-CN"/>
              </w:rPr>
              <w:t>正丁醇</w:t>
            </w:r>
          </w:p>
        </w:tc>
        <w:tc>
          <w:tcPr>
            <w:tcW w:w="1819" w:type="dxa"/>
            <w:vMerge w:val="continue"/>
            <w:tcBorders>
              <w:bottom w:val="single" w:color="auto" w:sz="4" w:space="0"/>
            </w:tcBorders>
            <w:vAlign w:val="center"/>
          </w:tcPr>
          <w:p>
            <w:pPr>
              <w:spacing w:line="360" w:lineRule="auto"/>
              <w:jc w:val="center"/>
              <w:rPr>
                <w:rFonts w:ascii="宋体" w:hAnsi="宋体" w:eastAsia="宋体"/>
                <w:color w:val="auto"/>
                <w:sz w:val="21"/>
                <w:szCs w:val="21"/>
              </w:rPr>
            </w:pPr>
          </w:p>
        </w:tc>
        <w:tc>
          <w:tcPr>
            <w:tcW w:w="1804" w:type="dxa"/>
            <w:tcBorders>
              <w:top w:val="single" w:color="auto" w:sz="4" w:space="0"/>
              <w:bottom w:val="single" w:color="auto" w:sz="4" w:space="0"/>
            </w:tcBorders>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0.1</w:t>
            </w:r>
          </w:p>
        </w:tc>
        <w:tc>
          <w:tcPr>
            <w:tcW w:w="1731" w:type="dxa"/>
            <w:tcBorders>
              <w:top w:val="single" w:color="auto" w:sz="4" w:space="0"/>
              <w:bottom w:val="single" w:color="auto" w:sz="4" w:space="0"/>
            </w:tcBorders>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0.00002</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301" w:hRule="exact"/>
          <w:jc w:val="center"/>
        </w:trPr>
        <w:tc>
          <w:tcPr>
            <w:tcW w:w="1040" w:type="dxa"/>
            <w:tcBorders>
              <w:top w:val="single" w:color="auto" w:sz="4" w:space="0"/>
            </w:tcBorders>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rPr>
              <w:t>1</w:t>
            </w:r>
            <w:r>
              <w:rPr>
                <w:rFonts w:hint="eastAsia" w:ascii="宋体" w:hAnsi="宋体" w:eastAsia="宋体"/>
                <w:color w:val="auto"/>
                <w:sz w:val="21"/>
                <w:szCs w:val="21"/>
                <w:lang w:eastAsia="zh-CN"/>
              </w:rPr>
              <w:t>8</w:t>
            </w:r>
          </w:p>
        </w:tc>
        <w:tc>
          <w:tcPr>
            <w:tcW w:w="2678" w:type="dxa"/>
            <w:tcBorders>
              <w:top w:val="single" w:color="auto" w:sz="4" w:space="0"/>
            </w:tcBorders>
            <w:vAlign w:val="center"/>
          </w:tcPr>
          <w:p>
            <w:pPr>
              <w:spacing w:line="360" w:lineRule="auto"/>
              <w:jc w:val="center"/>
              <w:rPr>
                <w:rFonts w:ascii="宋体" w:hAnsi="宋体" w:eastAsia="宋体"/>
                <w:color w:val="auto"/>
                <w:sz w:val="21"/>
                <w:szCs w:val="21"/>
              </w:rPr>
            </w:pPr>
            <w:r>
              <w:rPr>
                <w:rFonts w:hint="eastAsia" w:ascii="宋体" w:hAnsi="宋体" w:eastAsia="宋体"/>
                <w:color w:val="auto"/>
                <w:sz w:val="21"/>
                <w:szCs w:val="21"/>
              </w:rPr>
              <w:t>硝化纤维素溶液[含氮量</w:t>
            </w:r>
            <w:r>
              <w:rPr>
                <w:rFonts w:hint="eastAsia" w:ascii="宋体" w:hAnsi="宋体" w:eastAsia="宋体" w:cs="宋体"/>
                <w:color w:val="auto"/>
                <w:sz w:val="21"/>
                <w:szCs w:val="21"/>
              </w:rPr>
              <w:t>≤</w:t>
            </w:r>
            <w:r>
              <w:rPr>
                <w:rFonts w:hint="eastAsia" w:ascii="宋体" w:hAnsi="宋体" w:eastAsia="宋体"/>
                <w:color w:val="auto"/>
                <w:sz w:val="21"/>
                <w:szCs w:val="21"/>
              </w:rPr>
              <w:t>12.6%，含硝化纤维素</w:t>
            </w:r>
            <w:r>
              <w:rPr>
                <w:rFonts w:hint="eastAsia" w:ascii="宋体" w:hAnsi="宋体" w:eastAsia="宋体" w:cs="宋体"/>
                <w:color w:val="auto"/>
                <w:sz w:val="21"/>
                <w:szCs w:val="21"/>
              </w:rPr>
              <w:t>≤</w:t>
            </w:r>
            <w:r>
              <w:rPr>
                <w:rFonts w:hint="eastAsia" w:ascii="宋体" w:hAnsi="宋体" w:eastAsia="宋体"/>
                <w:color w:val="auto"/>
                <w:sz w:val="21"/>
                <w:szCs w:val="21"/>
              </w:rPr>
              <w:t>55%]</w:t>
            </w:r>
          </w:p>
        </w:tc>
        <w:tc>
          <w:tcPr>
            <w:tcW w:w="1819" w:type="dxa"/>
            <w:tcBorders>
              <w:top w:val="single" w:color="auto" w:sz="4" w:space="0"/>
            </w:tcBorders>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50</w:t>
            </w:r>
          </w:p>
        </w:tc>
        <w:tc>
          <w:tcPr>
            <w:tcW w:w="1804" w:type="dxa"/>
            <w:tcBorders>
              <w:top w:val="single" w:color="auto" w:sz="4" w:space="0"/>
            </w:tcBorders>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0.01</w:t>
            </w:r>
          </w:p>
        </w:tc>
        <w:tc>
          <w:tcPr>
            <w:tcW w:w="1731" w:type="dxa"/>
            <w:tcBorders>
              <w:top w:val="single" w:color="auto" w:sz="4" w:space="0"/>
            </w:tcBorders>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0.0002</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79" w:hRule="exact"/>
          <w:jc w:val="center"/>
        </w:trPr>
        <w:tc>
          <w:tcPr>
            <w:tcW w:w="7341" w:type="dxa"/>
            <w:gridSpan w:val="4"/>
            <w:vAlign w:val="center"/>
          </w:tcPr>
          <w:p>
            <w:pPr>
              <w:spacing w:line="360" w:lineRule="auto"/>
              <w:jc w:val="center"/>
              <w:rPr>
                <w:rFonts w:ascii="宋体" w:hAnsi="宋体" w:eastAsia="宋体"/>
                <w:color w:val="auto"/>
                <w:sz w:val="21"/>
                <w:szCs w:val="21"/>
              </w:rPr>
            </w:pPr>
            <w:r>
              <w:rPr>
                <w:rFonts w:hint="eastAsia" w:ascii="宋体" w:hAnsi="宋体" w:eastAsia="宋体"/>
                <w:color w:val="auto"/>
                <w:sz w:val="21"/>
                <w:szCs w:val="21"/>
              </w:rPr>
              <w:t>合计</w:t>
            </w:r>
          </w:p>
        </w:tc>
        <w:tc>
          <w:tcPr>
            <w:tcW w:w="1731" w:type="dxa"/>
            <w:vAlign w:val="center"/>
          </w:tcPr>
          <w:p>
            <w:pPr>
              <w:spacing w:line="360" w:lineRule="auto"/>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0.000194</w:t>
            </w:r>
          </w:p>
        </w:tc>
      </w:tr>
    </w:tbl>
    <w:p>
      <w:pPr>
        <w:spacing w:line="560" w:lineRule="exact"/>
        <w:ind w:firstLine="560" w:firstLineChars="200"/>
        <w:rPr>
          <w:rFonts w:ascii="宋体" w:hAnsi="宋体" w:eastAsia="宋体"/>
          <w:color w:val="auto"/>
          <w:sz w:val="28"/>
          <w:szCs w:val="28"/>
          <w:lang w:eastAsia="zh-CN"/>
        </w:rPr>
      </w:pPr>
      <w:r>
        <w:rPr>
          <w:rFonts w:hint="eastAsia" w:ascii="宋体" w:hAnsi="宋体" w:eastAsia="宋体"/>
          <w:color w:val="auto"/>
          <w:sz w:val="28"/>
          <w:szCs w:val="28"/>
          <w:lang w:eastAsia="zh-CN"/>
        </w:rPr>
        <w:t>经辨识，甲类生产车间单元q/Q=0.000194＜1，该公司甲类生产车间单元不构成危险化学品重大危险源；甲类仓库单元q/Q=0.098＜1，该公司甲类仓库也不构成危险化学品重大危险源。</w:t>
      </w:r>
    </w:p>
    <w:p>
      <w:pPr>
        <w:rPr>
          <w:rFonts w:ascii="宋体" w:hAnsi="宋体" w:eastAsia="宋体"/>
          <w:color w:val="auto"/>
          <w:sz w:val="28"/>
          <w:szCs w:val="28"/>
          <w:lang w:eastAsia="zh-CN"/>
        </w:rPr>
      </w:pPr>
      <w:r>
        <w:rPr>
          <w:rFonts w:hint="eastAsia" w:ascii="宋体" w:hAnsi="宋体" w:eastAsia="宋体"/>
          <w:color w:val="auto"/>
          <w:sz w:val="28"/>
          <w:szCs w:val="28"/>
          <w:lang w:eastAsia="zh-CN"/>
        </w:rPr>
        <w:t>因此，</w:t>
      </w:r>
      <w:r>
        <w:rPr>
          <w:rFonts w:ascii="宋体" w:hAnsi="宋体" w:eastAsia="宋体"/>
          <w:color w:val="auto"/>
          <w:sz w:val="28"/>
          <w:szCs w:val="28"/>
        </w:rPr>
        <w:t>该公司</w:t>
      </w:r>
      <w:r>
        <w:rPr>
          <w:rFonts w:hint="eastAsia" w:ascii="宋体" w:hAnsi="宋体" w:eastAsia="宋体"/>
          <w:color w:val="auto"/>
          <w:sz w:val="28"/>
          <w:szCs w:val="28"/>
          <w:lang w:eastAsia="zh-CN"/>
        </w:rPr>
        <w:t>危险化学品未构成重大危险源。</w:t>
      </w:r>
      <w:bookmarkStart w:id="192" w:name="bookmark133"/>
      <w:r>
        <w:rPr>
          <w:rFonts w:ascii="宋体" w:hAnsi="宋体" w:eastAsia="宋体"/>
          <w:color w:val="auto"/>
          <w:sz w:val="28"/>
          <w:szCs w:val="28"/>
          <w:lang w:eastAsia="zh-CN"/>
        </w:rPr>
        <w:br w:type="page"/>
      </w:r>
    </w:p>
    <w:p>
      <w:pPr>
        <w:pStyle w:val="3"/>
        <w:spacing w:after="120"/>
        <w:rPr>
          <w:snapToGrid/>
          <w:color w:val="auto"/>
        </w:rPr>
      </w:pPr>
      <w:bookmarkStart w:id="193" w:name="_Toc40045942"/>
      <w:r>
        <w:rPr>
          <w:snapToGrid/>
          <w:color w:val="auto"/>
        </w:rPr>
        <w:t>附件2定性、定量分析过程</w:t>
      </w:r>
      <w:bookmarkEnd w:id="192"/>
      <w:bookmarkEnd w:id="193"/>
    </w:p>
    <w:p>
      <w:pPr>
        <w:spacing w:line="560" w:lineRule="exact"/>
        <w:ind w:firstLine="425" w:firstLineChars="152"/>
        <w:rPr>
          <w:rFonts w:ascii="宋体" w:hAnsi="宋体" w:eastAsia="宋体"/>
          <w:color w:val="auto"/>
          <w:sz w:val="28"/>
          <w:szCs w:val="28"/>
        </w:rPr>
      </w:pPr>
      <w:bookmarkStart w:id="194" w:name="bookmark134"/>
      <w:r>
        <w:rPr>
          <w:rFonts w:ascii="宋体" w:hAnsi="宋体" w:eastAsia="宋体"/>
          <w:color w:val="auto"/>
          <w:sz w:val="28"/>
          <w:szCs w:val="28"/>
        </w:rPr>
        <w:t>根据该公司的危险有害的实际情况和特点，本评价报告采用安全检查表、事故树分析法、道化学火灾爆炸指数评价法，对企业危险化学品的生产作定性与定量的分析评价。</w:t>
      </w:r>
      <w:bookmarkEnd w:id="194"/>
    </w:p>
    <w:p>
      <w:pPr>
        <w:spacing w:line="560" w:lineRule="exact"/>
        <w:jc w:val="both"/>
        <w:outlineLvl w:val="1"/>
        <w:rPr>
          <w:rFonts w:ascii="楷体_GB2312" w:hAnsi="Times New Roman" w:eastAsia="楷体_GB2312" w:cs="Times New Roman"/>
          <w:bCs/>
          <w:color w:val="auto"/>
          <w:kern w:val="2"/>
          <w:sz w:val="32"/>
          <w:lang w:val="en-US" w:eastAsia="zh-CN" w:bidi="ar-SA"/>
        </w:rPr>
      </w:pPr>
      <w:bookmarkStart w:id="195" w:name="_Toc40045943"/>
      <w:bookmarkStart w:id="196" w:name="bookmark135"/>
      <w:r>
        <w:rPr>
          <w:rFonts w:ascii="楷体_GB2312" w:hAnsi="Times New Roman" w:eastAsia="楷体_GB2312" w:cs="Times New Roman"/>
          <w:bCs/>
          <w:color w:val="auto"/>
          <w:kern w:val="2"/>
          <w:sz w:val="32"/>
          <w:lang w:val="en-US" w:eastAsia="zh-CN" w:bidi="ar-SA"/>
        </w:rPr>
        <w:t>附件2.1安全检查表</w:t>
      </w:r>
      <w:bookmarkEnd w:id="195"/>
      <w:bookmarkEnd w:id="196"/>
    </w:p>
    <w:p>
      <w:pPr>
        <w:spacing w:line="560" w:lineRule="exact"/>
        <w:jc w:val="both"/>
        <w:outlineLvl w:val="2"/>
        <w:rPr>
          <w:rFonts w:ascii="宋体" w:hAnsi="宋体" w:eastAsia="宋体" w:cs="Times New Roman"/>
          <w:bCs/>
          <w:color w:val="auto"/>
          <w:kern w:val="2"/>
          <w:sz w:val="28"/>
          <w:szCs w:val="28"/>
          <w:lang w:val="en-US" w:eastAsia="zh-CN" w:bidi="ar-SA"/>
        </w:rPr>
      </w:pPr>
      <w:bookmarkStart w:id="197" w:name="bookmark136"/>
      <w:r>
        <w:rPr>
          <w:rFonts w:ascii="宋体" w:hAnsi="宋体" w:eastAsia="宋体" w:cs="Times New Roman"/>
          <w:bCs/>
          <w:color w:val="auto"/>
          <w:kern w:val="2"/>
          <w:sz w:val="28"/>
          <w:szCs w:val="28"/>
          <w:lang w:val="en-US" w:eastAsia="zh-CN" w:bidi="ar-SA"/>
        </w:rPr>
        <w:t>2.1.1安全管理方面评价检查表</w:t>
      </w:r>
      <w:bookmarkEnd w:id="197"/>
    </w:p>
    <w:p>
      <w:pPr>
        <w:spacing w:line="560" w:lineRule="exact"/>
        <w:ind w:firstLine="425" w:firstLineChars="152"/>
        <w:rPr>
          <w:rFonts w:ascii="宋体" w:hAnsi="宋体" w:eastAsia="宋体"/>
          <w:color w:val="auto"/>
          <w:sz w:val="28"/>
          <w:szCs w:val="28"/>
        </w:rPr>
      </w:pPr>
      <w:r>
        <w:rPr>
          <w:rFonts w:ascii="宋体" w:hAnsi="宋体" w:eastAsia="宋体"/>
          <w:color w:val="auto"/>
          <w:sz w:val="28"/>
          <w:szCs w:val="28"/>
        </w:rPr>
        <w:t>根据《中华人民共和国安全生产法》(中华人民共和国主席令第13号)、《安全生产许可证条例》(国务院令第397号)、《危险化学品安全管理条例》(中华人民共和国国务院令第591号，国务院令645号修订)法律、法规的要求，编制安全检查表，对企业的安全管理制度、安全管理组织、从业人员要求、事故预防与处理、安全生产投入、危险物品安全管理、安全生产所需证照文件等进行检查评价，检查评价见附表2-1。</w:t>
      </w:r>
    </w:p>
    <w:p>
      <w:pPr>
        <w:spacing w:line="560" w:lineRule="exact"/>
        <w:jc w:val="center"/>
        <w:rPr>
          <w:rFonts w:ascii="宋体" w:hAnsi="宋体" w:eastAsia="宋体"/>
          <w:b/>
          <w:color w:val="auto"/>
        </w:rPr>
      </w:pPr>
      <w:r>
        <w:rPr>
          <w:rFonts w:ascii="宋体" w:hAnsi="宋体" w:eastAsia="宋体"/>
          <w:b/>
          <w:color w:val="auto"/>
        </w:rPr>
        <w:t>附表2-1安全管理分析评价检查表</w:t>
      </w:r>
    </w:p>
    <w:tbl>
      <w:tblPr>
        <w:tblStyle w:val="45"/>
        <w:tblW w:w="5000" w:type="pct"/>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723"/>
        <w:gridCol w:w="3709"/>
        <w:gridCol w:w="64"/>
        <w:gridCol w:w="2431"/>
        <w:gridCol w:w="1794"/>
        <w:gridCol w:w="673"/>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tblHeader/>
          <w:jc w:val="center"/>
        </w:trPr>
        <w:tc>
          <w:tcPr>
            <w:tcW w:w="385" w:type="pct"/>
            <w:vAlign w:val="center"/>
          </w:tcPr>
          <w:p>
            <w:pPr>
              <w:spacing w:line="360" w:lineRule="exact"/>
              <w:jc w:val="center"/>
              <w:rPr>
                <w:rFonts w:ascii="宋体" w:hAnsi="宋体" w:eastAsia="宋体"/>
                <w:b/>
                <w:color w:val="auto"/>
                <w:sz w:val="21"/>
                <w:szCs w:val="21"/>
              </w:rPr>
            </w:pPr>
            <w:r>
              <w:rPr>
                <w:rFonts w:hint="eastAsia" w:ascii="宋体" w:hAnsi="宋体" w:eastAsia="宋体"/>
                <w:b/>
                <w:color w:val="auto"/>
                <w:sz w:val="21"/>
                <w:szCs w:val="21"/>
              </w:rPr>
              <w:t>序号</w:t>
            </w:r>
          </w:p>
        </w:tc>
        <w:tc>
          <w:tcPr>
            <w:tcW w:w="2008" w:type="pct"/>
            <w:gridSpan w:val="2"/>
            <w:vAlign w:val="center"/>
          </w:tcPr>
          <w:p>
            <w:pPr>
              <w:spacing w:line="360" w:lineRule="exact"/>
              <w:jc w:val="center"/>
              <w:rPr>
                <w:rFonts w:ascii="宋体" w:hAnsi="宋体" w:eastAsia="宋体"/>
                <w:b/>
                <w:color w:val="auto"/>
                <w:sz w:val="21"/>
                <w:szCs w:val="21"/>
              </w:rPr>
            </w:pPr>
            <w:r>
              <w:rPr>
                <w:rFonts w:hint="eastAsia" w:ascii="宋体" w:hAnsi="宋体" w:eastAsia="宋体"/>
                <w:b/>
                <w:color w:val="auto"/>
                <w:sz w:val="21"/>
                <w:szCs w:val="21"/>
              </w:rPr>
              <w:t>检查项目及内容</w:t>
            </w:r>
          </w:p>
        </w:tc>
        <w:tc>
          <w:tcPr>
            <w:tcW w:w="1294" w:type="pct"/>
            <w:vAlign w:val="center"/>
          </w:tcPr>
          <w:p>
            <w:pPr>
              <w:spacing w:line="360" w:lineRule="exact"/>
              <w:jc w:val="center"/>
              <w:rPr>
                <w:rFonts w:ascii="宋体" w:hAnsi="宋体" w:eastAsia="宋体"/>
                <w:b/>
                <w:color w:val="auto"/>
                <w:sz w:val="21"/>
                <w:szCs w:val="21"/>
              </w:rPr>
            </w:pPr>
            <w:r>
              <w:rPr>
                <w:rFonts w:hint="eastAsia" w:ascii="宋体" w:hAnsi="宋体" w:eastAsia="宋体"/>
                <w:b/>
                <w:color w:val="auto"/>
                <w:sz w:val="21"/>
                <w:szCs w:val="21"/>
              </w:rPr>
              <w:t>依据</w:t>
            </w:r>
          </w:p>
        </w:tc>
        <w:tc>
          <w:tcPr>
            <w:tcW w:w="955" w:type="pct"/>
            <w:vAlign w:val="center"/>
          </w:tcPr>
          <w:p>
            <w:pPr>
              <w:spacing w:line="360" w:lineRule="exact"/>
              <w:jc w:val="center"/>
              <w:rPr>
                <w:rFonts w:ascii="宋体" w:hAnsi="宋体" w:eastAsia="宋体"/>
                <w:b/>
                <w:color w:val="auto"/>
                <w:sz w:val="21"/>
                <w:szCs w:val="21"/>
              </w:rPr>
            </w:pPr>
            <w:r>
              <w:rPr>
                <w:rFonts w:hint="eastAsia" w:ascii="宋体" w:hAnsi="宋体" w:eastAsia="宋体"/>
                <w:b/>
                <w:color w:val="auto"/>
                <w:sz w:val="21"/>
                <w:szCs w:val="21"/>
              </w:rPr>
              <w:t>实际情况</w:t>
            </w:r>
          </w:p>
        </w:tc>
        <w:tc>
          <w:tcPr>
            <w:tcW w:w="359" w:type="pct"/>
            <w:vAlign w:val="center"/>
          </w:tcPr>
          <w:p>
            <w:pPr>
              <w:spacing w:line="360" w:lineRule="exact"/>
              <w:jc w:val="center"/>
              <w:rPr>
                <w:rFonts w:ascii="宋体" w:hAnsi="宋体" w:eastAsia="宋体"/>
                <w:b/>
                <w:color w:val="auto"/>
                <w:sz w:val="21"/>
                <w:szCs w:val="21"/>
              </w:rPr>
            </w:pPr>
            <w:r>
              <w:rPr>
                <w:rFonts w:hint="eastAsia" w:ascii="宋体" w:hAnsi="宋体" w:eastAsia="宋体"/>
                <w:b/>
                <w:color w:val="auto"/>
                <w:sz w:val="21"/>
                <w:szCs w:val="21"/>
              </w:rPr>
              <w:t>备注</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85"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1</w:t>
            </w:r>
          </w:p>
        </w:tc>
        <w:tc>
          <w:tcPr>
            <w:tcW w:w="4615" w:type="pct"/>
            <w:gridSpan w:val="5"/>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安全管理制度</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85"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1.1</w:t>
            </w:r>
          </w:p>
        </w:tc>
        <w:tc>
          <w:tcPr>
            <w:tcW w:w="2008" w:type="pct"/>
            <w:gridSpan w:val="2"/>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建立了各级各类人员(包括企业负责人、管理人员、从业人员)的安全管理责任制。</w:t>
            </w:r>
          </w:p>
        </w:tc>
        <w:tc>
          <w:tcPr>
            <w:tcW w:w="1294"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《安全生产法》第十八条(一)、《危险化学品生产企业安全生产许可证实施办法》第十三条</w:t>
            </w:r>
          </w:p>
        </w:tc>
        <w:tc>
          <w:tcPr>
            <w:tcW w:w="955"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有各级各类人员安全生产责任制。</w:t>
            </w:r>
          </w:p>
        </w:tc>
        <w:tc>
          <w:tcPr>
            <w:tcW w:w="359"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85"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1.2</w:t>
            </w:r>
          </w:p>
        </w:tc>
        <w:tc>
          <w:tcPr>
            <w:tcW w:w="2008" w:type="pct"/>
            <w:gridSpan w:val="2"/>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有健全的管理制度，包括：</w:t>
            </w:r>
          </w:p>
          <w:p>
            <w:pPr>
              <w:spacing w:line="360" w:lineRule="exact"/>
              <w:rPr>
                <w:rFonts w:ascii="宋体" w:hAnsi="宋体" w:eastAsia="宋体"/>
                <w:color w:val="auto"/>
                <w:sz w:val="21"/>
                <w:szCs w:val="21"/>
              </w:rPr>
            </w:pPr>
            <w:r>
              <w:rPr>
                <w:rFonts w:hint="eastAsia" w:ascii="宋体" w:hAnsi="宋体" w:eastAsia="宋体"/>
                <w:color w:val="auto"/>
                <w:sz w:val="21"/>
                <w:szCs w:val="21"/>
              </w:rPr>
              <w:t>(一)安全生产例会等安全生产会议制度；</w:t>
            </w:r>
          </w:p>
          <w:p>
            <w:pPr>
              <w:spacing w:line="360" w:lineRule="exact"/>
              <w:rPr>
                <w:rFonts w:ascii="宋体" w:hAnsi="宋体" w:eastAsia="宋体"/>
                <w:color w:val="auto"/>
                <w:sz w:val="21"/>
                <w:szCs w:val="21"/>
              </w:rPr>
            </w:pPr>
            <w:r>
              <w:rPr>
                <w:rFonts w:hint="eastAsia" w:ascii="宋体" w:hAnsi="宋体" w:eastAsia="宋体"/>
                <w:color w:val="auto"/>
                <w:sz w:val="21"/>
                <w:szCs w:val="21"/>
              </w:rPr>
              <w:t>(二)安全投入保障制度；</w:t>
            </w:r>
          </w:p>
          <w:p>
            <w:pPr>
              <w:spacing w:line="360" w:lineRule="exact"/>
              <w:rPr>
                <w:rFonts w:ascii="宋体" w:hAnsi="宋体" w:eastAsia="宋体"/>
                <w:color w:val="auto"/>
                <w:sz w:val="21"/>
                <w:szCs w:val="21"/>
              </w:rPr>
            </w:pPr>
            <w:r>
              <w:rPr>
                <w:rFonts w:hint="eastAsia" w:ascii="宋体" w:hAnsi="宋体" w:eastAsia="宋体"/>
                <w:color w:val="auto"/>
                <w:sz w:val="21"/>
                <w:szCs w:val="21"/>
              </w:rPr>
              <w:t>(三)安全生产奖惩制度；</w:t>
            </w:r>
          </w:p>
          <w:p>
            <w:pPr>
              <w:spacing w:line="360" w:lineRule="exact"/>
              <w:rPr>
                <w:rFonts w:ascii="宋体" w:hAnsi="宋体" w:eastAsia="宋体"/>
                <w:color w:val="auto"/>
                <w:sz w:val="21"/>
                <w:szCs w:val="21"/>
              </w:rPr>
            </w:pPr>
            <w:r>
              <w:rPr>
                <w:rFonts w:hint="eastAsia" w:ascii="宋体" w:hAnsi="宋体" w:eastAsia="宋体"/>
                <w:color w:val="auto"/>
                <w:sz w:val="21"/>
                <w:szCs w:val="21"/>
              </w:rPr>
              <w:t>(四)安全培训教育制度；</w:t>
            </w:r>
          </w:p>
          <w:p>
            <w:pPr>
              <w:spacing w:line="360" w:lineRule="exact"/>
              <w:rPr>
                <w:rFonts w:ascii="宋体" w:hAnsi="宋体" w:eastAsia="宋体"/>
                <w:color w:val="auto"/>
                <w:sz w:val="21"/>
                <w:szCs w:val="21"/>
              </w:rPr>
            </w:pPr>
            <w:r>
              <w:rPr>
                <w:rFonts w:hint="eastAsia" w:ascii="宋体" w:hAnsi="宋体" w:eastAsia="宋体"/>
                <w:color w:val="auto"/>
                <w:sz w:val="21"/>
                <w:szCs w:val="21"/>
              </w:rPr>
              <w:t>(五)领导干部轮流现场带班制度；</w:t>
            </w:r>
          </w:p>
          <w:p>
            <w:pPr>
              <w:spacing w:line="360" w:lineRule="exact"/>
              <w:rPr>
                <w:rFonts w:ascii="宋体" w:hAnsi="宋体" w:eastAsia="宋体"/>
                <w:color w:val="auto"/>
                <w:sz w:val="21"/>
                <w:szCs w:val="21"/>
              </w:rPr>
            </w:pPr>
            <w:r>
              <w:rPr>
                <w:rFonts w:hint="eastAsia" w:ascii="宋体" w:hAnsi="宋体" w:eastAsia="宋体"/>
                <w:color w:val="auto"/>
                <w:sz w:val="21"/>
                <w:szCs w:val="21"/>
              </w:rPr>
              <w:t>(六)特种作业人员管理制度；</w:t>
            </w:r>
          </w:p>
          <w:p>
            <w:pPr>
              <w:spacing w:line="360" w:lineRule="exact"/>
              <w:rPr>
                <w:rFonts w:ascii="宋体" w:hAnsi="宋体" w:eastAsia="宋体"/>
                <w:color w:val="auto"/>
                <w:sz w:val="21"/>
                <w:szCs w:val="21"/>
              </w:rPr>
            </w:pPr>
            <w:r>
              <w:rPr>
                <w:rFonts w:hint="eastAsia" w:ascii="宋体" w:hAnsi="宋体" w:eastAsia="宋体"/>
                <w:color w:val="auto"/>
                <w:sz w:val="21"/>
                <w:szCs w:val="21"/>
              </w:rPr>
              <w:t>(七)安全检查和隐患排查治理制度；</w:t>
            </w:r>
          </w:p>
          <w:p>
            <w:pPr>
              <w:spacing w:line="360" w:lineRule="exact"/>
              <w:rPr>
                <w:rFonts w:ascii="宋体" w:hAnsi="宋体" w:eastAsia="宋体"/>
                <w:color w:val="auto"/>
                <w:sz w:val="21"/>
                <w:szCs w:val="21"/>
              </w:rPr>
            </w:pPr>
            <w:r>
              <w:rPr>
                <w:rFonts w:hint="eastAsia" w:ascii="宋体" w:hAnsi="宋体" w:eastAsia="宋体"/>
                <w:color w:val="auto"/>
                <w:sz w:val="21"/>
                <w:szCs w:val="21"/>
              </w:rPr>
              <w:t>(八)变更管理制度；</w:t>
            </w:r>
          </w:p>
          <w:p>
            <w:pPr>
              <w:spacing w:line="360" w:lineRule="exact"/>
              <w:rPr>
                <w:rFonts w:ascii="宋体" w:hAnsi="宋体" w:eastAsia="宋体"/>
                <w:color w:val="auto"/>
                <w:sz w:val="21"/>
                <w:szCs w:val="21"/>
              </w:rPr>
            </w:pPr>
            <w:r>
              <w:rPr>
                <w:rFonts w:hint="eastAsia" w:ascii="宋体" w:hAnsi="宋体" w:eastAsia="宋体"/>
                <w:color w:val="auto"/>
                <w:sz w:val="21"/>
                <w:szCs w:val="21"/>
              </w:rPr>
              <w:t>(九)应急管理制度；</w:t>
            </w:r>
          </w:p>
          <w:p>
            <w:pPr>
              <w:spacing w:line="360" w:lineRule="exact"/>
              <w:rPr>
                <w:rFonts w:ascii="宋体" w:hAnsi="宋体" w:eastAsia="宋体"/>
                <w:color w:val="auto"/>
                <w:sz w:val="21"/>
                <w:szCs w:val="21"/>
              </w:rPr>
            </w:pPr>
            <w:r>
              <w:rPr>
                <w:rFonts w:hint="eastAsia" w:ascii="宋体" w:hAnsi="宋体" w:eastAsia="宋体"/>
                <w:color w:val="auto"/>
                <w:sz w:val="21"/>
                <w:szCs w:val="21"/>
              </w:rPr>
              <w:t>(十)生产安全事故或者重大事件管理制度；</w:t>
            </w:r>
          </w:p>
          <w:p>
            <w:pPr>
              <w:spacing w:line="360" w:lineRule="exact"/>
              <w:rPr>
                <w:rFonts w:ascii="宋体" w:hAnsi="宋体" w:eastAsia="宋体"/>
                <w:color w:val="auto"/>
                <w:sz w:val="21"/>
                <w:szCs w:val="21"/>
              </w:rPr>
            </w:pPr>
            <w:r>
              <w:rPr>
                <w:rFonts w:hint="eastAsia" w:ascii="宋体" w:hAnsi="宋体" w:eastAsia="宋体"/>
                <w:color w:val="auto"/>
                <w:sz w:val="21"/>
                <w:szCs w:val="21"/>
              </w:rPr>
              <w:t>(十一)防火、防爆、防中毒、防泄漏管理制度；</w:t>
            </w:r>
          </w:p>
          <w:p>
            <w:pPr>
              <w:spacing w:line="360" w:lineRule="exact"/>
              <w:rPr>
                <w:rFonts w:ascii="宋体" w:hAnsi="宋体" w:eastAsia="宋体"/>
                <w:color w:val="auto"/>
                <w:sz w:val="21"/>
                <w:szCs w:val="21"/>
              </w:rPr>
            </w:pPr>
            <w:r>
              <w:rPr>
                <w:rFonts w:hint="eastAsia" w:ascii="宋体" w:hAnsi="宋体" w:eastAsia="宋体"/>
                <w:color w:val="auto"/>
                <w:sz w:val="21"/>
                <w:szCs w:val="21"/>
              </w:rPr>
              <w:t>(十二)工艺、设备、电气仪表、公用工程安全管理制度；</w:t>
            </w:r>
          </w:p>
          <w:p>
            <w:pPr>
              <w:spacing w:line="360" w:lineRule="exact"/>
              <w:rPr>
                <w:rFonts w:ascii="宋体" w:hAnsi="宋体" w:eastAsia="宋体"/>
                <w:color w:val="auto"/>
                <w:sz w:val="21"/>
                <w:szCs w:val="21"/>
              </w:rPr>
            </w:pPr>
            <w:r>
              <w:rPr>
                <w:rFonts w:hint="eastAsia" w:ascii="宋体" w:hAnsi="宋体" w:eastAsia="宋体"/>
                <w:color w:val="auto"/>
                <w:sz w:val="21"/>
                <w:szCs w:val="21"/>
              </w:rPr>
              <w:t>(十三)动火、进入受限空间、吊装、高处、盲板抽堵、动土、断路、设备检维修等作业安全管理制度；</w:t>
            </w:r>
          </w:p>
          <w:p>
            <w:pPr>
              <w:spacing w:line="360" w:lineRule="exact"/>
              <w:rPr>
                <w:rFonts w:ascii="宋体" w:hAnsi="宋体" w:eastAsia="宋体"/>
                <w:color w:val="auto"/>
                <w:sz w:val="21"/>
                <w:szCs w:val="21"/>
              </w:rPr>
            </w:pPr>
            <w:r>
              <w:rPr>
                <w:rFonts w:hint="eastAsia" w:ascii="宋体" w:hAnsi="宋体" w:eastAsia="宋体"/>
                <w:color w:val="auto"/>
                <w:sz w:val="21"/>
                <w:szCs w:val="21"/>
              </w:rPr>
              <w:t>(十四)危险化学品安全管理制度；</w:t>
            </w:r>
          </w:p>
          <w:p>
            <w:pPr>
              <w:spacing w:line="360" w:lineRule="exact"/>
              <w:rPr>
                <w:rFonts w:ascii="宋体" w:hAnsi="宋体" w:eastAsia="宋体"/>
                <w:color w:val="auto"/>
                <w:sz w:val="21"/>
                <w:szCs w:val="21"/>
              </w:rPr>
            </w:pPr>
            <w:r>
              <w:rPr>
                <w:rFonts w:hint="eastAsia" w:ascii="宋体" w:hAnsi="宋体" w:eastAsia="宋体"/>
                <w:color w:val="auto"/>
                <w:sz w:val="21"/>
                <w:szCs w:val="21"/>
              </w:rPr>
              <w:t>(十五)职业健康管理制度；</w:t>
            </w:r>
          </w:p>
          <w:p>
            <w:pPr>
              <w:spacing w:line="360" w:lineRule="exact"/>
              <w:rPr>
                <w:rFonts w:ascii="宋体" w:hAnsi="宋体" w:eastAsia="宋体"/>
                <w:color w:val="auto"/>
                <w:sz w:val="21"/>
                <w:szCs w:val="21"/>
              </w:rPr>
            </w:pPr>
            <w:r>
              <w:rPr>
                <w:rFonts w:hint="eastAsia" w:ascii="宋体" w:hAnsi="宋体" w:eastAsia="宋体"/>
                <w:color w:val="auto"/>
                <w:sz w:val="21"/>
                <w:szCs w:val="21"/>
              </w:rPr>
              <w:t>(十六)劳动防护用品使用维护管理制度；</w:t>
            </w:r>
          </w:p>
          <w:p>
            <w:pPr>
              <w:spacing w:line="360" w:lineRule="exact"/>
              <w:rPr>
                <w:rFonts w:ascii="宋体" w:hAnsi="宋体" w:eastAsia="宋体"/>
                <w:color w:val="auto"/>
                <w:sz w:val="21"/>
                <w:szCs w:val="21"/>
              </w:rPr>
            </w:pPr>
            <w:r>
              <w:rPr>
                <w:rFonts w:hint="eastAsia" w:ascii="宋体" w:hAnsi="宋体" w:eastAsia="宋体"/>
                <w:color w:val="auto"/>
                <w:sz w:val="21"/>
                <w:szCs w:val="21"/>
              </w:rPr>
              <w:t>(十七)承包商管理制度；</w:t>
            </w:r>
          </w:p>
          <w:p>
            <w:pPr>
              <w:spacing w:line="360" w:lineRule="exact"/>
              <w:rPr>
                <w:rFonts w:ascii="宋体" w:hAnsi="宋体" w:eastAsia="宋体"/>
                <w:color w:val="auto"/>
                <w:sz w:val="21"/>
                <w:szCs w:val="21"/>
              </w:rPr>
            </w:pPr>
            <w:r>
              <w:rPr>
                <w:rFonts w:hint="eastAsia" w:ascii="宋体" w:hAnsi="宋体" w:eastAsia="宋体"/>
                <w:color w:val="auto"/>
                <w:sz w:val="21"/>
                <w:szCs w:val="21"/>
              </w:rPr>
              <w:t>(十八)安全管理制度及操作规程定期修订制度。</w:t>
            </w:r>
          </w:p>
        </w:tc>
        <w:tc>
          <w:tcPr>
            <w:tcW w:w="1294"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《安全生产法》第十八条(二)</w:t>
            </w:r>
          </w:p>
          <w:p>
            <w:pPr>
              <w:spacing w:line="360" w:lineRule="exact"/>
              <w:rPr>
                <w:rFonts w:ascii="宋体" w:hAnsi="宋体" w:eastAsia="宋体"/>
                <w:color w:val="auto"/>
                <w:sz w:val="21"/>
                <w:szCs w:val="21"/>
              </w:rPr>
            </w:pPr>
            <w:r>
              <w:rPr>
                <w:rFonts w:hint="eastAsia" w:ascii="宋体" w:hAnsi="宋体" w:eastAsia="宋体"/>
                <w:color w:val="auto"/>
                <w:sz w:val="21"/>
                <w:szCs w:val="21"/>
              </w:rPr>
              <w:t>《危险化学品生产企业安全生产许可证实施办法》第十四条</w:t>
            </w:r>
          </w:p>
        </w:tc>
        <w:tc>
          <w:tcPr>
            <w:tcW w:w="955"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已建立健全所需的安全管理制度。</w:t>
            </w:r>
          </w:p>
        </w:tc>
        <w:tc>
          <w:tcPr>
            <w:tcW w:w="359"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85"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1.3</w:t>
            </w:r>
          </w:p>
        </w:tc>
        <w:tc>
          <w:tcPr>
            <w:tcW w:w="2008" w:type="pct"/>
            <w:gridSpan w:val="2"/>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各岗位安全操作规程</w:t>
            </w:r>
          </w:p>
          <w:p>
            <w:pPr>
              <w:spacing w:line="360" w:lineRule="exact"/>
              <w:rPr>
                <w:rFonts w:ascii="宋体" w:hAnsi="宋体" w:eastAsia="宋体"/>
                <w:color w:val="auto"/>
                <w:sz w:val="21"/>
                <w:szCs w:val="21"/>
              </w:rPr>
            </w:pPr>
            <w:r>
              <w:rPr>
                <w:rFonts w:hint="eastAsia" w:ascii="宋体" w:hAnsi="宋体" w:eastAsia="宋体"/>
                <w:color w:val="auto"/>
                <w:sz w:val="21"/>
                <w:szCs w:val="21"/>
              </w:rPr>
              <w:t>(1)搅拌机安全操作规程；</w:t>
            </w:r>
          </w:p>
          <w:p>
            <w:pPr>
              <w:spacing w:line="360" w:lineRule="exact"/>
              <w:rPr>
                <w:rFonts w:ascii="宋体" w:hAnsi="宋体" w:eastAsia="宋体"/>
                <w:color w:val="auto"/>
                <w:sz w:val="21"/>
                <w:szCs w:val="21"/>
              </w:rPr>
            </w:pPr>
            <w:r>
              <w:rPr>
                <w:rFonts w:hint="eastAsia" w:ascii="宋体" w:hAnsi="宋体" w:eastAsia="宋体"/>
                <w:color w:val="auto"/>
                <w:sz w:val="21"/>
                <w:szCs w:val="21"/>
              </w:rPr>
              <w:t>(2)砂磨机安全操作规程；</w:t>
            </w:r>
          </w:p>
          <w:p>
            <w:pPr>
              <w:spacing w:line="360" w:lineRule="exact"/>
              <w:rPr>
                <w:rFonts w:ascii="宋体" w:hAnsi="宋体" w:eastAsia="宋体"/>
                <w:color w:val="auto"/>
                <w:sz w:val="21"/>
                <w:szCs w:val="21"/>
              </w:rPr>
            </w:pPr>
            <w:r>
              <w:rPr>
                <w:rFonts w:hint="eastAsia" w:ascii="宋体" w:hAnsi="宋体" w:eastAsia="宋体"/>
                <w:color w:val="auto"/>
                <w:sz w:val="21"/>
                <w:szCs w:val="21"/>
              </w:rPr>
              <w:t>(3)配料、配色安全操作规程；</w:t>
            </w:r>
          </w:p>
          <w:p>
            <w:pPr>
              <w:spacing w:line="360" w:lineRule="exact"/>
              <w:rPr>
                <w:rFonts w:ascii="宋体" w:hAnsi="宋体" w:eastAsia="宋体"/>
                <w:color w:val="auto"/>
                <w:sz w:val="21"/>
                <w:szCs w:val="21"/>
              </w:rPr>
            </w:pPr>
            <w:r>
              <w:rPr>
                <w:rFonts w:hint="eastAsia" w:ascii="宋体" w:hAnsi="宋体" w:eastAsia="宋体"/>
                <w:color w:val="auto"/>
                <w:sz w:val="21"/>
                <w:szCs w:val="21"/>
              </w:rPr>
              <w:t>(4)搬运装卸操作岗位安全操作规程；</w:t>
            </w:r>
          </w:p>
          <w:p>
            <w:pPr>
              <w:spacing w:line="360" w:lineRule="exact"/>
              <w:rPr>
                <w:rFonts w:ascii="宋体" w:hAnsi="宋体" w:eastAsia="宋体"/>
                <w:color w:val="auto"/>
                <w:sz w:val="21"/>
                <w:szCs w:val="21"/>
              </w:rPr>
            </w:pPr>
            <w:r>
              <w:rPr>
                <w:rFonts w:hint="eastAsia" w:ascii="宋体" w:hAnsi="宋体" w:eastAsia="宋体"/>
                <w:color w:val="auto"/>
                <w:sz w:val="21"/>
                <w:szCs w:val="21"/>
              </w:rPr>
              <w:t>(5)电工安全操作规程等；</w:t>
            </w:r>
          </w:p>
        </w:tc>
        <w:tc>
          <w:tcPr>
            <w:tcW w:w="1294"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《安全生产法》第十八条(二)、第二十二条</w:t>
            </w:r>
          </w:p>
        </w:tc>
        <w:tc>
          <w:tcPr>
            <w:tcW w:w="955"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有各岗位安全操作规程。</w:t>
            </w:r>
          </w:p>
        </w:tc>
        <w:tc>
          <w:tcPr>
            <w:tcW w:w="359"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85"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1.4</w:t>
            </w:r>
          </w:p>
        </w:tc>
        <w:tc>
          <w:tcPr>
            <w:tcW w:w="2008" w:type="pct"/>
            <w:gridSpan w:val="2"/>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有事故应急救援措施，构成重大危险源的要建立事故应急救援预案。事故应急救援预案报地方安监部门备案。</w:t>
            </w:r>
          </w:p>
        </w:tc>
        <w:tc>
          <w:tcPr>
            <w:tcW w:w="1294"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《安全生产法》第七十八条</w:t>
            </w:r>
          </w:p>
        </w:tc>
        <w:tc>
          <w:tcPr>
            <w:tcW w:w="955"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该企业不构成重大危险源，已建立事故应急救援预案，经专家评审通过并报市、区安监局备案。</w:t>
            </w:r>
          </w:p>
        </w:tc>
        <w:tc>
          <w:tcPr>
            <w:tcW w:w="359"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85"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2</w:t>
            </w:r>
          </w:p>
        </w:tc>
        <w:tc>
          <w:tcPr>
            <w:tcW w:w="4615" w:type="pct"/>
            <w:gridSpan w:val="5"/>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安全管理组织</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85"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2.1</w:t>
            </w:r>
          </w:p>
        </w:tc>
        <w:tc>
          <w:tcPr>
            <w:tcW w:w="2008" w:type="pct"/>
            <w:gridSpan w:val="2"/>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有安全管理机构或配备专职安全管理人员。</w:t>
            </w:r>
          </w:p>
        </w:tc>
        <w:tc>
          <w:tcPr>
            <w:tcW w:w="1294"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《安全生产法》第二十一条</w:t>
            </w:r>
          </w:p>
          <w:p>
            <w:pPr>
              <w:spacing w:line="360" w:lineRule="exact"/>
              <w:rPr>
                <w:rFonts w:ascii="宋体" w:hAnsi="宋体" w:eastAsia="宋体"/>
                <w:color w:val="auto"/>
                <w:sz w:val="21"/>
                <w:szCs w:val="21"/>
              </w:rPr>
            </w:pPr>
            <w:r>
              <w:rPr>
                <w:rFonts w:hint="eastAsia" w:ascii="宋体" w:hAnsi="宋体" w:eastAsia="宋体"/>
                <w:color w:val="auto"/>
                <w:sz w:val="21"/>
                <w:szCs w:val="21"/>
              </w:rPr>
              <w:t>《广东省安全生产条例》第十一条</w:t>
            </w:r>
          </w:p>
          <w:p>
            <w:pPr>
              <w:spacing w:line="360" w:lineRule="exact"/>
              <w:rPr>
                <w:rFonts w:ascii="宋体" w:hAnsi="宋体" w:eastAsia="宋体"/>
                <w:color w:val="auto"/>
                <w:sz w:val="21"/>
                <w:szCs w:val="21"/>
              </w:rPr>
            </w:pPr>
            <w:r>
              <w:rPr>
                <w:rFonts w:hint="eastAsia" w:ascii="宋体" w:hAnsi="宋体" w:eastAsia="宋体"/>
                <w:color w:val="auto"/>
                <w:sz w:val="21"/>
                <w:szCs w:val="21"/>
              </w:rPr>
              <w:t>《危险化学品生产企业安全生产许可证实施办法》第十二条</w:t>
            </w:r>
          </w:p>
        </w:tc>
        <w:tc>
          <w:tcPr>
            <w:tcW w:w="955"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有安全生产管理组织，配备了专职的安全管理人员。</w:t>
            </w:r>
          </w:p>
        </w:tc>
        <w:tc>
          <w:tcPr>
            <w:tcW w:w="359"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85"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2.2</w:t>
            </w:r>
          </w:p>
        </w:tc>
        <w:tc>
          <w:tcPr>
            <w:tcW w:w="2008" w:type="pct"/>
            <w:gridSpan w:val="2"/>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应指定一名主要管理人员为安全责任人。</w:t>
            </w:r>
          </w:p>
        </w:tc>
        <w:tc>
          <w:tcPr>
            <w:tcW w:w="1294"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《安全生产法》第二十一条，《广东省安全生产条例》第八条</w:t>
            </w:r>
          </w:p>
        </w:tc>
        <w:tc>
          <w:tcPr>
            <w:tcW w:w="955"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有指定专职安全责任人。</w:t>
            </w:r>
          </w:p>
        </w:tc>
        <w:tc>
          <w:tcPr>
            <w:tcW w:w="359"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85"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3</w:t>
            </w:r>
          </w:p>
        </w:tc>
        <w:tc>
          <w:tcPr>
            <w:tcW w:w="4615" w:type="pct"/>
            <w:gridSpan w:val="5"/>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从业人员要求</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85"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3.1</w:t>
            </w:r>
          </w:p>
        </w:tc>
        <w:tc>
          <w:tcPr>
            <w:tcW w:w="2008" w:type="pct"/>
            <w:gridSpan w:val="2"/>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企业主要负责人和安全管理人员经安全生产教育培训考核合格取得上岗资格。</w:t>
            </w:r>
          </w:p>
        </w:tc>
        <w:tc>
          <w:tcPr>
            <w:tcW w:w="1294"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《安全生产法》第二十条</w:t>
            </w:r>
          </w:p>
          <w:p>
            <w:pPr>
              <w:spacing w:line="360" w:lineRule="exact"/>
              <w:rPr>
                <w:rFonts w:ascii="宋体" w:hAnsi="宋体" w:eastAsia="宋体"/>
                <w:color w:val="auto"/>
                <w:sz w:val="21"/>
                <w:szCs w:val="21"/>
              </w:rPr>
            </w:pPr>
            <w:r>
              <w:rPr>
                <w:rFonts w:hint="eastAsia" w:ascii="宋体" w:hAnsi="宋体" w:eastAsia="宋体"/>
                <w:color w:val="auto"/>
                <w:sz w:val="21"/>
                <w:szCs w:val="21"/>
              </w:rPr>
              <w:t>《广东省安全生产条例》第十五条</w:t>
            </w:r>
          </w:p>
        </w:tc>
        <w:tc>
          <w:tcPr>
            <w:tcW w:w="955"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企业主要负责人和安全管理人员经过省安监局培训合格。</w:t>
            </w:r>
          </w:p>
        </w:tc>
        <w:tc>
          <w:tcPr>
            <w:tcW w:w="359"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85"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3.2</w:t>
            </w:r>
          </w:p>
        </w:tc>
        <w:tc>
          <w:tcPr>
            <w:tcW w:w="2008" w:type="pct"/>
            <w:gridSpan w:val="2"/>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生产经营单位应当对从业人员进行与其职业相关的安全生产教育和培训，经考核合格的从业人员方可上岗作业；从事特种作业的从业人员，应当经专门的安全技术培训、考核合格并取得特种作业操作资格证，方可从事特种作业。</w:t>
            </w:r>
          </w:p>
        </w:tc>
        <w:tc>
          <w:tcPr>
            <w:tcW w:w="1294"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《安全生产法》第二十五条</w:t>
            </w:r>
          </w:p>
          <w:p>
            <w:pPr>
              <w:spacing w:line="360" w:lineRule="exact"/>
              <w:rPr>
                <w:rFonts w:ascii="宋体" w:hAnsi="宋体" w:eastAsia="宋体"/>
                <w:color w:val="auto"/>
                <w:sz w:val="21"/>
                <w:szCs w:val="21"/>
              </w:rPr>
            </w:pPr>
            <w:r>
              <w:rPr>
                <w:rFonts w:hint="eastAsia" w:ascii="宋体" w:hAnsi="宋体" w:eastAsia="宋体"/>
                <w:color w:val="auto"/>
                <w:sz w:val="21"/>
                <w:szCs w:val="21"/>
              </w:rPr>
              <w:t>《广东省安全生产条例》第十五条</w:t>
            </w:r>
          </w:p>
        </w:tc>
        <w:tc>
          <w:tcPr>
            <w:tcW w:w="955"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其他从业人员已在上岗前培训。特种作业人员持证上岗。</w:t>
            </w:r>
          </w:p>
        </w:tc>
        <w:tc>
          <w:tcPr>
            <w:tcW w:w="359"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85"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3.3</w:t>
            </w:r>
          </w:p>
        </w:tc>
        <w:tc>
          <w:tcPr>
            <w:tcW w:w="2008" w:type="pct"/>
            <w:gridSpan w:val="2"/>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作业人员应熟悉并遵守作业规程，正确穿戴和使用劳动保护用品。</w:t>
            </w:r>
          </w:p>
        </w:tc>
        <w:tc>
          <w:tcPr>
            <w:tcW w:w="1294"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《安全生产法》第五十四条</w:t>
            </w:r>
          </w:p>
          <w:p>
            <w:pPr>
              <w:spacing w:line="360" w:lineRule="exact"/>
              <w:rPr>
                <w:rFonts w:ascii="宋体" w:hAnsi="宋体" w:eastAsia="宋体"/>
                <w:color w:val="auto"/>
                <w:sz w:val="21"/>
                <w:szCs w:val="21"/>
              </w:rPr>
            </w:pPr>
            <w:r>
              <w:rPr>
                <w:rFonts w:hint="eastAsia" w:ascii="宋体" w:hAnsi="宋体" w:eastAsia="宋体"/>
                <w:color w:val="auto"/>
                <w:sz w:val="21"/>
                <w:szCs w:val="21"/>
              </w:rPr>
              <w:t>《广东省安全生产条例》第十七条</w:t>
            </w:r>
          </w:p>
        </w:tc>
        <w:tc>
          <w:tcPr>
            <w:tcW w:w="955"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作业人员能熟悉并遵守作业规程，能按要求配戴有劳动防护用品。</w:t>
            </w:r>
          </w:p>
        </w:tc>
        <w:tc>
          <w:tcPr>
            <w:tcW w:w="359"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85"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3.4</w:t>
            </w:r>
          </w:p>
        </w:tc>
        <w:tc>
          <w:tcPr>
            <w:tcW w:w="2008" w:type="pct"/>
            <w:gridSpan w:val="2"/>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依法参加工伤社会保险，为从业人员缴纳工伤保险费。</w:t>
            </w:r>
          </w:p>
        </w:tc>
        <w:tc>
          <w:tcPr>
            <w:tcW w:w="1294"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《安全生产法》第四十八条</w:t>
            </w:r>
          </w:p>
        </w:tc>
        <w:tc>
          <w:tcPr>
            <w:tcW w:w="955"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依法为职工参加工伤社会保险，按时缴纳工伤保险费。</w:t>
            </w:r>
          </w:p>
        </w:tc>
        <w:tc>
          <w:tcPr>
            <w:tcW w:w="359"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85"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4</w:t>
            </w:r>
          </w:p>
        </w:tc>
        <w:tc>
          <w:tcPr>
            <w:tcW w:w="4615" w:type="pct"/>
            <w:gridSpan w:val="5"/>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事故预防与处理</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85"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4.1</w:t>
            </w:r>
          </w:p>
        </w:tc>
        <w:tc>
          <w:tcPr>
            <w:tcW w:w="2008" w:type="pct"/>
            <w:gridSpan w:val="2"/>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制订事故应急救援预案。</w:t>
            </w:r>
          </w:p>
        </w:tc>
        <w:tc>
          <w:tcPr>
            <w:tcW w:w="1294"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《安全生产法》第七十八条</w:t>
            </w:r>
          </w:p>
        </w:tc>
        <w:tc>
          <w:tcPr>
            <w:tcW w:w="955"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制订了事故应急救援预案并经专家评审、备案。</w:t>
            </w:r>
          </w:p>
        </w:tc>
        <w:tc>
          <w:tcPr>
            <w:tcW w:w="359"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85"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4.2</w:t>
            </w:r>
          </w:p>
        </w:tc>
        <w:tc>
          <w:tcPr>
            <w:tcW w:w="2008" w:type="pct"/>
            <w:gridSpan w:val="2"/>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发生事故调查处理要符合国家有关规定，建立事故档案。</w:t>
            </w:r>
          </w:p>
        </w:tc>
        <w:tc>
          <w:tcPr>
            <w:tcW w:w="1294"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《广东省安全生产条例》第二十八条、第二十九条</w:t>
            </w:r>
          </w:p>
        </w:tc>
        <w:tc>
          <w:tcPr>
            <w:tcW w:w="955"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自取证以来，没有发生火灾、爆炸、工伤死亡及重大事故。</w:t>
            </w:r>
          </w:p>
        </w:tc>
        <w:tc>
          <w:tcPr>
            <w:tcW w:w="359"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85"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5</w:t>
            </w:r>
          </w:p>
        </w:tc>
        <w:tc>
          <w:tcPr>
            <w:tcW w:w="4615" w:type="pct"/>
            <w:gridSpan w:val="5"/>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安全生产投入</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85"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5.1</w:t>
            </w:r>
          </w:p>
        </w:tc>
        <w:tc>
          <w:tcPr>
            <w:tcW w:w="2008" w:type="pct"/>
            <w:gridSpan w:val="2"/>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能保证安全生产资金的投入有效实施。</w:t>
            </w:r>
          </w:p>
        </w:tc>
        <w:tc>
          <w:tcPr>
            <w:tcW w:w="1294"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《安全生产法》第二十条</w:t>
            </w:r>
          </w:p>
        </w:tc>
        <w:tc>
          <w:tcPr>
            <w:tcW w:w="955"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安全投入能保证安全要求。</w:t>
            </w:r>
          </w:p>
        </w:tc>
        <w:tc>
          <w:tcPr>
            <w:tcW w:w="359"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85"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5.2</w:t>
            </w:r>
          </w:p>
        </w:tc>
        <w:tc>
          <w:tcPr>
            <w:tcW w:w="2008" w:type="pct"/>
            <w:gridSpan w:val="2"/>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企业应当依法委托具备国家规定资质的安全评价机构进行安全评价，并按照安全评价报告的意见对存在的安全生产问题进行整改。</w:t>
            </w:r>
          </w:p>
        </w:tc>
        <w:tc>
          <w:tcPr>
            <w:tcW w:w="1294"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《危险化学品安全生产许可证实施办法》第十九条</w:t>
            </w:r>
          </w:p>
        </w:tc>
        <w:tc>
          <w:tcPr>
            <w:tcW w:w="955"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企业依法进行安全评价，对前次及这次安全评价所提的整改建议，投入资金进行整改。</w:t>
            </w:r>
          </w:p>
        </w:tc>
        <w:tc>
          <w:tcPr>
            <w:tcW w:w="359"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85"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6</w:t>
            </w:r>
          </w:p>
        </w:tc>
        <w:tc>
          <w:tcPr>
            <w:tcW w:w="4615" w:type="pct"/>
            <w:gridSpan w:val="5"/>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危险品安全管理</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85"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6.1</w:t>
            </w:r>
          </w:p>
        </w:tc>
        <w:tc>
          <w:tcPr>
            <w:tcW w:w="2008" w:type="pct"/>
            <w:gridSpan w:val="2"/>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不生产、使用国家明令禁止的危险化学品。</w:t>
            </w:r>
          </w:p>
        </w:tc>
        <w:tc>
          <w:tcPr>
            <w:tcW w:w="1294"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《危险化学品安全管理条例》第五条</w:t>
            </w:r>
          </w:p>
        </w:tc>
        <w:tc>
          <w:tcPr>
            <w:tcW w:w="955"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没有使用国家明令禁止的危险化学品。</w:t>
            </w:r>
          </w:p>
        </w:tc>
        <w:tc>
          <w:tcPr>
            <w:tcW w:w="359"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85"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6.2</w:t>
            </w:r>
          </w:p>
        </w:tc>
        <w:tc>
          <w:tcPr>
            <w:tcW w:w="2008" w:type="pct"/>
            <w:gridSpan w:val="2"/>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危险化学品安全管理，应当坚持安全第一、预防为主、综合治理的方针，强化和落实企业的主体责任。</w:t>
            </w:r>
          </w:p>
        </w:tc>
        <w:tc>
          <w:tcPr>
            <w:tcW w:w="1294"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《危险化学品安全管理条例》第四条</w:t>
            </w:r>
          </w:p>
        </w:tc>
        <w:tc>
          <w:tcPr>
            <w:tcW w:w="955"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企业坚持安全第一、预防为主、综合治理的方针，强化和落实企业的主体责任。</w:t>
            </w:r>
          </w:p>
        </w:tc>
        <w:tc>
          <w:tcPr>
            <w:tcW w:w="359"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85"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6.3</w:t>
            </w:r>
          </w:p>
        </w:tc>
        <w:tc>
          <w:tcPr>
            <w:tcW w:w="2008" w:type="pct"/>
            <w:gridSpan w:val="2"/>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生产、储存、使用、经营、运输危险化学品的单位的主要负责人对本单位的危险化学品安全管理工作全面负责。</w:t>
            </w:r>
          </w:p>
        </w:tc>
        <w:tc>
          <w:tcPr>
            <w:tcW w:w="1294"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《危险化学品安全管理条例》第四条</w:t>
            </w:r>
          </w:p>
        </w:tc>
        <w:tc>
          <w:tcPr>
            <w:tcW w:w="955"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单位主要负责人对危险化学品安全管理工作全面负责。</w:t>
            </w:r>
          </w:p>
        </w:tc>
        <w:tc>
          <w:tcPr>
            <w:tcW w:w="359"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85"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6.4</w:t>
            </w:r>
          </w:p>
        </w:tc>
        <w:tc>
          <w:tcPr>
            <w:tcW w:w="2008" w:type="pct"/>
            <w:gridSpan w:val="2"/>
            <w:vAlign w:val="center"/>
          </w:tcPr>
          <w:p>
            <w:pPr>
              <w:pStyle w:val="40"/>
              <w:spacing w:before="0" w:beforeAutospacing="0" w:after="0" w:afterAutospacing="0" w:line="360" w:lineRule="exact"/>
              <w:jc w:val="both"/>
              <w:rPr>
                <w:rFonts w:cs="Times New Roman"/>
                <w:color w:val="auto"/>
                <w:kern w:val="2"/>
                <w:sz w:val="21"/>
                <w:szCs w:val="21"/>
              </w:rPr>
            </w:pPr>
            <w:r>
              <w:rPr>
                <w:rFonts w:hint="eastAsia" w:cs="Times New Roman"/>
                <w:color w:val="auto"/>
                <w:kern w:val="2"/>
                <w:sz w:val="21"/>
                <w:szCs w:val="21"/>
              </w:rPr>
              <w:t>危险化学品的包装应当符合法律、行政法规、规章的规定以及国家标准、行业标准的要求。</w:t>
            </w:r>
          </w:p>
        </w:tc>
        <w:tc>
          <w:tcPr>
            <w:tcW w:w="1294"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《危险化学品管理条例》第十七条</w:t>
            </w:r>
          </w:p>
        </w:tc>
        <w:tc>
          <w:tcPr>
            <w:tcW w:w="955"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危险化学品的包装符合要求。</w:t>
            </w:r>
          </w:p>
        </w:tc>
        <w:tc>
          <w:tcPr>
            <w:tcW w:w="359"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85"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6.5</w:t>
            </w:r>
          </w:p>
        </w:tc>
        <w:tc>
          <w:tcPr>
            <w:tcW w:w="2008" w:type="pct"/>
            <w:gridSpan w:val="2"/>
            <w:vAlign w:val="center"/>
          </w:tcPr>
          <w:p>
            <w:pPr>
              <w:tabs>
                <w:tab w:val="left" w:pos="900"/>
              </w:tabs>
              <w:spacing w:line="360" w:lineRule="exact"/>
              <w:rPr>
                <w:rFonts w:ascii="宋体" w:hAnsi="宋体" w:eastAsia="宋体"/>
                <w:color w:val="auto"/>
                <w:sz w:val="21"/>
                <w:szCs w:val="21"/>
              </w:rPr>
            </w:pPr>
            <w:r>
              <w:rPr>
                <w:rFonts w:hint="eastAsia" w:ascii="宋体" w:hAnsi="宋体" w:eastAsia="宋体"/>
                <w:color w:val="auto"/>
                <w:sz w:val="21"/>
                <w:szCs w:val="21"/>
              </w:rPr>
              <w:t>危险物品的运输符合国家有关规定。</w:t>
            </w:r>
          </w:p>
        </w:tc>
        <w:tc>
          <w:tcPr>
            <w:tcW w:w="1294" w:type="pct"/>
            <w:vAlign w:val="center"/>
          </w:tcPr>
          <w:p>
            <w:pPr>
              <w:tabs>
                <w:tab w:val="left" w:pos="900"/>
              </w:tabs>
              <w:spacing w:line="360" w:lineRule="exact"/>
              <w:rPr>
                <w:rFonts w:ascii="宋体" w:hAnsi="宋体" w:eastAsia="宋体"/>
                <w:color w:val="auto"/>
                <w:sz w:val="21"/>
                <w:szCs w:val="21"/>
              </w:rPr>
            </w:pPr>
            <w:r>
              <w:rPr>
                <w:rFonts w:hint="eastAsia" w:ascii="宋体" w:hAnsi="宋体" w:eastAsia="宋体"/>
                <w:color w:val="auto"/>
                <w:sz w:val="21"/>
                <w:szCs w:val="21"/>
              </w:rPr>
              <w:t>《危险化学品安全管理条例》第五章</w:t>
            </w:r>
          </w:p>
        </w:tc>
        <w:tc>
          <w:tcPr>
            <w:tcW w:w="955"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危险化学品的运输由供应商负责或者委托有资质的运输公司承担。</w:t>
            </w:r>
          </w:p>
        </w:tc>
        <w:tc>
          <w:tcPr>
            <w:tcW w:w="359"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85"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7</w:t>
            </w:r>
          </w:p>
        </w:tc>
        <w:tc>
          <w:tcPr>
            <w:tcW w:w="4615" w:type="pct"/>
            <w:gridSpan w:val="5"/>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其它</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85"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7.1</w:t>
            </w:r>
          </w:p>
        </w:tc>
        <w:tc>
          <w:tcPr>
            <w:tcW w:w="2008" w:type="pct"/>
            <w:gridSpan w:val="2"/>
            <w:vAlign w:val="center"/>
          </w:tcPr>
          <w:p>
            <w:pPr>
              <w:tabs>
                <w:tab w:val="left" w:pos="900"/>
              </w:tabs>
              <w:spacing w:line="360" w:lineRule="exact"/>
              <w:rPr>
                <w:rFonts w:ascii="宋体" w:hAnsi="宋体" w:eastAsia="宋体"/>
                <w:color w:val="auto"/>
                <w:sz w:val="21"/>
                <w:szCs w:val="21"/>
              </w:rPr>
            </w:pPr>
            <w:r>
              <w:rPr>
                <w:rFonts w:hint="eastAsia" w:ascii="宋体" w:hAnsi="宋体" w:eastAsia="宋体"/>
                <w:color w:val="auto"/>
                <w:sz w:val="21"/>
                <w:szCs w:val="21"/>
              </w:rPr>
              <w:t>生产、储存危险化学品的企业，应当委托具备国家规定的资质条件的机构，对本企业的安全生产条件每3年进行一次安全评价，提出安全评价报告。安全评价报告的内容应当包括对安全生产条件存在的问题进行整改的方案。</w:t>
            </w:r>
          </w:p>
        </w:tc>
        <w:tc>
          <w:tcPr>
            <w:tcW w:w="1294" w:type="pct"/>
            <w:vAlign w:val="center"/>
          </w:tcPr>
          <w:p>
            <w:pPr>
              <w:tabs>
                <w:tab w:val="left" w:pos="900"/>
              </w:tabs>
              <w:spacing w:line="360" w:lineRule="exact"/>
              <w:rPr>
                <w:rFonts w:ascii="宋体" w:hAnsi="宋体" w:eastAsia="宋体"/>
                <w:color w:val="auto"/>
                <w:sz w:val="21"/>
                <w:szCs w:val="21"/>
              </w:rPr>
            </w:pPr>
            <w:r>
              <w:rPr>
                <w:rFonts w:hint="eastAsia" w:ascii="宋体" w:hAnsi="宋体" w:eastAsia="宋体"/>
                <w:color w:val="auto"/>
                <w:sz w:val="21"/>
                <w:szCs w:val="21"/>
              </w:rPr>
              <w:t>《危险化学品安全管理条例》第二十二条</w:t>
            </w:r>
          </w:p>
        </w:tc>
        <w:tc>
          <w:tcPr>
            <w:tcW w:w="955" w:type="pct"/>
            <w:vAlign w:val="center"/>
          </w:tcPr>
          <w:p>
            <w:pPr>
              <w:tabs>
                <w:tab w:val="left" w:pos="900"/>
              </w:tabs>
              <w:spacing w:line="360" w:lineRule="exact"/>
              <w:rPr>
                <w:rFonts w:ascii="宋体" w:hAnsi="宋体" w:eastAsia="宋体"/>
                <w:color w:val="auto"/>
                <w:sz w:val="21"/>
                <w:szCs w:val="21"/>
              </w:rPr>
            </w:pPr>
            <w:r>
              <w:rPr>
                <w:rFonts w:hint="eastAsia" w:ascii="宋体" w:hAnsi="宋体" w:eastAsia="宋体"/>
                <w:color w:val="auto"/>
                <w:sz w:val="21"/>
                <w:szCs w:val="21"/>
              </w:rPr>
              <w:t>正在进行安全评价，对安全生产条件存在的问题提出整改方案。</w:t>
            </w:r>
          </w:p>
        </w:tc>
        <w:tc>
          <w:tcPr>
            <w:tcW w:w="359"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85"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7.2</w:t>
            </w:r>
          </w:p>
        </w:tc>
        <w:tc>
          <w:tcPr>
            <w:tcW w:w="2008" w:type="pct"/>
            <w:gridSpan w:val="2"/>
            <w:vAlign w:val="center"/>
          </w:tcPr>
          <w:p>
            <w:pPr>
              <w:tabs>
                <w:tab w:val="left" w:pos="900"/>
              </w:tabs>
              <w:spacing w:line="360" w:lineRule="exact"/>
              <w:rPr>
                <w:rFonts w:ascii="宋体" w:hAnsi="宋体" w:eastAsia="宋体"/>
                <w:color w:val="auto"/>
                <w:sz w:val="21"/>
                <w:szCs w:val="21"/>
              </w:rPr>
            </w:pPr>
            <w:r>
              <w:rPr>
                <w:rFonts w:hint="eastAsia" w:ascii="宋体" w:hAnsi="宋体" w:eastAsia="宋体"/>
                <w:color w:val="auto"/>
                <w:sz w:val="21"/>
                <w:szCs w:val="21"/>
              </w:rPr>
              <w:t>生产、储存、使用危险化学品的车间、商店、仓库不得与员工宿舍在同一建筑物内，有安全距离，生产场所和员工宿舍有畅通的出口。</w:t>
            </w:r>
          </w:p>
        </w:tc>
        <w:tc>
          <w:tcPr>
            <w:tcW w:w="1294" w:type="pct"/>
            <w:vAlign w:val="center"/>
          </w:tcPr>
          <w:p>
            <w:pPr>
              <w:tabs>
                <w:tab w:val="left" w:pos="900"/>
              </w:tabs>
              <w:spacing w:line="360" w:lineRule="exact"/>
              <w:rPr>
                <w:rFonts w:ascii="宋体" w:hAnsi="宋体" w:eastAsia="宋体"/>
                <w:color w:val="auto"/>
                <w:sz w:val="21"/>
                <w:szCs w:val="21"/>
              </w:rPr>
            </w:pPr>
            <w:r>
              <w:rPr>
                <w:rFonts w:hint="eastAsia" w:ascii="宋体" w:hAnsi="宋体" w:eastAsia="宋体"/>
                <w:color w:val="auto"/>
                <w:sz w:val="21"/>
                <w:szCs w:val="21"/>
              </w:rPr>
              <w:t>《安全生产法》第三十九条</w:t>
            </w:r>
          </w:p>
        </w:tc>
        <w:tc>
          <w:tcPr>
            <w:tcW w:w="955" w:type="pct"/>
            <w:vAlign w:val="center"/>
          </w:tcPr>
          <w:p>
            <w:pPr>
              <w:tabs>
                <w:tab w:val="left" w:pos="900"/>
              </w:tabs>
              <w:spacing w:line="360" w:lineRule="exact"/>
              <w:rPr>
                <w:rFonts w:ascii="宋体" w:hAnsi="宋体" w:eastAsia="宋体"/>
                <w:color w:val="auto"/>
                <w:sz w:val="21"/>
                <w:szCs w:val="21"/>
              </w:rPr>
            </w:pPr>
            <w:r>
              <w:rPr>
                <w:rFonts w:hint="eastAsia" w:ascii="宋体" w:hAnsi="宋体" w:eastAsia="宋体"/>
                <w:color w:val="auto"/>
                <w:sz w:val="21"/>
                <w:szCs w:val="21"/>
              </w:rPr>
              <w:t>甲类车间、仓库</w:t>
            </w:r>
            <w:r>
              <w:rPr>
                <w:rFonts w:hint="eastAsia" w:ascii="宋体" w:hAnsi="宋体" w:eastAsia="宋体"/>
                <w:color w:val="auto"/>
                <w:sz w:val="21"/>
                <w:szCs w:val="21"/>
                <w:lang w:eastAsia="zh-CN"/>
              </w:rPr>
              <w:t>、</w:t>
            </w:r>
            <w:r>
              <w:rPr>
                <w:rFonts w:hint="eastAsia" w:ascii="宋体" w:hAnsi="宋体" w:eastAsia="宋体"/>
                <w:color w:val="auto"/>
                <w:sz w:val="21"/>
                <w:szCs w:val="21"/>
              </w:rPr>
              <w:t>办公区</w:t>
            </w:r>
            <w:r>
              <w:rPr>
                <w:rFonts w:hint="eastAsia" w:ascii="宋体" w:hAnsi="宋体" w:eastAsia="宋体"/>
                <w:color w:val="auto"/>
                <w:sz w:val="21"/>
                <w:szCs w:val="21"/>
                <w:lang w:eastAsia="zh-CN"/>
              </w:rPr>
              <w:t>、宿舍楼之间</w:t>
            </w:r>
            <w:r>
              <w:rPr>
                <w:rFonts w:hint="eastAsia" w:ascii="宋体" w:hAnsi="宋体" w:eastAsia="宋体"/>
                <w:color w:val="auto"/>
                <w:sz w:val="21"/>
                <w:szCs w:val="21"/>
              </w:rPr>
              <w:t>的距离符合规范要求。</w:t>
            </w:r>
          </w:p>
        </w:tc>
        <w:tc>
          <w:tcPr>
            <w:tcW w:w="359"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85"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7.3</w:t>
            </w:r>
          </w:p>
        </w:tc>
        <w:tc>
          <w:tcPr>
            <w:tcW w:w="2008" w:type="pct"/>
            <w:gridSpan w:val="2"/>
            <w:vAlign w:val="center"/>
          </w:tcPr>
          <w:p>
            <w:pPr>
              <w:tabs>
                <w:tab w:val="left" w:pos="900"/>
              </w:tabs>
              <w:spacing w:line="360" w:lineRule="exact"/>
              <w:rPr>
                <w:rFonts w:ascii="宋体" w:hAnsi="宋体" w:eastAsia="宋体"/>
                <w:color w:val="auto"/>
                <w:sz w:val="21"/>
                <w:szCs w:val="21"/>
              </w:rPr>
            </w:pPr>
            <w:r>
              <w:rPr>
                <w:rFonts w:hint="eastAsia" w:ascii="宋体" w:hAnsi="宋体" w:eastAsia="宋体"/>
                <w:color w:val="auto"/>
                <w:sz w:val="21"/>
                <w:szCs w:val="21"/>
              </w:rPr>
              <w:t>安全设备符合国家标准，并进行经常性维护保养，定期检测，保证正常运转。</w:t>
            </w:r>
          </w:p>
        </w:tc>
        <w:tc>
          <w:tcPr>
            <w:tcW w:w="1294" w:type="pct"/>
            <w:vAlign w:val="center"/>
          </w:tcPr>
          <w:p>
            <w:pPr>
              <w:tabs>
                <w:tab w:val="left" w:pos="900"/>
              </w:tabs>
              <w:spacing w:line="360" w:lineRule="exact"/>
              <w:rPr>
                <w:rFonts w:ascii="宋体" w:hAnsi="宋体" w:eastAsia="宋体"/>
                <w:color w:val="auto"/>
                <w:sz w:val="21"/>
                <w:szCs w:val="21"/>
              </w:rPr>
            </w:pPr>
            <w:r>
              <w:rPr>
                <w:rFonts w:hint="eastAsia" w:ascii="宋体" w:hAnsi="宋体" w:eastAsia="宋体"/>
                <w:color w:val="auto"/>
                <w:sz w:val="21"/>
                <w:szCs w:val="21"/>
              </w:rPr>
              <w:t>《安全生产法》第三十三条</w:t>
            </w:r>
          </w:p>
        </w:tc>
        <w:tc>
          <w:tcPr>
            <w:tcW w:w="955" w:type="pct"/>
            <w:vAlign w:val="center"/>
          </w:tcPr>
          <w:p>
            <w:pPr>
              <w:tabs>
                <w:tab w:val="left" w:pos="900"/>
              </w:tabs>
              <w:spacing w:line="360" w:lineRule="exact"/>
              <w:rPr>
                <w:rFonts w:ascii="宋体" w:hAnsi="宋体" w:eastAsia="宋体"/>
                <w:color w:val="auto"/>
                <w:sz w:val="21"/>
                <w:szCs w:val="21"/>
              </w:rPr>
            </w:pPr>
            <w:r>
              <w:rPr>
                <w:rFonts w:hint="eastAsia" w:ascii="宋体" w:hAnsi="宋体" w:eastAsia="宋体"/>
                <w:color w:val="auto"/>
                <w:sz w:val="21"/>
                <w:szCs w:val="21"/>
              </w:rPr>
              <w:t>消防设施、防雷防静电等安全设施定期检测，符合要求。</w:t>
            </w:r>
          </w:p>
        </w:tc>
        <w:tc>
          <w:tcPr>
            <w:tcW w:w="359"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85"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7.4</w:t>
            </w:r>
          </w:p>
        </w:tc>
        <w:tc>
          <w:tcPr>
            <w:tcW w:w="2008" w:type="pct"/>
            <w:gridSpan w:val="2"/>
            <w:vAlign w:val="center"/>
          </w:tcPr>
          <w:p>
            <w:pPr>
              <w:tabs>
                <w:tab w:val="left" w:pos="900"/>
              </w:tabs>
              <w:spacing w:line="360" w:lineRule="exact"/>
              <w:rPr>
                <w:rFonts w:ascii="宋体" w:hAnsi="宋体" w:eastAsia="宋体"/>
                <w:color w:val="auto"/>
                <w:sz w:val="21"/>
                <w:szCs w:val="21"/>
              </w:rPr>
            </w:pPr>
            <w:r>
              <w:rPr>
                <w:rFonts w:hint="eastAsia" w:ascii="宋体" w:hAnsi="宋体" w:eastAsia="宋体"/>
                <w:color w:val="auto"/>
                <w:sz w:val="21"/>
                <w:szCs w:val="21"/>
              </w:rPr>
              <w:t>生产场所和有关设施设置明显的安全警示标志。</w:t>
            </w:r>
          </w:p>
        </w:tc>
        <w:tc>
          <w:tcPr>
            <w:tcW w:w="1294" w:type="pct"/>
            <w:vAlign w:val="center"/>
          </w:tcPr>
          <w:p>
            <w:pPr>
              <w:tabs>
                <w:tab w:val="left" w:pos="900"/>
              </w:tabs>
              <w:spacing w:line="360" w:lineRule="exact"/>
              <w:rPr>
                <w:rFonts w:ascii="宋体" w:hAnsi="宋体" w:eastAsia="宋体"/>
                <w:color w:val="auto"/>
                <w:sz w:val="21"/>
                <w:szCs w:val="21"/>
              </w:rPr>
            </w:pPr>
            <w:r>
              <w:rPr>
                <w:rFonts w:hint="eastAsia" w:ascii="宋体" w:hAnsi="宋体" w:eastAsia="宋体"/>
                <w:color w:val="auto"/>
                <w:sz w:val="21"/>
                <w:szCs w:val="21"/>
              </w:rPr>
              <w:t>《安全生产法》第三十二条</w:t>
            </w:r>
          </w:p>
        </w:tc>
        <w:tc>
          <w:tcPr>
            <w:tcW w:w="955" w:type="pct"/>
            <w:vAlign w:val="center"/>
          </w:tcPr>
          <w:p>
            <w:pPr>
              <w:tabs>
                <w:tab w:val="left" w:pos="900"/>
              </w:tabs>
              <w:spacing w:line="360" w:lineRule="exact"/>
              <w:rPr>
                <w:rFonts w:ascii="宋体" w:hAnsi="宋体" w:eastAsia="宋体"/>
                <w:color w:val="auto"/>
                <w:sz w:val="21"/>
                <w:szCs w:val="21"/>
              </w:rPr>
            </w:pPr>
            <w:r>
              <w:rPr>
                <w:rFonts w:hint="eastAsia" w:ascii="宋体" w:hAnsi="宋体" w:eastAsia="宋体"/>
                <w:color w:val="auto"/>
                <w:sz w:val="21"/>
                <w:szCs w:val="21"/>
              </w:rPr>
              <w:t>生产场所设置有安全警示标志。</w:t>
            </w:r>
          </w:p>
        </w:tc>
        <w:tc>
          <w:tcPr>
            <w:tcW w:w="359"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85"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8</w:t>
            </w:r>
          </w:p>
        </w:tc>
        <w:tc>
          <w:tcPr>
            <w:tcW w:w="4615" w:type="pct"/>
            <w:gridSpan w:val="5"/>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安全生产条件所需证照文件</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85"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8.1</w:t>
            </w:r>
          </w:p>
        </w:tc>
        <w:tc>
          <w:tcPr>
            <w:tcW w:w="1974" w:type="pct"/>
            <w:vAlign w:val="center"/>
          </w:tcPr>
          <w:p>
            <w:pPr>
              <w:tabs>
                <w:tab w:val="left" w:pos="900"/>
              </w:tabs>
              <w:spacing w:line="360" w:lineRule="exact"/>
              <w:rPr>
                <w:rFonts w:ascii="宋体" w:hAnsi="宋体" w:eastAsia="宋体"/>
                <w:color w:val="auto"/>
                <w:sz w:val="21"/>
                <w:szCs w:val="21"/>
                <w:u w:val="single"/>
              </w:rPr>
            </w:pPr>
            <w:r>
              <w:rPr>
                <w:rFonts w:hint="eastAsia" w:ascii="宋体" w:hAnsi="宋体" w:eastAsia="宋体"/>
                <w:color w:val="auto"/>
                <w:sz w:val="21"/>
                <w:szCs w:val="21"/>
              </w:rPr>
              <w:t>工商行政管理部门依据有关部门的许可证件，核发危险化学品生产、储存、经营、运输企业营业执照。</w:t>
            </w:r>
          </w:p>
        </w:tc>
        <w:tc>
          <w:tcPr>
            <w:tcW w:w="1327" w:type="pct"/>
            <w:gridSpan w:val="2"/>
            <w:vAlign w:val="center"/>
          </w:tcPr>
          <w:p>
            <w:pPr>
              <w:tabs>
                <w:tab w:val="left" w:pos="900"/>
              </w:tabs>
              <w:spacing w:line="360" w:lineRule="exact"/>
              <w:rPr>
                <w:rFonts w:ascii="宋体" w:hAnsi="宋体" w:eastAsia="宋体"/>
                <w:color w:val="auto"/>
                <w:sz w:val="21"/>
                <w:szCs w:val="21"/>
              </w:rPr>
            </w:pPr>
            <w:r>
              <w:rPr>
                <w:rFonts w:hint="eastAsia" w:ascii="宋体" w:hAnsi="宋体" w:eastAsia="宋体"/>
                <w:color w:val="auto"/>
                <w:sz w:val="21"/>
                <w:szCs w:val="21"/>
              </w:rPr>
              <w:t>《企业名称登记管理规定》第三条</w:t>
            </w:r>
          </w:p>
        </w:tc>
        <w:tc>
          <w:tcPr>
            <w:tcW w:w="955" w:type="pct"/>
            <w:vAlign w:val="center"/>
          </w:tcPr>
          <w:p>
            <w:pPr>
              <w:tabs>
                <w:tab w:val="left" w:pos="900"/>
              </w:tabs>
              <w:spacing w:line="360" w:lineRule="exact"/>
              <w:rPr>
                <w:rFonts w:ascii="宋体" w:hAnsi="宋体" w:eastAsia="宋体"/>
                <w:color w:val="auto"/>
                <w:sz w:val="21"/>
                <w:szCs w:val="21"/>
              </w:rPr>
            </w:pPr>
            <w:r>
              <w:rPr>
                <w:rFonts w:hint="eastAsia" w:ascii="宋体" w:hAnsi="宋体" w:eastAsia="宋体"/>
                <w:color w:val="auto"/>
                <w:sz w:val="21"/>
                <w:szCs w:val="21"/>
              </w:rPr>
              <w:t>有工商营业执照。</w:t>
            </w:r>
          </w:p>
        </w:tc>
        <w:tc>
          <w:tcPr>
            <w:tcW w:w="359"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85"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8.2</w:t>
            </w:r>
          </w:p>
        </w:tc>
        <w:tc>
          <w:tcPr>
            <w:tcW w:w="1974" w:type="pct"/>
            <w:vAlign w:val="center"/>
          </w:tcPr>
          <w:p>
            <w:pPr>
              <w:tabs>
                <w:tab w:val="left" w:pos="900"/>
              </w:tabs>
              <w:spacing w:line="360" w:lineRule="exact"/>
              <w:rPr>
                <w:rFonts w:ascii="宋体" w:hAnsi="宋体" w:eastAsia="宋体"/>
                <w:color w:val="auto"/>
                <w:sz w:val="21"/>
                <w:szCs w:val="21"/>
              </w:rPr>
            </w:pPr>
            <w:r>
              <w:rPr>
                <w:rFonts w:hint="eastAsia" w:ascii="宋体" w:hAnsi="宋体" w:eastAsia="宋体"/>
                <w:color w:val="auto"/>
                <w:sz w:val="21"/>
                <w:szCs w:val="21"/>
              </w:rPr>
              <w:t>依法应当进行消防验收的建设工程，未经消防验收或者消防验收不合格，擅自投入使用的。</w:t>
            </w:r>
          </w:p>
        </w:tc>
        <w:tc>
          <w:tcPr>
            <w:tcW w:w="1327" w:type="pct"/>
            <w:gridSpan w:val="2"/>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《中华人民共和国消防法》第十三条</w:t>
            </w:r>
          </w:p>
        </w:tc>
        <w:tc>
          <w:tcPr>
            <w:tcW w:w="955" w:type="pct"/>
            <w:vAlign w:val="center"/>
          </w:tcPr>
          <w:p>
            <w:pPr>
              <w:tabs>
                <w:tab w:val="left" w:pos="900"/>
              </w:tabs>
              <w:spacing w:line="360" w:lineRule="exact"/>
              <w:rPr>
                <w:rFonts w:ascii="宋体" w:hAnsi="宋体" w:eastAsia="宋体"/>
                <w:color w:val="auto"/>
                <w:sz w:val="21"/>
                <w:szCs w:val="21"/>
              </w:rPr>
            </w:pPr>
            <w:r>
              <w:rPr>
                <w:rFonts w:hint="eastAsia" w:ascii="宋体" w:hAnsi="宋体" w:eastAsia="宋体"/>
                <w:color w:val="auto"/>
                <w:sz w:val="21"/>
                <w:szCs w:val="21"/>
              </w:rPr>
              <w:t>有消防验收意见书。</w:t>
            </w:r>
          </w:p>
        </w:tc>
        <w:tc>
          <w:tcPr>
            <w:tcW w:w="359"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85"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8.3</w:t>
            </w:r>
          </w:p>
        </w:tc>
        <w:tc>
          <w:tcPr>
            <w:tcW w:w="1974" w:type="pct"/>
            <w:vAlign w:val="center"/>
          </w:tcPr>
          <w:p>
            <w:pPr>
              <w:tabs>
                <w:tab w:val="left" w:pos="900"/>
              </w:tabs>
              <w:spacing w:line="360" w:lineRule="exact"/>
              <w:rPr>
                <w:rFonts w:ascii="宋体" w:hAnsi="宋体" w:eastAsia="宋体"/>
                <w:color w:val="auto"/>
                <w:sz w:val="21"/>
                <w:szCs w:val="21"/>
              </w:rPr>
            </w:pPr>
            <w:r>
              <w:rPr>
                <w:rFonts w:hint="eastAsia" w:ascii="宋体" w:hAnsi="宋体" w:eastAsia="宋体"/>
                <w:color w:val="auto"/>
                <w:sz w:val="21"/>
                <w:szCs w:val="21"/>
              </w:rPr>
              <w:t>防雷检测部门对生产、储存场所出具的防雷设施检测验收合格文件。</w:t>
            </w:r>
          </w:p>
        </w:tc>
        <w:tc>
          <w:tcPr>
            <w:tcW w:w="1327" w:type="pct"/>
            <w:gridSpan w:val="2"/>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《广东省防御雷电灾害管理规定》第九、第十条。</w:t>
            </w:r>
          </w:p>
        </w:tc>
        <w:tc>
          <w:tcPr>
            <w:tcW w:w="955" w:type="pct"/>
            <w:vAlign w:val="center"/>
          </w:tcPr>
          <w:p>
            <w:pPr>
              <w:spacing w:line="360" w:lineRule="exact"/>
              <w:rPr>
                <w:rFonts w:ascii="宋体" w:hAnsi="宋体" w:eastAsia="宋体"/>
                <w:color w:val="auto"/>
                <w:sz w:val="21"/>
                <w:szCs w:val="21"/>
                <w:lang w:eastAsia="zh-CN"/>
              </w:rPr>
            </w:pPr>
            <w:r>
              <w:rPr>
                <w:rFonts w:hint="eastAsia" w:ascii="宋体" w:hAnsi="宋体" w:eastAsia="宋体"/>
                <w:color w:val="auto"/>
                <w:sz w:val="21"/>
                <w:szCs w:val="21"/>
              </w:rPr>
              <w:t>有防雷检测合格证明</w:t>
            </w:r>
            <w:r>
              <w:rPr>
                <w:rFonts w:hint="eastAsia" w:ascii="宋体" w:hAnsi="宋体" w:eastAsia="宋体"/>
                <w:color w:val="auto"/>
                <w:sz w:val="21"/>
                <w:szCs w:val="21"/>
                <w:lang w:eastAsia="zh-CN"/>
              </w:rPr>
              <w:t>，并在有效期内。</w:t>
            </w:r>
          </w:p>
        </w:tc>
        <w:tc>
          <w:tcPr>
            <w:tcW w:w="359"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合格</w:t>
            </w:r>
          </w:p>
        </w:tc>
      </w:tr>
    </w:tbl>
    <w:p>
      <w:pPr>
        <w:spacing w:line="560" w:lineRule="exact"/>
        <w:ind w:firstLine="425" w:firstLineChars="152"/>
        <w:rPr>
          <w:rFonts w:ascii="宋体" w:hAnsi="宋体" w:eastAsia="宋体"/>
          <w:color w:val="auto"/>
          <w:sz w:val="28"/>
          <w:szCs w:val="28"/>
          <w:lang w:eastAsia="zh-CN"/>
        </w:rPr>
      </w:pPr>
      <w:r>
        <w:rPr>
          <w:rFonts w:ascii="宋体" w:hAnsi="宋体" w:eastAsia="宋体"/>
          <w:color w:val="auto"/>
          <w:sz w:val="28"/>
          <w:szCs w:val="28"/>
          <w:lang w:eastAsia="zh-CN"/>
        </w:rPr>
        <w:t>根据《中华人民共和国安全生产法》(中华人民共和国主席令第13号)、《安全生产许可证条例》(国务院令第397号)、《危险化学品安全管理条例》(中华人民共和国国务院令第591号，国务院令645号修订)等相关法律、法规的要求对企业的安全管理制度、安全管理组织、从业人员要求、事故预防与处理、安全生产投入、危险物品安全管理、安全生产投入等条件进行了检查评价，检查结果符合规范要求。</w:t>
      </w:r>
    </w:p>
    <w:p>
      <w:pPr>
        <w:spacing w:line="560" w:lineRule="exact"/>
        <w:jc w:val="both"/>
        <w:outlineLvl w:val="2"/>
        <w:rPr>
          <w:rFonts w:ascii="宋体" w:hAnsi="宋体" w:eastAsia="宋体" w:cs="Times New Roman"/>
          <w:bCs/>
          <w:color w:val="auto"/>
          <w:kern w:val="2"/>
          <w:sz w:val="28"/>
          <w:szCs w:val="28"/>
          <w:lang w:val="en-US" w:eastAsia="zh-CN" w:bidi="ar-SA"/>
        </w:rPr>
      </w:pPr>
      <w:bookmarkStart w:id="198" w:name="bookmark137"/>
      <w:r>
        <w:rPr>
          <w:rFonts w:ascii="宋体" w:hAnsi="宋体" w:eastAsia="宋体" w:cs="Times New Roman"/>
          <w:bCs/>
          <w:color w:val="auto"/>
          <w:kern w:val="2"/>
          <w:sz w:val="28"/>
          <w:szCs w:val="28"/>
          <w:lang w:val="en-US" w:eastAsia="zh-CN" w:bidi="ar-SA"/>
        </w:rPr>
        <w:t>2.1.2生产场所安全检查评价</w:t>
      </w:r>
      <w:bookmarkEnd w:id="198"/>
    </w:p>
    <w:p>
      <w:pPr>
        <w:spacing w:line="560" w:lineRule="exact"/>
        <w:ind w:firstLine="425" w:firstLineChars="152"/>
        <w:rPr>
          <w:rFonts w:ascii="宋体" w:hAnsi="宋体" w:eastAsia="宋体"/>
          <w:color w:val="auto"/>
          <w:sz w:val="28"/>
          <w:szCs w:val="28"/>
          <w:lang w:eastAsia="zh-CN"/>
        </w:rPr>
      </w:pPr>
      <w:r>
        <w:rPr>
          <w:rFonts w:ascii="宋体" w:hAnsi="宋体" w:eastAsia="宋体"/>
          <w:color w:val="auto"/>
          <w:sz w:val="28"/>
          <w:szCs w:val="28"/>
          <w:lang w:eastAsia="zh-CN"/>
        </w:rPr>
        <w:t>根据《生产设备安全卫生设计总则》(GB5083-1999)、《生产过程安全卫生要求总则》(GB/T12801-2008)、《工业企业总平面设计规范》(GB50187-2012)、</w:t>
      </w:r>
      <w:r>
        <w:rPr>
          <w:rFonts w:hint="eastAsia" w:ascii="宋体" w:hAnsi="宋体" w:eastAsia="宋体"/>
          <w:color w:val="auto"/>
          <w:sz w:val="28"/>
          <w:szCs w:val="28"/>
          <w:lang w:eastAsia="zh-CN"/>
        </w:rPr>
        <w:t>《建筑设计防火规范（2018年版）》（GB50016-2014）</w:t>
      </w:r>
      <w:r>
        <w:rPr>
          <w:rFonts w:ascii="宋体" w:hAnsi="宋体" w:eastAsia="宋体"/>
          <w:color w:val="auto"/>
          <w:sz w:val="28"/>
          <w:szCs w:val="28"/>
          <w:lang w:eastAsia="zh-CN"/>
        </w:rPr>
        <w:t>、《危险化学品安全管理条例》等标准，结合该公司生产的实际情况编制安全检查表对该公司的平面布局、建筑、消防、防雷和电气设施、生产设备安全卫生要求、生产过程安全卫生要求等情况进行评价。检查评价结果见附表2-2。</w:t>
      </w:r>
    </w:p>
    <w:p>
      <w:pPr>
        <w:spacing w:line="560" w:lineRule="exact"/>
        <w:jc w:val="center"/>
        <w:rPr>
          <w:rFonts w:ascii="宋体" w:hAnsi="宋体" w:eastAsia="PMingLiU"/>
          <w:b/>
          <w:color w:val="auto"/>
        </w:rPr>
      </w:pPr>
      <w:r>
        <w:rPr>
          <w:rFonts w:ascii="宋体" w:hAnsi="宋体" w:eastAsia="宋体"/>
          <w:b/>
          <w:color w:val="auto"/>
        </w:rPr>
        <w:t>附表2-2生产区安全检查表</w:t>
      </w:r>
    </w:p>
    <w:tbl>
      <w:tblPr>
        <w:tblStyle w:val="45"/>
        <w:tblW w:w="5000" w:type="pct"/>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747"/>
        <w:gridCol w:w="3217"/>
        <w:gridCol w:w="1988"/>
        <w:gridCol w:w="2683"/>
        <w:gridCol w:w="759"/>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tblHeader/>
          <w:jc w:val="center"/>
        </w:trPr>
        <w:tc>
          <w:tcPr>
            <w:tcW w:w="398" w:type="pct"/>
            <w:vAlign w:val="center"/>
          </w:tcPr>
          <w:p>
            <w:pPr>
              <w:tabs>
                <w:tab w:val="left" w:pos="900"/>
              </w:tabs>
              <w:spacing w:line="360" w:lineRule="exact"/>
              <w:jc w:val="center"/>
              <w:rPr>
                <w:rFonts w:ascii="宋体" w:hAnsi="宋体" w:eastAsia="宋体"/>
                <w:b/>
                <w:color w:val="auto"/>
                <w:sz w:val="21"/>
                <w:szCs w:val="21"/>
              </w:rPr>
            </w:pPr>
            <w:r>
              <w:rPr>
                <w:rFonts w:hint="eastAsia" w:ascii="宋体" w:hAnsi="宋体" w:eastAsia="宋体"/>
                <w:b/>
                <w:color w:val="auto"/>
                <w:sz w:val="21"/>
                <w:szCs w:val="21"/>
              </w:rPr>
              <w:t>序号</w:t>
            </w:r>
          </w:p>
        </w:tc>
        <w:tc>
          <w:tcPr>
            <w:tcW w:w="1712" w:type="pct"/>
            <w:vAlign w:val="center"/>
          </w:tcPr>
          <w:p>
            <w:pPr>
              <w:tabs>
                <w:tab w:val="left" w:pos="900"/>
              </w:tabs>
              <w:spacing w:line="360" w:lineRule="exact"/>
              <w:jc w:val="center"/>
              <w:rPr>
                <w:rFonts w:ascii="宋体" w:hAnsi="宋体" w:eastAsia="宋体"/>
                <w:b/>
                <w:color w:val="auto"/>
                <w:sz w:val="21"/>
                <w:szCs w:val="21"/>
              </w:rPr>
            </w:pPr>
            <w:r>
              <w:rPr>
                <w:rFonts w:hint="eastAsia" w:ascii="宋体" w:hAnsi="宋体" w:eastAsia="宋体"/>
                <w:b/>
                <w:color w:val="auto"/>
                <w:sz w:val="21"/>
                <w:szCs w:val="21"/>
              </w:rPr>
              <w:t>检查项目及内容</w:t>
            </w:r>
          </w:p>
        </w:tc>
        <w:tc>
          <w:tcPr>
            <w:tcW w:w="1058" w:type="pct"/>
            <w:vAlign w:val="center"/>
          </w:tcPr>
          <w:p>
            <w:pPr>
              <w:tabs>
                <w:tab w:val="left" w:pos="900"/>
              </w:tabs>
              <w:spacing w:line="360" w:lineRule="exact"/>
              <w:jc w:val="center"/>
              <w:rPr>
                <w:rFonts w:ascii="宋体" w:hAnsi="宋体" w:eastAsia="宋体"/>
                <w:b/>
                <w:color w:val="auto"/>
                <w:sz w:val="21"/>
                <w:szCs w:val="21"/>
              </w:rPr>
            </w:pPr>
            <w:r>
              <w:rPr>
                <w:rFonts w:hint="eastAsia" w:ascii="宋体" w:hAnsi="宋体" w:eastAsia="宋体"/>
                <w:b/>
                <w:color w:val="auto"/>
                <w:sz w:val="21"/>
                <w:szCs w:val="21"/>
              </w:rPr>
              <w:t>依据</w:t>
            </w:r>
          </w:p>
        </w:tc>
        <w:tc>
          <w:tcPr>
            <w:tcW w:w="1428" w:type="pct"/>
            <w:vAlign w:val="center"/>
          </w:tcPr>
          <w:p>
            <w:pPr>
              <w:tabs>
                <w:tab w:val="left" w:pos="900"/>
              </w:tabs>
              <w:spacing w:line="360" w:lineRule="exact"/>
              <w:jc w:val="center"/>
              <w:rPr>
                <w:rFonts w:ascii="宋体" w:hAnsi="宋体" w:eastAsia="宋体"/>
                <w:b/>
                <w:color w:val="auto"/>
                <w:sz w:val="21"/>
                <w:szCs w:val="21"/>
              </w:rPr>
            </w:pPr>
            <w:r>
              <w:rPr>
                <w:rFonts w:hint="eastAsia" w:ascii="宋体" w:hAnsi="宋体" w:eastAsia="宋体"/>
                <w:b/>
                <w:color w:val="auto"/>
                <w:sz w:val="21"/>
                <w:szCs w:val="21"/>
              </w:rPr>
              <w:t>实际情况</w:t>
            </w:r>
          </w:p>
        </w:tc>
        <w:tc>
          <w:tcPr>
            <w:tcW w:w="404" w:type="pct"/>
            <w:vAlign w:val="center"/>
          </w:tcPr>
          <w:p>
            <w:pPr>
              <w:tabs>
                <w:tab w:val="left" w:pos="900"/>
              </w:tabs>
              <w:spacing w:line="360" w:lineRule="exact"/>
              <w:jc w:val="center"/>
              <w:rPr>
                <w:rFonts w:ascii="宋体" w:hAnsi="宋体" w:eastAsia="宋体"/>
                <w:b/>
                <w:color w:val="auto"/>
                <w:sz w:val="21"/>
                <w:szCs w:val="21"/>
              </w:rPr>
            </w:pPr>
            <w:r>
              <w:rPr>
                <w:rFonts w:hint="eastAsia" w:ascii="宋体" w:hAnsi="宋体" w:eastAsia="宋体"/>
                <w:b/>
                <w:color w:val="auto"/>
                <w:sz w:val="21"/>
                <w:szCs w:val="21"/>
              </w:rPr>
              <w:t>备注</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98"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1</w:t>
            </w:r>
          </w:p>
        </w:tc>
        <w:tc>
          <w:tcPr>
            <w:tcW w:w="4602" w:type="pct"/>
            <w:gridSpan w:val="4"/>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平面布局</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98"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1.1</w:t>
            </w:r>
          </w:p>
        </w:tc>
        <w:tc>
          <w:tcPr>
            <w:tcW w:w="1712" w:type="pct"/>
            <w:vAlign w:val="center"/>
          </w:tcPr>
          <w:p>
            <w:pPr>
              <w:tabs>
                <w:tab w:val="left" w:pos="900"/>
              </w:tabs>
              <w:spacing w:line="360" w:lineRule="exact"/>
              <w:rPr>
                <w:rFonts w:ascii="宋体" w:hAnsi="宋体" w:eastAsia="宋体"/>
                <w:color w:val="auto"/>
                <w:sz w:val="21"/>
                <w:szCs w:val="21"/>
              </w:rPr>
            </w:pPr>
            <w:r>
              <w:rPr>
                <w:rFonts w:hint="eastAsia" w:ascii="宋体" w:hAnsi="宋体" w:eastAsia="宋体"/>
                <w:color w:val="auto"/>
                <w:sz w:val="21"/>
                <w:szCs w:val="21"/>
              </w:rPr>
              <w:t>总平面布置应节约集约用地，提高土地利用率。布置时应符合下列要求：</w:t>
            </w:r>
          </w:p>
          <w:p>
            <w:pPr>
              <w:tabs>
                <w:tab w:val="left" w:pos="900"/>
              </w:tabs>
              <w:spacing w:line="360" w:lineRule="exact"/>
              <w:rPr>
                <w:rFonts w:ascii="宋体" w:hAnsi="宋体" w:eastAsia="宋体"/>
                <w:color w:val="auto"/>
                <w:sz w:val="21"/>
                <w:szCs w:val="21"/>
              </w:rPr>
            </w:pPr>
            <w:r>
              <w:rPr>
                <w:rFonts w:hint="eastAsia" w:ascii="宋体" w:hAnsi="宋体" w:eastAsia="宋体"/>
                <w:color w:val="auto"/>
                <w:sz w:val="21"/>
                <w:szCs w:val="21"/>
              </w:rPr>
              <w:t>一、在符合生产流程、操作要求和使用功能的前提下，建筑物、构筑物等设施，应采用联合、集中、多层布置；</w:t>
            </w:r>
          </w:p>
          <w:p>
            <w:pPr>
              <w:tabs>
                <w:tab w:val="left" w:pos="900"/>
              </w:tabs>
              <w:spacing w:line="360" w:lineRule="exact"/>
              <w:rPr>
                <w:rFonts w:ascii="宋体" w:hAnsi="宋体" w:eastAsia="宋体"/>
                <w:color w:val="auto"/>
                <w:sz w:val="21"/>
                <w:szCs w:val="21"/>
              </w:rPr>
            </w:pPr>
            <w:r>
              <w:rPr>
                <w:rFonts w:hint="eastAsia" w:ascii="宋体" w:hAnsi="宋体" w:eastAsia="宋体"/>
                <w:color w:val="auto"/>
                <w:sz w:val="21"/>
                <w:szCs w:val="21"/>
              </w:rPr>
              <w:t>二、应按企业规模和功能分区，合理的确定通道宽度；</w:t>
            </w:r>
          </w:p>
          <w:p>
            <w:pPr>
              <w:tabs>
                <w:tab w:val="left" w:pos="900"/>
              </w:tabs>
              <w:spacing w:line="360" w:lineRule="exact"/>
              <w:rPr>
                <w:rFonts w:ascii="宋体" w:hAnsi="宋体" w:eastAsia="宋体"/>
                <w:color w:val="auto"/>
                <w:sz w:val="21"/>
                <w:szCs w:val="21"/>
              </w:rPr>
            </w:pPr>
            <w:r>
              <w:rPr>
                <w:rFonts w:hint="eastAsia" w:ascii="宋体" w:hAnsi="宋体" w:eastAsia="宋体"/>
                <w:color w:val="auto"/>
                <w:sz w:val="21"/>
                <w:szCs w:val="21"/>
              </w:rPr>
              <w:t>三、厂区、功能分区及建筑物、构筑物的外形宜规整；</w:t>
            </w:r>
          </w:p>
          <w:p>
            <w:pPr>
              <w:tabs>
                <w:tab w:val="left" w:pos="900"/>
              </w:tabs>
              <w:spacing w:line="360" w:lineRule="exact"/>
              <w:rPr>
                <w:rFonts w:ascii="宋体" w:hAnsi="宋体" w:eastAsia="宋体"/>
                <w:color w:val="auto"/>
                <w:sz w:val="21"/>
                <w:szCs w:val="21"/>
              </w:rPr>
            </w:pPr>
            <w:r>
              <w:rPr>
                <w:rFonts w:hint="eastAsia" w:ascii="宋体" w:hAnsi="宋体" w:eastAsia="宋体"/>
                <w:color w:val="auto"/>
                <w:sz w:val="21"/>
                <w:szCs w:val="21"/>
              </w:rPr>
              <w:t>四、功能分区内各项设施的布置，应紧凑、合理。</w:t>
            </w:r>
          </w:p>
        </w:tc>
        <w:tc>
          <w:tcPr>
            <w:tcW w:w="1058"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《工业企业总平面设计规范》(GB50187-2012)第5.1节</w:t>
            </w:r>
          </w:p>
        </w:tc>
        <w:tc>
          <w:tcPr>
            <w:tcW w:w="1428"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该企业厂区按照功能分区，通道宽畅，功能分区布置合理。</w:t>
            </w:r>
          </w:p>
        </w:tc>
        <w:tc>
          <w:tcPr>
            <w:tcW w:w="404"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98"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1.2</w:t>
            </w:r>
          </w:p>
        </w:tc>
        <w:tc>
          <w:tcPr>
            <w:tcW w:w="1712" w:type="pct"/>
            <w:vAlign w:val="center"/>
          </w:tcPr>
          <w:p>
            <w:pPr>
              <w:tabs>
                <w:tab w:val="left" w:pos="900"/>
              </w:tabs>
              <w:spacing w:line="360" w:lineRule="exact"/>
              <w:rPr>
                <w:rFonts w:ascii="宋体" w:hAnsi="宋体" w:eastAsia="宋体"/>
                <w:color w:val="auto"/>
                <w:sz w:val="21"/>
                <w:szCs w:val="21"/>
              </w:rPr>
            </w:pPr>
            <w:r>
              <w:rPr>
                <w:rFonts w:hint="eastAsia" w:ascii="宋体" w:hAnsi="宋体" w:eastAsia="宋体"/>
                <w:color w:val="auto"/>
                <w:sz w:val="21"/>
                <w:szCs w:val="21"/>
              </w:rPr>
              <w:t>厂区的通道宽度，应根据下列因素确定：</w:t>
            </w:r>
          </w:p>
          <w:p>
            <w:pPr>
              <w:tabs>
                <w:tab w:val="left" w:pos="900"/>
              </w:tabs>
              <w:spacing w:line="360" w:lineRule="exact"/>
              <w:rPr>
                <w:rFonts w:ascii="宋体" w:hAnsi="宋体" w:eastAsia="宋体"/>
                <w:color w:val="auto"/>
                <w:sz w:val="21"/>
                <w:szCs w:val="21"/>
              </w:rPr>
            </w:pPr>
            <w:r>
              <w:rPr>
                <w:rFonts w:hint="eastAsia" w:ascii="宋体" w:hAnsi="宋体" w:eastAsia="宋体"/>
                <w:color w:val="auto"/>
                <w:sz w:val="21"/>
                <w:szCs w:val="21"/>
              </w:rPr>
              <w:t>一、应符合通道两侧建筑物、构筑物及露天设施对防火、安全与卫生间距的要求；</w:t>
            </w:r>
          </w:p>
          <w:p>
            <w:pPr>
              <w:tabs>
                <w:tab w:val="left" w:pos="900"/>
              </w:tabs>
              <w:spacing w:line="360" w:lineRule="exact"/>
              <w:rPr>
                <w:rFonts w:ascii="宋体" w:hAnsi="宋体" w:eastAsia="宋体"/>
                <w:color w:val="auto"/>
                <w:sz w:val="21"/>
                <w:szCs w:val="21"/>
              </w:rPr>
            </w:pPr>
            <w:r>
              <w:rPr>
                <w:rFonts w:hint="eastAsia" w:ascii="宋体" w:hAnsi="宋体" w:eastAsia="宋体"/>
                <w:color w:val="auto"/>
                <w:sz w:val="21"/>
                <w:szCs w:val="21"/>
              </w:rPr>
              <w:t>二、应符合铁路、道路与带式输送机通廊等工业运输线路的布置要求；</w:t>
            </w:r>
          </w:p>
          <w:p>
            <w:pPr>
              <w:tabs>
                <w:tab w:val="left" w:pos="900"/>
              </w:tabs>
              <w:spacing w:line="360" w:lineRule="exact"/>
              <w:rPr>
                <w:rFonts w:ascii="宋体" w:hAnsi="宋体" w:eastAsia="宋体"/>
                <w:color w:val="auto"/>
                <w:sz w:val="21"/>
                <w:szCs w:val="21"/>
              </w:rPr>
            </w:pPr>
            <w:r>
              <w:rPr>
                <w:rFonts w:hint="eastAsia" w:ascii="宋体" w:hAnsi="宋体" w:eastAsia="宋体"/>
                <w:color w:val="auto"/>
                <w:sz w:val="21"/>
                <w:szCs w:val="21"/>
              </w:rPr>
              <w:t>三、应符合各种工程管线的布置要求；</w:t>
            </w:r>
          </w:p>
          <w:p>
            <w:pPr>
              <w:tabs>
                <w:tab w:val="left" w:pos="900"/>
              </w:tabs>
              <w:spacing w:line="360" w:lineRule="exact"/>
              <w:rPr>
                <w:rFonts w:ascii="宋体" w:hAnsi="宋体" w:eastAsia="宋体"/>
                <w:color w:val="auto"/>
                <w:sz w:val="21"/>
                <w:szCs w:val="21"/>
              </w:rPr>
            </w:pPr>
            <w:r>
              <w:rPr>
                <w:rFonts w:hint="eastAsia" w:ascii="宋体" w:hAnsi="宋体" w:eastAsia="宋体"/>
                <w:color w:val="auto"/>
                <w:sz w:val="21"/>
                <w:szCs w:val="21"/>
              </w:rPr>
              <w:t>四、应符合绿化布置的要求；</w:t>
            </w:r>
          </w:p>
          <w:p>
            <w:pPr>
              <w:tabs>
                <w:tab w:val="left" w:pos="900"/>
              </w:tabs>
              <w:spacing w:line="360" w:lineRule="exact"/>
              <w:rPr>
                <w:rFonts w:ascii="宋体" w:hAnsi="宋体" w:eastAsia="宋体"/>
                <w:color w:val="auto"/>
                <w:sz w:val="21"/>
                <w:szCs w:val="21"/>
              </w:rPr>
            </w:pPr>
            <w:r>
              <w:rPr>
                <w:rFonts w:hint="eastAsia" w:ascii="宋体" w:hAnsi="宋体" w:eastAsia="宋体"/>
                <w:color w:val="auto"/>
                <w:sz w:val="21"/>
                <w:szCs w:val="21"/>
              </w:rPr>
              <w:t>五、应符合施工、安装与检修的要求；</w:t>
            </w:r>
          </w:p>
          <w:p>
            <w:pPr>
              <w:tabs>
                <w:tab w:val="left" w:pos="900"/>
              </w:tabs>
              <w:spacing w:line="360" w:lineRule="exact"/>
              <w:rPr>
                <w:rFonts w:ascii="宋体" w:hAnsi="宋体" w:eastAsia="宋体"/>
                <w:color w:val="auto"/>
                <w:sz w:val="21"/>
                <w:szCs w:val="21"/>
              </w:rPr>
            </w:pPr>
            <w:r>
              <w:rPr>
                <w:rFonts w:hint="eastAsia" w:ascii="宋体" w:hAnsi="宋体" w:eastAsia="宋体"/>
                <w:color w:val="auto"/>
                <w:sz w:val="21"/>
                <w:szCs w:val="21"/>
              </w:rPr>
              <w:t>六、应符合竖向设计的要求；</w:t>
            </w:r>
          </w:p>
          <w:p>
            <w:pPr>
              <w:tabs>
                <w:tab w:val="left" w:pos="900"/>
              </w:tabs>
              <w:spacing w:line="360" w:lineRule="exact"/>
              <w:rPr>
                <w:rFonts w:ascii="宋体" w:hAnsi="宋体" w:eastAsia="宋体"/>
                <w:color w:val="auto"/>
                <w:sz w:val="21"/>
                <w:szCs w:val="21"/>
              </w:rPr>
            </w:pPr>
            <w:r>
              <w:rPr>
                <w:rFonts w:hint="eastAsia" w:ascii="宋体" w:hAnsi="宋体" w:eastAsia="宋体"/>
                <w:color w:val="auto"/>
                <w:sz w:val="21"/>
                <w:szCs w:val="21"/>
              </w:rPr>
              <w:t>七、应符合预留发展用地的要求。</w:t>
            </w:r>
          </w:p>
        </w:tc>
        <w:tc>
          <w:tcPr>
            <w:tcW w:w="1058"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《工业企业总平面设计规范》(GB50187-2012)</w:t>
            </w:r>
          </w:p>
          <w:p>
            <w:pPr>
              <w:spacing w:line="360" w:lineRule="exact"/>
              <w:rPr>
                <w:rFonts w:ascii="宋体" w:hAnsi="宋体" w:eastAsia="宋体"/>
                <w:color w:val="auto"/>
                <w:sz w:val="21"/>
                <w:szCs w:val="21"/>
              </w:rPr>
            </w:pPr>
            <w:r>
              <w:rPr>
                <w:rFonts w:hint="eastAsia" w:ascii="宋体" w:hAnsi="宋体" w:eastAsia="宋体"/>
                <w:color w:val="auto"/>
                <w:sz w:val="21"/>
                <w:szCs w:val="21"/>
              </w:rPr>
              <w:t>第5.1节</w:t>
            </w:r>
          </w:p>
        </w:tc>
        <w:tc>
          <w:tcPr>
            <w:tcW w:w="1428"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厂区的通道宽度符合防火、安全与卫生间距、绿化、施工、竖向设计等要求。</w:t>
            </w:r>
          </w:p>
        </w:tc>
        <w:tc>
          <w:tcPr>
            <w:tcW w:w="404"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98"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1.3</w:t>
            </w:r>
          </w:p>
        </w:tc>
        <w:tc>
          <w:tcPr>
            <w:tcW w:w="1712" w:type="pct"/>
            <w:vAlign w:val="center"/>
          </w:tcPr>
          <w:p>
            <w:pPr>
              <w:tabs>
                <w:tab w:val="left" w:pos="900"/>
              </w:tabs>
              <w:spacing w:line="360" w:lineRule="exact"/>
              <w:rPr>
                <w:rFonts w:ascii="宋体" w:hAnsi="宋体" w:eastAsia="宋体"/>
                <w:color w:val="auto"/>
                <w:sz w:val="21"/>
                <w:szCs w:val="21"/>
              </w:rPr>
            </w:pPr>
            <w:r>
              <w:rPr>
                <w:rFonts w:hint="eastAsia" w:ascii="宋体" w:hAnsi="宋体" w:eastAsia="宋体"/>
                <w:color w:val="auto"/>
                <w:sz w:val="21"/>
                <w:szCs w:val="21"/>
              </w:rPr>
              <w:t>易燃、易爆危险品生产设施的布置，应保证生产人员的安全操作及疏散方便，并应符合国家现行的有关标准的规定。</w:t>
            </w:r>
          </w:p>
        </w:tc>
        <w:tc>
          <w:tcPr>
            <w:tcW w:w="1058"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《工业企业总平面设计规范》(GB50187-2012)</w:t>
            </w:r>
          </w:p>
          <w:p>
            <w:pPr>
              <w:spacing w:line="360" w:lineRule="exact"/>
              <w:rPr>
                <w:rFonts w:ascii="宋体" w:hAnsi="宋体" w:eastAsia="宋体"/>
                <w:color w:val="auto"/>
                <w:sz w:val="21"/>
                <w:szCs w:val="21"/>
              </w:rPr>
            </w:pPr>
            <w:r>
              <w:rPr>
                <w:rFonts w:hint="eastAsia" w:ascii="宋体" w:hAnsi="宋体" w:eastAsia="宋体"/>
                <w:color w:val="auto"/>
                <w:sz w:val="21"/>
                <w:szCs w:val="21"/>
              </w:rPr>
              <w:t>第5.2节</w:t>
            </w:r>
          </w:p>
        </w:tc>
        <w:tc>
          <w:tcPr>
            <w:tcW w:w="1428"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生产车间、仓库的等生产设施的布置，可以保证生产人员的安全操作及安全疏散。</w:t>
            </w:r>
          </w:p>
        </w:tc>
        <w:tc>
          <w:tcPr>
            <w:tcW w:w="404"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98"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1.4</w:t>
            </w:r>
          </w:p>
        </w:tc>
        <w:tc>
          <w:tcPr>
            <w:tcW w:w="1712" w:type="pct"/>
            <w:vAlign w:val="center"/>
          </w:tcPr>
          <w:p>
            <w:pPr>
              <w:tabs>
                <w:tab w:val="left" w:pos="900"/>
              </w:tabs>
              <w:spacing w:line="360" w:lineRule="exact"/>
              <w:rPr>
                <w:rFonts w:ascii="宋体" w:hAnsi="宋体" w:eastAsia="宋体"/>
                <w:color w:val="auto"/>
                <w:sz w:val="21"/>
                <w:szCs w:val="21"/>
              </w:rPr>
            </w:pPr>
            <w:r>
              <w:rPr>
                <w:rFonts w:hint="eastAsia" w:ascii="宋体" w:hAnsi="宋体" w:eastAsia="宋体"/>
                <w:color w:val="auto"/>
                <w:sz w:val="21"/>
                <w:szCs w:val="21"/>
              </w:rPr>
              <w:t>公用设施的布置，宜位于其负荷中心，或靠近主要用户。</w:t>
            </w:r>
          </w:p>
        </w:tc>
        <w:tc>
          <w:tcPr>
            <w:tcW w:w="1058"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《工业企业总平面设计规范》(GB50187-2012)</w:t>
            </w:r>
          </w:p>
          <w:p>
            <w:pPr>
              <w:spacing w:line="360" w:lineRule="exact"/>
              <w:rPr>
                <w:rFonts w:ascii="宋体" w:hAnsi="宋体" w:eastAsia="宋体"/>
                <w:color w:val="auto"/>
                <w:sz w:val="21"/>
                <w:szCs w:val="21"/>
              </w:rPr>
            </w:pPr>
            <w:r>
              <w:rPr>
                <w:rFonts w:hint="eastAsia" w:ascii="宋体" w:hAnsi="宋体" w:eastAsia="宋体"/>
                <w:color w:val="auto"/>
                <w:sz w:val="21"/>
                <w:szCs w:val="21"/>
              </w:rPr>
              <w:t>第5.3节</w:t>
            </w:r>
          </w:p>
        </w:tc>
        <w:tc>
          <w:tcPr>
            <w:tcW w:w="1428"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公用设施的布置靠近负荷中心。</w:t>
            </w:r>
          </w:p>
        </w:tc>
        <w:tc>
          <w:tcPr>
            <w:tcW w:w="404"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98"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1.5</w:t>
            </w:r>
          </w:p>
        </w:tc>
        <w:tc>
          <w:tcPr>
            <w:tcW w:w="1712" w:type="pct"/>
            <w:vAlign w:val="center"/>
          </w:tcPr>
          <w:p>
            <w:pPr>
              <w:tabs>
                <w:tab w:val="left" w:pos="900"/>
              </w:tabs>
              <w:spacing w:line="360" w:lineRule="exact"/>
              <w:rPr>
                <w:rFonts w:ascii="宋体" w:hAnsi="宋体" w:eastAsia="宋体"/>
                <w:color w:val="auto"/>
                <w:sz w:val="21"/>
                <w:szCs w:val="21"/>
              </w:rPr>
            </w:pPr>
            <w:r>
              <w:rPr>
                <w:rFonts w:hint="eastAsia" w:ascii="宋体" w:hAnsi="宋体" w:eastAsia="宋体"/>
                <w:color w:val="auto"/>
                <w:sz w:val="21"/>
                <w:szCs w:val="21"/>
              </w:rPr>
              <w:t>易燃及可燃材料堆场的布置，宜位于厂区边缘，并应远离明火及散发火花的地点。</w:t>
            </w:r>
          </w:p>
        </w:tc>
        <w:tc>
          <w:tcPr>
            <w:tcW w:w="1058"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《工业企业总平面设计规范》(GB50187-2012)</w:t>
            </w:r>
          </w:p>
          <w:p>
            <w:pPr>
              <w:spacing w:line="360" w:lineRule="exact"/>
              <w:rPr>
                <w:rFonts w:ascii="宋体" w:hAnsi="宋体" w:eastAsia="宋体"/>
                <w:color w:val="auto"/>
                <w:sz w:val="21"/>
                <w:szCs w:val="21"/>
              </w:rPr>
            </w:pPr>
            <w:r>
              <w:rPr>
                <w:rFonts w:hint="eastAsia" w:ascii="宋体" w:hAnsi="宋体" w:eastAsia="宋体"/>
                <w:color w:val="auto"/>
                <w:sz w:val="21"/>
                <w:szCs w:val="21"/>
              </w:rPr>
              <w:t>第5.6节</w:t>
            </w:r>
          </w:p>
        </w:tc>
        <w:tc>
          <w:tcPr>
            <w:tcW w:w="1428"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甲类仓库布置在远离明火或者是散发火花地点。</w:t>
            </w:r>
          </w:p>
        </w:tc>
        <w:tc>
          <w:tcPr>
            <w:tcW w:w="404"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98"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1.6</w:t>
            </w:r>
          </w:p>
        </w:tc>
        <w:tc>
          <w:tcPr>
            <w:tcW w:w="1712" w:type="pct"/>
            <w:vAlign w:val="center"/>
          </w:tcPr>
          <w:p>
            <w:pPr>
              <w:tabs>
                <w:tab w:val="left" w:pos="900"/>
              </w:tabs>
              <w:spacing w:line="360" w:lineRule="exact"/>
              <w:rPr>
                <w:rFonts w:ascii="宋体" w:hAnsi="宋体" w:eastAsia="宋体"/>
                <w:color w:val="auto"/>
                <w:sz w:val="21"/>
                <w:szCs w:val="21"/>
              </w:rPr>
            </w:pPr>
            <w:r>
              <w:rPr>
                <w:rFonts w:hint="eastAsia" w:ascii="宋体" w:hAnsi="宋体" w:eastAsia="宋体"/>
                <w:color w:val="auto"/>
                <w:sz w:val="21"/>
                <w:szCs w:val="21"/>
              </w:rPr>
              <w:t>厂区出入口的位置和数量，应根据企业的生产规模、总体规划、厂区用地面积及总平面布置等因素综合确定，其数量不宜少于2个。主要人流出入口宜与主要货流出入口分开设置，并应位于厂区主干道通往居住区或城镇的一侧。主要货流出入口应位于主要货流方向，并应与外部运输线路连接方便。</w:t>
            </w:r>
          </w:p>
        </w:tc>
        <w:tc>
          <w:tcPr>
            <w:tcW w:w="1058"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《工业企业总平面设计规范》(GB50187-2012)</w:t>
            </w:r>
          </w:p>
          <w:p>
            <w:pPr>
              <w:spacing w:line="360" w:lineRule="exact"/>
              <w:rPr>
                <w:rFonts w:ascii="宋体" w:hAnsi="宋体" w:eastAsia="宋体"/>
                <w:color w:val="auto"/>
                <w:sz w:val="21"/>
                <w:szCs w:val="21"/>
              </w:rPr>
            </w:pPr>
            <w:r>
              <w:rPr>
                <w:rFonts w:hint="eastAsia" w:ascii="宋体" w:hAnsi="宋体" w:eastAsia="宋体"/>
                <w:color w:val="auto"/>
                <w:sz w:val="21"/>
                <w:szCs w:val="21"/>
              </w:rPr>
              <w:t>第5.7节</w:t>
            </w:r>
          </w:p>
        </w:tc>
        <w:tc>
          <w:tcPr>
            <w:tcW w:w="1428"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厂区设有2个出口，主要出入口与进入厂区道路连接。</w:t>
            </w:r>
          </w:p>
        </w:tc>
        <w:tc>
          <w:tcPr>
            <w:tcW w:w="404"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98"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1.7</w:t>
            </w:r>
          </w:p>
        </w:tc>
        <w:tc>
          <w:tcPr>
            <w:tcW w:w="1712" w:type="pct"/>
            <w:vAlign w:val="center"/>
          </w:tcPr>
          <w:p>
            <w:pPr>
              <w:pStyle w:val="251"/>
              <w:spacing w:line="360" w:lineRule="exact"/>
              <w:rPr>
                <w:rFonts w:cs="Times New Roman"/>
                <w:color w:val="auto"/>
                <w:szCs w:val="21"/>
              </w:rPr>
            </w:pPr>
            <w:r>
              <w:rPr>
                <w:rFonts w:hint="eastAsia" w:cs="Times New Roman"/>
                <w:color w:val="auto"/>
                <w:szCs w:val="21"/>
              </w:rPr>
              <w:t>厂区总平面应按功能分区布置，可分为生产装置区、辅助生产区、公用工程设施区、仓储区和行政办公及生活服务区。辅助生产和公用工程设施也可布置在生产装置区内。功能分区布置应符合下列要求：</w:t>
            </w:r>
          </w:p>
          <w:p>
            <w:pPr>
              <w:pStyle w:val="252"/>
              <w:spacing w:line="360" w:lineRule="exact"/>
              <w:ind w:firstLine="0" w:firstLineChars="0"/>
              <w:rPr>
                <w:rFonts w:cs="Times New Roman"/>
                <w:color w:val="auto"/>
                <w:szCs w:val="21"/>
              </w:rPr>
            </w:pPr>
            <w:r>
              <w:rPr>
                <w:rFonts w:hint="eastAsia" w:cs="Times New Roman"/>
                <w:color w:val="auto"/>
                <w:szCs w:val="21"/>
              </w:rPr>
              <w:t>1各功能区内部应布置紧凑、合理并与相邻功能区相协调。</w:t>
            </w:r>
          </w:p>
          <w:p>
            <w:pPr>
              <w:pStyle w:val="252"/>
              <w:spacing w:line="360" w:lineRule="exact"/>
              <w:ind w:firstLine="0" w:firstLineChars="0"/>
              <w:rPr>
                <w:rFonts w:cs="Times New Roman"/>
                <w:color w:val="auto"/>
                <w:szCs w:val="21"/>
              </w:rPr>
            </w:pPr>
            <w:r>
              <w:rPr>
                <w:rFonts w:hint="eastAsia" w:cs="Times New Roman"/>
                <w:color w:val="auto"/>
                <w:szCs w:val="21"/>
              </w:rPr>
              <w:t>2各功能区之间物流输送、动力供应便捷合理。</w:t>
            </w:r>
          </w:p>
          <w:p>
            <w:pPr>
              <w:pStyle w:val="252"/>
              <w:spacing w:line="360" w:lineRule="exact"/>
              <w:ind w:firstLine="0" w:firstLineChars="0"/>
              <w:rPr>
                <w:rFonts w:cs="Times New Roman"/>
                <w:color w:val="auto"/>
                <w:szCs w:val="21"/>
              </w:rPr>
            </w:pPr>
            <w:r>
              <w:rPr>
                <w:rFonts w:hint="eastAsia" w:cs="Times New Roman"/>
                <w:color w:val="auto"/>
                <w:szCs w:val="21"/>
              </w:rPr>
              <w:t>3生产装置区宜布置在全年最小频率风向的上风侧，行政办公及生活服务设施区宜布置在全年最小频率风向的下风侧，辅助生产和公用工程设施区宜布置在生产装置区与行政办公及生活服务设施区之间。</w:t>
            </w:r>
          </w:p>
        </w:tc>
        <w:tc>
          <w:tcPr>
            <w:tcW w:w="1058"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《化工企业总图运输设计规范》(GB50489-2009)</w:t>
            </w:r>
          </w:p>
          <w:p>
            <w:pPr>
              <w:spacing w:line="360" w:lineRule="exact"/>
              <w:rPr>
                <w:rFonts w:ascii="宋体" w:hAnsi="宋体" w:eastAsia="宋体"/>
                <w:color w:val="auto"/>
                <w:sz w:val="21"/>
                <w:szCs w:val="21"/>
              </w:rPr>
            </w:pPr>
            <w:r>
              <w:rPr>
                <w:rFonts w:hint="eastAsia" w:ascii="宋体" w:hAnsi="宋体" w:eastAsia="宋体"/>
                <w:color w:val="auto"/>
                <w:sz w:val="21"/>
                <w:szCs w:val="21"/>
              </w:rPr>
              <w:t>第5.1.4条</w:t>
            </w:r>
          </w:p>
        </w:tc>
        <w:tc>
          <w:tcPr>
            <w:tcW w:w="1428"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厂区总平面按功能分区布置，分为生产区、仓储区、公用工程设施区，各功能区布置合理。</w:t>
            </w:r>
          </w:p>
        </w:tc>
        <w:tc>
          <w:tcPr>
            <w:tcW w:w="404"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98"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1.8</w:t>
            </w:r>
          </w:p>
        </w:tc>
        <w:tc>
          <w:tcPr>
            <w:tcW w:w="1712" w:type="pct"/>
            <w:vAlign w:val="center"/>
          </w:tcPr>
          <w:p>
            <w:pPr>
              <w:pStyle w:val="251"/>
              <w:spacing w:line="360" w:lineRule="exact"/>
              <w:rPr>
                <w:rFonts w:cs="Times New Roman"/>
                <w:color w:val="auto"/>
                <w:szCs w:val="21"/>
              </w:rPr>
            </w:pPr>
            <w:r>
              <w:rPr>
                <w:rFonts w:hint="eastAsia" w:cs="Times New Roman"/>
                <w:color w:val="auto"/>
                <w:szCs w:val="21"/>
              </w:rPr>
              <w:t>可能泄漏、散发有毒或腐蚀性气体、粉尘的设施，应避开人员集中活动场所，并应布置在该场所及其他主要生产设备区全年最小频率风向的上风侧。</w:t>
            </w:r>
          </w:p>
        </w:tc>
        <w:tc>
          <w:tcPr>
            <w:tcW w:w="1058"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《化工企业总图运输设计规范》(GB50489-2009)</w:t>
            </w:r>
          </w:p>
          <w:p>
            <w:pPr>
              <w:spacing w:line="360" w:lineRule="exact"/>
              <w:rPr>
                <w:rFonts w:ascii="宋体" w:hAnsi="宋体" w:eastAsia="宋体"/>
                <w:color w:val="auto"/>
                <w:sz w:val="21"/>
                <w:szCs w:val="21"/>
              </w:rPr>
            </w:pPr>
            <w:r>
              <w:rPr>
                <w:rFonts w:hint="eastAsia" w:ascii="宋体" w:hAnsi="宋体" w:eastAsia="宋体"/>
                <w:color w:val="auto"/>
                <w:sz w:val="21"/>
                <w:szCs w:val="21"/>
              </w:rPr>
              <w:t>第5.2.3条</w:t>
            </w:r>
          </w:p>
        </w:tc>
        <w:tc>
          <w:tcPr>
            <w:tcW w:w="1428"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可能发生泄漏、散发有毒有害气体，包括生产区和仓储区，均远离人员集中的活动场所。</w:t>
            </w:r>
          </w:p>
        </w:tc>
        <w:tc>
          <w:tcPr>
            <w:tcW w:w="404"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98"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1.9</w:t>
            </w:r>
          </w:p>
        </w:tc>
        <w:tc>
          <w:tcPr>
            <w:tcW w:w="1712" w:type="pct"/>
            <w:vAlign w:val="center"/>
          </w:tcPr>
          <w:p>
            <w:pPr>
              <w:pStyle w:val="251"/>
              <w:spacing w:line="360" w:lineRule="exact"/>
              <w:rPr>
                <w:rFonts w:cs="Times New Roman"/>
                <w:color w:val="auto"/>
                <w:szCs w:val="21"/>
              </w:rPr>
            </w:pPr>
            <w:r>
              <w:rPr>
                <w:rFonts w:hint="eastAsia" w:cs="Times New Roman"/>
                <w:color w:val="auto"/>
                <w:szCs w:val="21"/>
              </w:rPr>
              <w:t>原料、燃料、材料、成品及半成品的仓库、堆场及储罐，应根据其储存物料的性质、数量、包装及运输方式等条件，按不同类别相对集中布置，并宜靠近相关装置和运输路线，且应符合防火、防爆、安全、卫生的规定。</w:t>
            </w:r>
          </w:p>
        </w:tc>
        <w:tc>
          <w:tcPr>
            <w:tcW w:w="1058"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《化工企业总图运输设计规范》(GB50489-2009)</w:t>
            </w:r>
          </w:p>
          <w:p>
            <w:pPr>
              <w:spacing w:line="360" w:lineRule="exact"/>
              <w:rPr>
                <w:rFonts w:ascii="宋体" w:hAnsi="宋体" w:eastAsia="宋体"/>
                <w:color w:val="auto"/>
                <w:sz w:val="21"/>
                <w:szCs w:val="21"/>
              </w:rPr>
            </w:pPr>
            <w:r>
              <w:rPr>
                <w:rFonts w:hint="eastAsia" w:ascii="宋体" w:hAnsi="宋体" w:eastAsia="宋体"/>
                <w:color w:val="auto"/>
                <w:sz w:val="21"/>
                <w:szCs w:val="21"/>
              </w:rPr>
              <w:t>第5.4.1条</w:t>
            </w:r>
          </w:p>
        </w:tc>
        <w:tc>
          <w:tcPr>
            <w:tcW w:w="1428"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甲类车间、甲类仓库的设置符合防火、防爆、安全的规定。</w:t>
            </w:r>
          </w:p>
        </w:tc>
        <w:tc>
          <w:tcPr>
            <w:tcW w:w="404"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98"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1.10</w:t>
            </w:r>
          </w:p>
        </w:tc>
        <w:tc>
          <w:tcPr>
            <w:tcW w:w="1712" w:type="pct"/>
            <w:vAlign w:val="center"/>
          </w:tcPr>
          <w:p>
            <w:pPr>
              <w:pStyle w:val="251"/>
              <w:spacing w:line="360" w:lineRule="exact"/>
              <w:rPr>
                <w:rFonts w:cs="Times New Roman"/>
                <w:color w:val="auto"/>
                <w:szCs w:val="21"/>
              </w:rPr>
            </w:pPr>
            <w:r>
              <w:rPr>
                <w:rFonts w:hint="eastAsia" w:cs="Times New Roman"/>
                <w:color w:val="auto"/>
                <w:szCs w:val="21"/>
              </w:rPr>
              <w:t>厂区内废弃物临时堆场宜布置在厂区边缘，且不影响厂容的地方。</w:t>
            </w:r>
          </w:p>
        </w:tc>
        <w:tc>
          <w:tcPr>
            <w:tcW w:w="1058"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《化工企业总图运输设计规范》(GB50489-2009)</w:t>
            </w:r>
          </w:p>
          <w:p>
            <w:pPr>
              <w:spacing w:line="360" w:lineRule="exact"/>
              <w:rPr>
                <w:rFonts w:ascii="宋体" w:hAnsi="宋体" w:eastAsia="宋体"/>
                <w:color w:val="auto"/>
                <w:sz w:val="21"/>
                <w:szCs w:val="21"/>
              </w:rPr>
            </w:pPr>
            <w:r>
              <w:rPr>
                <w:rFonts w:hint="eastAsia" w:ascii="宋体" w:hAnsi="宋体" w:eastAsia="宋体"/>
                <w:color w:val="auto"/>
                <w:sz w:val="21"/>
                <w:szCs w:val="21"/>
              </w:rPr>
              <w:t>第5.4.12条</w:t>
            </w:r>
          </w:p>
        </w:tc>
        <w:tc>
          <w:tcPr>
            <w:tcW w:w="1428"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厂区临时存放废弃空桶的堆场设在厂内，不影响厂容。</w:t>
            </w:r>
          </w:p>
        </w:tc>
        <w:tc>
          <w:tcPr>
            <w:tcW w:w="404"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98"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2</w:t>
            </w:r>
          </w:p>
        </w:tc>
        <w:tc>
          <w:tcPr>
            <w:tcW w:w="4602" w:type="pct"/>
            <w:gridSpan w:val="4"/>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lang w:val="en-GB"/>
              </w:rPr>
              <w:t>建筑、消防、防雷和电气设施</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98"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2.1</w:t>
            </w:r>
          </w:p>
        </w:tc>
        <w:tc>
          <w:tcPr>
            <w:tcW w:w="1712" w:type="pct"/>
            <w:vAlign w:val="center"/>
          </w:tcPr>
          <w:p>
            <w:pPr>
              <w:tabs>
                <w:tab w:val="left" w:pos="900"/>
              </w:tabs>
              <w:spacing w:line="360" w:lineRule="exact"/>
              <w:rPr>
                <w:rFonts w:ascii="宋体" w:hAnsi="宋体" w:eastAsia="宋体"/>
                <w:color w:val="auto"/>
                <w:sz w:val="21"/>
                <w:szCs w:val="21"/>
              </w:rPr>
            </w:pPr>
            <w:r>
              <w:rPr>
                <w:rFonts w:hint="eastAsia" w:ascii="宋体" w:hAnsi="宋体" w:eastAsia="宋体"/>
                <w:color w:val="auto"/>
                <w:sz w:val="21"/>
                <w:szCs w:val="21"/>
              </w:rPr>
              <w:t>厂房、库房耐火等级、层数、占地面积应符合表3.3.1、3.3.2的规定。</w:t>
            </w:r>
          </w:p>
        </w:tc>
        <w:tc>
          <w:tcPr>
            <w:tcW w:w="1058"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《建筑设计防火规范</w:t>
            </w:r>
            <w:r>
              <w:rPr>
                <w:rFonts w:hint="eastAsia" w:ascii="宋体" w:hAnsi="宋体" w:eastAsia="宋体"/>
                <w:color w:val="auto"/>
                <w:sz w:val="21"/>
                <w:szCs w:val="21"/>
                <w:lang w:eastAsia="zh-CN"/>
              </w:rPr>
              <w:t>（2018年版）</w:t>
            </w:r>
            <w:r>
              <w:rPr>
                <w:rFonts w:hint="eastAsia" w:ascii="宋体" w:hAnsi="宋体" w:eastAsia="宋体"/>
                <w:color w:val="auto"/>
                <w:sz w:val="21"/>
                <w:szCs w:val="21"/>
              </w:rPr>
              <w:t>》GB50016-2014</w:t>
            </w:r>
          </w:p>
          <w:p>
            <w:pPr>
              <w:spacing w:line="360" w:lineRule="exact"/>
              <w:rPr>
                <w:rFonts w:ascii="宋体" w:hAnsi="宋体" w:eastAsia="宋体"/>
                <w:color w:val="auto"/>
                <w:sz w:val="21"/>
                <w:szCs w:val="21"/>
                <w:lang w:val="en-GB"/>
              </w:rPr>
            </w:pPr>
            <w:r>
              <w:rPr>
                <w:rFonts w:hint="eastAsia" w:ascii="宋体" w:hAnsi="宋体" w:eastAsia="宋体"/>
                <w:color w:val="auto"/>
                <w:sz w:val="21"/>
                <w:szCs w:val="21"/>
              </w:rPr>
              <w:t>第3.3节</w:t>
            </w:r>
          </w:p>
        </w:tc>
        <w:tc>
          <w:tcPr>
            <w:tcW w:w="1428"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企业各车间、仓库均为</w:t>
            </w:r>
            <w:r>
              <w:rPr>
                <w:rFonts w:hint="eastAsia" w:ascii="宋体" w:hAnsi="宋体" w:eastAsia="宋体"/>
                <w:color w:val="auto"/>
                <w:sz w:val="21"/>
                <w:szCs w:val="21"/>
                <w:lang w:eastAsia="zh-CN"/>
              </w:rPr>
              <w:t>钢结构，各承重构建、楼顶有防火涂层</w:t>
            </w:r>
            <w:r>
              <w:rPr>
                <w:rFonts w:hint="eastAsia" w:ascii="宋体" w:hAnsi="宋体" w:eastAsia="宋体"/>
                <w:color w:val="auto"/>
                <w:sz w:val="21"/>
                <w:szCs w:val="21"/>
              </w:rPr>
              <w:t>，耐火等级为二级，厂房的耐火等级、层数和面积符合规范要求。</w:t>
            </w:r>
          </w:p>
        </w:tc>
        <w:tc>
          <w:tcPr>
            <w:tcW w:w="404"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98"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2.2</w:t>
            </w:r>
          </w:p>
        </w:tc>
        <w:tc>
          <w:tcPr>
            <w:tcW w:w="1712" w:type="pct"/>
            <w:vAlign w:val="center"/>
          </w:tcPr>
          <w:p>
            <w:pPr>
              <w:tabs>
                <w:tab w:val="left" w:pos="900"/>
              </w:tabs>
              <w:spacing w:line="360" w:lineRule="exact"/>
              <w:rPr>
                <w:rFonts w:ascii="宋体" w:hAnsi="宋体" w:eastAsia="宋体"/>
                <w:color w:val="auto"/>
                <w:sz w:val="21"/>
                <w:szCs w:val="21"/>
              </w:rPr>
            </w:pPr>
            <w:r>
              <w:rPr>
                <w:rFonts w:hint="eastAsia" w:ascii="宋体" w:hAnsi="宋体" w:eastAsia="宋体"/>
                <w:color w:val="auto"/>
                <w:sz w:val="21"/>
                <w:szCs w:val="21"/>
              </w:rPr>
              <w:t>厂房、仓库内严禁设员工宿舍。</w:t>
            </w:r>
          </w:p>
        </w:tc>
        <w:tc>
          <w:tcPr>
            <w:tcW w:w="1058"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《建筑设计防火规范</w:t>
            </w:r>
            <w:r>
              <w:rPr>
                <w:rFonts w:hint="eastAsia" w:ascii="宋体" w:hAnsi="宋体" w:eastAsia="宋体"/>
                <w:color w:val="auto"/>
                <w:sz w:val="21"/>
                <w:szCs w:val="21"/>
                <w:lang w:eastAsia="zh-CN"/>
              </w:rPr>
              <w:t>（2018年版）</w:t>
            </w:r>
            <w:r>
              <w:rPr>
                <w:rFonts w:hint="eastAsia" w:ascii="宋体" w:hAnsi="宋体" w:eastAsia="宋体"/>
                <w:color w:val="auto"/>
                <w:sz w:val="21"/>
                <w:szCs w:val="21"/>
              </w:rPr>
              <w:t>》GB50016-2014</w:t>
            </w:r>
          </w:p>
          <w:p>
            <w:pPr>
              <w:spacing w:line="360" w:lineRule="exact"/>
              <w:rPr>
                <w:rFonts w:ascii="宋体" w:hAnsi="宋体" w:eastAsia="宋体"/>
                <w:color w:val="auto"/>
                <w:sz w:val="21"/>
                <w:szCs w:val="21"/>
              </w:rPr>
            </w:pPr>
            <w:r>
              <w:rPr>
                <w:rFonts w:hint="eastAsia" w:ascii="宋体" w:hAnsi="宋体" w:eastAsia="宋体"/>
                <w:color w:val="auto"/>
                <w:sz w:val="21"/>
                <w:szCs w:val="21"/>
              </w:rPr>
              <w:t>第3.3节</w:t>
            </w:r>
          </w:p>
        </w:tc>
        <w:tc>
          <w:tcPr>
            <w:tcW w:w="1428"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生产车间、仓库内未设员工宿舍。</w:t>
            </w:r>
          </w:p>
        </w:tc>
        <w:tc>
          <w:tcPr>
            <w:tcW w:w="404"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98"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2.3</w:t>
            </w:r>
          </w:p>
        </w:tc>
        <w:tc>
          <w:tcPr>
            <w:tcW w:w="1712" w:type="pct"/>
            <w:vAlign w:val="center"/>
          </w:tcPr>
          <w:p>
            <w:pPr>
              <w:tabs>
                <w:tab w:val="left" w:pos="900"/>
              </w:tabs>
              <w:spacing w:line="360" w:lineRule="exact"/>
              <w:rPr>
                <w:rFonts w:ascii="宋体" w:hAnsi="宋体" w:eastAsia="宋体"/>
                <w:color w:val="auto"/>
                <w:sz w:val="21"/>
                <w:szCs w:val="21"/>
              </w:rPr>
            </w:pPr>
            <w:r>
              <w:rPr>
                <w:rFonts w:hint="eastAsia" w:ascii="宋体" w:hAnsi="宋体" w:eastAsia="宋体"/>
                <w:color w:val="auto"/>
                <w:sz w:val="21"/>
                <w:szCs w:val="21"/>
              </w:rPr>
              <w:t>厂房之间、厂房库房之间的防火间距是否符合表3.4.1的要求。</w:t>
            </w:r>
          </w:p>
        </w:tc>
        <w:tc>
          <w:tcPr>
            <w:tcW w:w="1058"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《建筑设计防火规范</w:t>
            </w:r>
            <w:r>
              <w:rPr>
                <w:rFonts w:hint="eastAsia" w:ascii="宋体" w:hAnsi="宋体" w:eastAsia="宋体"/>
                <w:color w:val="auto"/>
                <w:sz w:val="21"/>
                <w:szCs w:val="21"/>
                <w:lang w:eastAsia="zh-CN"/>
              </w:rPr>
              <w:t>（2018年版）</w:t>
            </w:r>
            <w:r>
              <w:rPr>
                <w:rFonts w:hint="eastAsia" w:ascii="宋体" w:hAnsi="宋体" w:eastAsia="宋体"/>
                <w:color w:val="auto"/>
                <w:sz w:val="21"/>
                <w:szCs w:val="21"/>
              </w:rPr>
              <w:t>》GB50016-2014</w:t>
            </w:r>
          </w:p>
          <w:p>
            <w:pPr>
              <w:spacing w:line="360" w:lineRule="exact"/>
              <w:rPr>
                <w:rFonts w:ascii="宋体" w:hAnsi="宋体" w:eastAsia="宋体"/>
                <w:color w:val="auto"/>
                <w:sz w:val="21"/>
                <w:szCs w:val="21"/>
              </w:rPr>
            </w:pPr>
            <w:r>
              <w:rPr>
                <w:rFonts w:hint="eastAsia" w:ascii="宋体" w:hAnsi="宋体" w:eastAsia="宋体"/>
                <w:color w:val="auto"/>
                <w:sz w:val="21"/>
                <w:szCs w:val="21"/>
              </w:rPr>
              <w:t>第3.4节</w:t>
            </w:r>
          </w:p>
        </w:tc>
        <w:tc>
          <w:tcPr>
            <w:tcW w:w="1428"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厂区内建筑物之间的距离以及与周边建筑的距离满足《建筑设计防火规范</w:t>
            </w:r>
            <w:r>
              <w:rPr>
                <w:rFonts w:hint="eastAsia" w:ascii="宋体" w:hAnsi="宋体" w:eastAsia="宋体"/>
                <w:color w:val="auto"/>
                <w:sz w:val="21"/>
                <w:szCs w:val="21"/>
                <w:lang w:eastAsia="zh-CN"/>
              </w:rPr>
              <w:t>（2018年版）</w:t>
            </w:r>
            <w:r>
              <w:rPr>
                <w:rFonts w:hint="eastAsia" w:ascii="宋体" w:hAnsi="宋体" w:eastAsia="宋体"/>
                <w:color w:val="auto"/>
                <w:sz w:val="21"/>
                <w:szCs w:val="21"/>
              </w:rPr>
              <w:t>GB50016-2014的要求，详见本报告附件2.1.4节“主要建构物防火间距检查表”。</w:t>
            </w:r>
          </w:p>
        </w:tc>
        <w:tc>
          <w:tcPr>
            <w:tcW w:w="404"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98"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2.4</w:t>
            </w:r>
          </w:p>
        </w:tc>
        <w:tc>
          <w:tcPr>
            <w:tcW w:w="1712" w:type="pct"/>
            <w:vAlign w:val="center"/>
          </w:tcPr>
          <w:p>
            <w:pPr>
              <w:tabs>
                <w:tab w:val="left" w:pos="900"/>
              </w:tabs>
              <w:spacing w:line="360" w:lineRule="exact"/>
              <w:rPr>
                <w:rFonts w:ascii="宋体" w:hAnsi="宋体" w:eastAsia="宋体"/>
                <w:color w:val="auto"/>
                <w:sz w:val="21"/>
                <w:szCs w:val="21"/>
              </w:rPr>
            </w:pPr>
            <w:r>
              <w:rPr>
                <w:rFonts w:hint="eastAsia" w:ascii="宋体" w:hAnsi="宋体" w:eastAsia="宋体"/>
                <w:color w:val="auto"/>
                <w:sz w:val="21"/>
                <w:szCs w:val="21"/>
              </w:rPr>
              <w:t>消防给水和灭火设备应符合国家标准要求，并经公安消防部门验收合格。</w:t>
            </w:r>
          </w:p>
        </w:tc>
        <w:tc>
          <w:tcPr>
            <w:tcW w:w="1058" w:type="pct"/>
            <w:vAlign w:val="center"/>
          </w:tcPr>
          <w:p>
            <w:pPr>
              <w:tabs>
                <w:tab w:val="left" w:pos="900"/>
              </w:tabs>
              <w:spacing w:line="360" w:lineRule="exact"/>
              <w:rPr>
                <w:rFonts w:ascii="宋体" w:hAnsi="宋体" w:eastAsia="宋体"/>
                <w:color w:val="auto"/>
                <w:sz w:val="21"/>
                <w:szCs w:val="21"/>
              </w:rPr>
            </w:pPr>
            <w:r>
              <w:rPr>
                <w:rFonts w:hint="eastAsia" w:ascii="宋体" w:hAnsi="宋体" w:eastAsia="宋体"/>
                <w:color w:val="auto"/>
                <w:sz w:val="21"/>
                <w:szCs w:val="21"/>
              </w:rPr>
              <w:t>《中华人民共和国消防法》第十三条</w:t>
            </w:r>
          </w:p>
        </w:tc>
        <w:tc>
          <w:tcPr>
            <w:tcW w:w="1428" w:type="pct"/>
            <w:vAlign w:val="center"/>
          </w:tcPr>
          <w:p>
            <w:pPr>
              <w:tabs>
                <w:tab w:val="left" w:pos="900"/>
              </w:tabs>
              <w:spacing w:line="360" w:lineRule="exact"/>
              <w:rPr>
                <w:rFonts w:ascii="宋体" w:hAnsi="宋体" w:eastAsia="宋体"/>
                <w:color w:val="auto"/>
                <w:sz w:val="21"/>
                <w:szCs w:val="21"/>
              </w:rPr>
            </w:pPr>
            <w:r>
              <w:rPr>
                <w:rFonts w:hint="eastAsia" w:ascii="宋体" w:hAnsi="宋体" w:eastAsia="宋体"/>
                <w:color w:val="auto"/>
                <w:sz w:val="21"/>
                <w:szCs w:val="21"/>
              </w:rPr>
              <w:t>该企业有公安消防部门出具的建筑工程消防验收意见书。</w:t>
            </w:r>
          </w:p>
        </w:tc>
        <w:tc>
          <w:tcPr>
            <w:tcW w:w="404"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98"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2.5</w:t>
            </w:r>
          </w:p>
        </w:tc>
        <w:tc>
          <w:tcPr>
            <w:tcW w:w="1712" w:type="pct"/>
            <w:vAlign w:val="center"/>
          </w:tcPr>
          <w:p>
            <w:pPr>
              <w:tabs>
                <w:tab w:val="left" w:pos="900"/>
              </w:tabs>
              <w:spacing w:line="360" w:lineRule="exact"/>
              <w:jc w:val="both"/>
              <w:rPr>
                <w:rFonts w:ascii="宋体" w:hAnsi="宋体" w:eastAsia="宋体"/>
                <w:color w:val="auto"/>
                <w:sz w:val="21"/>
                <w:szCs w:val="21"/>
              </w:rPr>
            </w:pPr>
            <w:r>
              <w:rPr>
                <w:rFonts w:ascii="宋体" w:hAnsi="宋体" w:eastAsia="宋体"/>
                <w:color w:val="auto"/>
                <w:sz w:val="21"/>
                <w:szCs w:val="21"/>
              </w:rPr>
              <w:t>任何单位、个人不得损坏、挪用或者擅自拆除、停用消防设施、器材，不得埋压、圈占、遮挡消火栓或者占用防火间距，不得占用、堵塞、封闭疏散通道、安全出口、消防车通道。人员密集场所的门窗不得设置影响逃生和灭火救援的障碍物。</w:t>
            </w:r>
          </w:p>
        </w:tc>
        <w:tc>
          <w:tcPr>
            <w:tcW w:w="1058" w:type="pct"/>
            <w:vAlign w:val="center"/>
          </w:tcPr>
          <w:p>
            <w:pPr>
              <w:tabs>
                <w:tab w:val="left" w:pos="900"/>
              </w:tabs>
              <w:spacing w:line="360" w:lineRule="exact"/>
              <w:rPr>
                <w:rFonts w:ascii="宋体" w:hAnsi="宋体" w:eastAsia="宋体"/>
                <w:color w:val="auto"/>
                <w:sz w:val="21"/>
                <w:szCs w:val="21"/>
              </w:rPr>
            </w:pPr>
            <w:r>
              <w:rPr>
                <w:rFonts w:hint="eastAsia" w:ascii="宋体" w:hAnsi="宋体" w:eastAsia="宋体"/>
                <w:color w:val="auto"/>
                <w:sz w:val="21"/>
                <w:szCs w:val="21"/>
              </w:rPr>
              <w:t>《中华人民共和国消防法》第二十八条</w:t>
            </w:r>
          </w:p>
        </w:tc>
        <w:tc>
          <w:tcPr>
            <w:tcW w:w="1428" w:type="pct"/>
            <w:vAlign w:val="center"/>
          </w:tcPr>
          <w:p>
            <w:pPr>
              <w:tabs>
                <w:tab w:val="left" w:pos="900"/>
              </w:tabs>
              <w:spacing w:line="360" w:lineRule="exact"/>
              <w:rPr>
                <w:rFonts w:ascii="宋体" w:hAnsi="宋体" w:eastAsia="宋体"/>
                <w:color w:val="auto"/>
                <w:sz w:val="21"/>
                <w:szCs w:val="21"/>
              </w:rPr>
            </w:pPr>
            <w:r>
              <w:rPr>
                <w:rFonts w:hint="eastAsia" w:ascii="宋体" w:hAnsi="宋体" w:eastAsia="宋体"/>
                <w:color w:val="auto"/>
                <w:sz w:val="21"/>
                <w:szCs w:val="21"/>
              </w:rPr>
              <w:t>该企业厂区内消防器材有专人管理，消防器材设置在明显和便于取用地点，周围无其他物品堆放。</w:t>
            </w:r>
          </w:p>
        </w:tc>
        <w:tc>
          <w:tcPr>
            <w:tcW w:w="404"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98"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2.6</w:t>
            </w:r>
          </w:p>
        </w:tc>
        <w:tc>
          <w:tcPr>
            <w:tcW w:w="1712"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建筑物、堆场的消防用电设备，其电源应符合要求。</w:t>
            </w:r>
          </w:p>
        </w:tc>
        <w:tc>
          <w:tcPr>
            <w:tcW w:w="1058"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《建筑设计防火规范</w:t>
            </w:r>
            <w:r>
              <w:rPr>
                <w:rFonts w:hint="eastAsia" w:ascii="宋体" w:hAnsi="宋体" w:eastAsia="宋体"/>
                <w:color w:val="auto"/>
                <w:sz w:val="21"/>
                <w:szCs w:val="21"/>
                <w:lang w:eastAsia="zh-CN"/>
              </w:rPr>
              <w:t>（2018年版）</w:t>
            </w:r>
            <w:r>
              <w:rPr>
                <w:rFonts w:hint="eastAsia" w:ascii="宋体" w:hAnsi="宋体" w:eastAsia="宋体"/>
                <w:color w:val="auto"/>
                <w:sz w:val="21"/>
                <w:szCs w:val="21"/>
              </w:rPr>
              <w:t>》GB50016-2014</w:t>
            </w:r>
          </w:p>
          <w:p>
            <w:pPr>
              <w:spacing w:line="360" w:lineRule="exact"/>
              <w:rPr>
                <w:rFonts w:ascii="宋体" w:hAnsi="宋体" w:eastAsia="宋体"/>
                <w:color w:val="auto"/>
                <w:sz w:val="21"/>
                <w:szCs w:val="21"/>
              </w:rPr>
            </w:pPr>
            <w:r>
              <w:rPr>
                <w:rFonts w:hint="eastAsia" w:ascii="宋体" w:hAnsi="宋体" w:eastAsia="宋体"/>
                <w:color w:val="auto"/>
                <w:sz w:val="21"/>
                <w:szCs w:val="21"/>
              </w:rPr>
              <w:t>第10.1节</w:t>
            </w:r>
          </w:p>
        </w:tc>
        <w:tc>
          <w:tcPr>
            <w:tcW w:w="1428"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工厂用电为外接电源，消防用电按二级负荷供电。</w:t>
            </w:r>
          </w:p>
        </w:tc>
        <w:tc>
          <w:tcPr>
            <w:tcW w:w="404"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98"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2.7</w:t>
            </w:r>
          </w:p>
        </w:tc>
        <w:tc>
          <w:tcPr>
            <w:tcW w:w="1712"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消防用电设备的配电线路应满足火灾时连续供电的需要，其敷设应符合下列规定：暗敷时，应穿管并应敷设在不燃烧体结构内且保护层厚度不应小于30mm，明敷时，应穿金属管或封闭式金属线槽，并应采取防火保护措施。</w:t>
            </w:r>
          </w:p>
        </w:tc>
        <w:tc>
          <w:tcPr>
            <w:tcW w:w="1058"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《建筑设计防火规范</w:t>
            </w:r>
            <w:r>
              <w:rPr>
                <w:rFonts w:hint="eastAsia" w:ascii="宋体" w:hAnsi="宋体" w:eastAsia="宋体"/>
                <w:color w:val="auto"/>
                <w:sz w:val="21"/>
                <w:szCs w:val="21"/>
                <w:lang w:eastAsia="zh-CN"/>
              </w:rPr>
              <w:t>（2018年版）</w:t>
            </w:r>
            <w:r>
              <w:rPr>
                <w:rFonts w:hint="eastAsia" w:ascii="宋体" w:hAnsi="宋体" w:eastAsia="宋体"/>
                <w:color w:val="auto"/>
                <w:sz w:val="21"/>
                <w:szCs w:val="21"/>
              </w:rPr>
              <w:t>》GB50016-2014</w:t>
            </w:r>
          </w:p>
          <w:p>
            <w:pPr>
              <w:spacing w:line="360" w:lineRule="exact"/>
              <w:rPr>
                <w:rFonts w:ascii="宋体" w:hAnsi="宋体" w:eastAsia="宋体"/>
                <w:color w:val="auto"/>
                <w:sz w:val="21"/>
                <w:szCs w:val="21"/>
              </w:rPr>
            </w:pPr>
            <w:r>
              <w:rPr>
                <w:rFonts w:hint="eastAsia" w:ascii="宋体" w:hAnsi="宋体" w:eastAsia="宋体"/>
                <w:color w:val="auto"/>
                <w:sz w:val="21"/>
                <w:szCs w:val="21"/>
              </w:rPr>
              <w:t>第10.1.10条</w:t>
            </w:r>
          </w:p>
        </w:tc>
        <w:tc>
          <w:tcPr>
            <w:tcW w:w="1428"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消防用电设备的配电线路穿金属管保护。</w:t>
            </w:r>
          </w:p>
        </w:tc>
        <w:tc>
          <w:tcPr>
            <w:tcW w:w="404"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98"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2.8</w:t>
            </w:r>
          </w:p>
        </w:tc>
        <w:tc>
          <w:tcPr>
            <w:tcW w:w="1712" w:type="pct"/>
            <w:vAlign w:val="center"/>
          </w:tcPr>
          <w:p>
            <w:pPr>
              <w:tabs>
                <w:tab w:val="left" w:pos="900"/>
              </w:tabs>
              <w:spacing w:line="360" w:lineRule="exact"/>
              <w:rPr>
                <w:rFonts w:ascii="宋体" w:hAnsi="宋体" w:eastAsia="宋体"/>
                <w:color w:val="auto"/>
                <w:sz w:val="21"/>
                <w:szCs w:val="21"/>
              </w:rPr>
            </w:pPr>
            <w:r>
              <w:rPr>
                <w:rFonts w:hint="eastAsia" w:ascii="宋体" w:hAnsi="宋体" w:eastAsia="宋体"/>
                <w:color w:val="auto"/>
                <w:sz w:val="21"/>
                <w:szCs w:val="21"/>
              </w:rPr>
              <w:t>电力电缆不得与输送可燃液体管道、热力管道敷设在同一管沟内。</w:t>
            </w:r>
          </w:p>
        </w:tc>
        <w:tc>
          <w:tcPr>
            <w:tcW w:w="1058"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《建筑设计防火规范</w:t>
            </w:r>
            <w:r>
              <w:rPr>
                <w:rFonts w:hint="eastAsia" w:ascii="宋体" w:hAnsi="宋体" w:eastAsia="宋体"/>
                <w:color w:val="auto"/>
                <w:sz w:val="21"/>
                <w:szCs w:val="21"/>
                <w:lang w:eastAsia="zh-CN"/>
              </w:rPr>
              <w:t>（2018年版）</w:t>
            </w:r>
            <w:r>
              <w:rPr>
                <w:rFonts w:hint="eastAsia" w:ascii="宋体" w:hAnsi="宋体" w:eastAsia="宋体"/>
                <w:color w:val="auto"/>
                <w:sz w:val="21"/>
                <w:szCs w:val="21"/>
              </w:rPr>
              <w:t>》GB50016-2014</w:t>
            </w:r>
          </w:p>
          <w:p>
            <w:pPr>
              <w:spacing w:line="360" w:lineRule="exact"/>
              <w:rPr>
                <w:rFonts w:ascii="宋体" w:hAnsi="宋体" w:eastAsia="宋体"/>
                <w:color w:val="auto"/>
                <w:sz w:val="21"/>
                <w:szCs w:val="21"/>
              </w:rPr>
            </w:pPr>
            <w:r>
              <w:rPr>
                <w:rFonts w:hint="eastAsia" w:ascii="宋体" w:hAnsi="宋体" w:eastAsia="宋体"/>
                <w:color w:val="auto"/>
                <w:sz w:val="21"/>
                <w:szCs w:val="21"/>
              </w:rPr>
              <w:t>第10.2.2条</w:t>
            </w:r>
          </w:p>
        </w:tc>
        <w:tc>
          <w:tcPr>
            <w:tcW w:w="1428" w:type="pct"/>
            <w:vAlign w:val="center"/>
          </w:tcPr>
          <w:p>
            <w:pPr>
              <w:tabs>
                <w:tab w:val="left" w:pos="900"/>
              </w:tabs>
              <w:spacing w:line="360" w:lineRule="exact"/>
              <w:rPr>
                <w:rFonts w:ascii="宋体" w:hAnsi="宋体" w:eastAsia="宋体"/>
                <w:color w:val="auto"/>
                <w:sz w:val="21"/>
                <w:szCs w:val="21"/>
              </w:rPr>
            </w:pPr>
            <w:r>
              <w:rPr>
                <w:rFonts w:hint="eastAsia" w:ascii="宋体" w:hAnsi="宋体" w:eastAsia="宋体"/>
                <w:color w:val="auto"/>
                <w:sz w:val="21"/>
                <w:szCs w:val="21"/>
              </w:rPr>
              <w:t>电力电缆未与输送可燃液体管道、热力管道敷设在同一管沟内。</w:t>
            </w:r>
          </w:p>
        </w:tc>
        <w:tc>
          <w:tcPr>
            <w:tcW w:w="404"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98"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2.9</w:t>
            </w:r>
          </w:p>
        </w:tc>
        <w:tc>
          <w:tcPr>
            <w:tcW w:w="1712" w:type="pct"/>
            <w:vAlign w:val="center"/>
          </w:tcPr>
          <w:p>
            <w:pPr>
              <w:tabs>
                <w:tab w:val="left" w:pos="900"/>
              </w:tabs>
              <w:spacing w:line="360" w:lineRule="exact"/>
              <w:rPr>
                <w:rFonts w:ascii="宋体" w:hAnsi="宋体" w:eastAsia="宋体"/>
                <w:color w:val="auto"/>
                <w:sz w:val="21"/>
                <w:szCs w:val="21"/>
              </w:rPr>
            </w:pPr>
            <w:r>
              <w:rPr>
                <w:rFonts w:hint="eastAsia" w:ascii="宋体" w:hAnsi="宋体" w:eastAsia="宋体"/>
                <w:color w:val="auto"/>
                <w:sz w:val="21"/>
                <w:szCs w:val="21"/>
              </w:rPr>
              <w:t>开关、插座、照明灯具表面靠近可燃物时，应采取隔热、散热等防火保护措施。</w:t>
            </w:r>
          </w:p>
        </w:tc>
        <w:tc>
          <w:tcPr>
            <w:tcW w:w="1058"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《建筑设计防火规范</w:t>
            </w:r>
            <w:r>
              <w:rPr>
                <w:rFonts w:hint="eastAsia" w:ascii="宋体" w:hAnsi="宋体" w:eastAsia="宋体"/>
                <w:color w:val="auto"/>
                <w:sz w:val="21"/>
                <w:szCs w:val="21"/>
                <w:lang w:eastAsia="zh-CN"/>
              </w:rPr>
              <w:t>（2018年版）</w:t>
            </w:r>
            <w:r>
              <w:rPr>
                <w:rFonts w:hint="eastAsia" w:ascii="宋体" w:hAnsi="宋体" w:eastAsia="宋体"/>
                <w:color w:val="auto"/>
                <w:sz w:val="21"/>
                <w:szCs w:val="21"/>
              </w:rPr>
              <w:t>》GB50016-2014</w:t>
            </w:r>
          </w:p>
          <w:p>
            <w:pPr>
              <w:spacing w:line="360" w:lineRule="exact"/>
              <w:rPr>
                <w:rFonts w:ascii="宋体" w:hAnsi="宋体" w:eastAsia="宋体"/>
                <w:color w:val="auto"/>
                <w:sz w:val="21"/>
                <w:szCs w:val="21"/>
              </w:rPr>
            </w:pPr>
            <w:r>
              <w:rPr>
                <w:rFonts w:hint="eastAsia" w:ascii="宋体" w:hAnsi="宋体" w:eastAsia="宋体"/>
                <w:color w:val="auto"/>
                <w:sz w:val="21"/>
                <w:szCs w:val="21"/>
              </w:rPr>
              <w:t>第10.2.4条</w:t>
            </w:r>
          </w:p>
        </w:tc>
        <w:tc>
          <w:tcPr>
            <w:tcW w:w="1428" w:type="pct"/>
            <w:vAlign w:val="center"/>
          </w:tcPr>
          <w:p>
            <w:pPr>
              <w:tabs>
                <w:tab w:val="left" w:pos="900"/>
              </w:tabs>
              <w:spacing w:line="360" w:lineRule="exact"/>
              <w:rPr>
                <w:rFonts w:ascii="宋体" w:hAnsi="宋体" w:eastAsia="宋体"/>
                <w:color w:val="auto"/>
                <w:sz w:val="21"/>
                <w:szCs w:val="21"/>
              </w:rPr>
            </w:pPr>
            <w:r>
              <w:rPr>
                <w:rFonts w:hint="eastAsia" w:ascii="宋体" w:hAnsi="宋体" w:eastAsia="宋体"/>
                <w:color w:val="auto"/>
                <w:sz w:val="21"/>
                <w:szCs w:val="21"/>
              </w:rPr>
              <w:t>开关、插座、照明灯具表面没有靠近可燃物。</w:t>
            </w:r>
          </w:p>
        </w:tc>
        <w:tc>
          <w:tcPr>
            <w:tcW w:w="404"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98"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2.10</w:t>
            </w:r>
          </w:p>
        </w:tc>
        <w:tc>
          <w:tcPr>
            <w:tcW w:w="1712" w:type="pct"/>
            <w:vAlign w:val="center"/>
          </w:tcPr>
          <w:p>
            <w:pPr>
              <w:tabs>
                <w:tab w:val="left" w:pos="900"/>
              </w:tabs>
              <w:spacing w:line="360" w:lineRule="exact"/>
              <w:rPr>
                <w:rFonts w:ascii="宋体" w:hAnsi="宋体" w:eastAsia="宋体"/>
                <w:color w:val="auto"/>
                <w:sz w:val="21"/>
                <w:szCs w:val="21"/>
              </w:rPr>
            </w:pPr>
            <w:r>
              <w:rPr>
                <w:rFonts w:hint="eastAsia" w:ascii="宋体" w:hAnsi="宋体" w:eastAsia="宋体"/>
                <w:color w:val="auto"/>
                <w:sz w:val="21"/>
                <w:szCs w:val="21"/>
              </w:rPr>
              <w:t>爆炸危险环境电力装置的设计应按现行国家标准《爆炸危险环境电力装置设计规范》(GB50058)相关规定。</w:t>
            </w:r>
          </w:p>
        </w:tc>
        <w:tc>
          <w:tcPr>
            <w:tcW w:w="1058"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《建筑设计防火规范</w:t>
            </w:r>
            <w:r>
              <w:rPr>
                <w:rFonts w:hint="eastAsia" w:ascii="宋体" w:hAnsi="宋体" w:eastAsia="宋体"/>
                <w:color w:val="auto"/>
                <w:sz w:val="21"/>
                <w:szCs w:val="21"/>
                <w:lang w:eastAsia="zh-CN"/>
              </w:rPr>
              <w:t>（2018年版）</w:t>
            </w:r>
            <w:r>
              <w:rPr>
                <w:rFonts w:hint="eastAsia" w:ascii="宋体" w:hAnsi="宋体" w:eastAsia="宋体"/>
                <w:color w:val="auto"/>
                <w:sz w:val="21"/>
                <w:szCs w:val="21"/>
              </w:rPr>
              <w:t>》GB50016-2014</w:t>
            </w:r>
          </w:p>
          <w:p>
            <w:pPr>
              <w:spacing w:line="360" w:lineRule="exact"/>
              <w:rPr>
                <w:rFonts w:ascii="宋体" w:hAnsi="宋体" w:eastAsia="宋体"/>
                <w:color w:val="auto"/>
                <w:sz w:val="21"/>
                <w:szCs w:val="21"/>
              </w:rPr>
            </w:pPr>
            <w:r>
              <w:rPr>
                <w:rFonts w:hint="eastAsia" w:ascii="宋体" w:hAnsi="宋体" w:eastAsia="宋体"/>
                <w:color w:val="auto"/>
                <w:sz w:val="21"/>
                <w:szCs w:val="21"/>
              </w:rPr>
              <w:t>第10.2.6条</w:t>
            </w:r>
          </w:p>
        </w:tc>
        <w:tc>
          <w:tcPr>
            <w:tcW w:w="1428" w:type="pct"/>
            <w:vAlign w:val="center"/>
          </w:tcPr>
          <w:p>
            <w:pPr>
              <w:tabs>
                <w:tab w:val="left" w:pos="900"/>
              </w:tabs>
              <w:spacing w:line="360" w:lineRule="exact"/>
              <w:rPr>
                <w:rFonts w:ascii="宋体" w:hAnsi="宋体" w:eastAsia="宋体"/>
                <w:color w:val="auto"/>
                <w:sz w:val="21"/>
                <w:szCs w:val="21"/>
                <w:u w:val="single"/>
                <w:lang w:eastAsia="zh-CN"/>
              </w:rPr>
            </w:pPr>
            <w:r>
              <w:rPr>
                <w:rFonts w:hint="eastAsia" w:ascii="宋体" w:hAnsi="宋体" w:eastAsia="宋体"/>
                <w:color w:val="auto"/>
                <w:sz w:val="21"/>
                <w:szCs w:val="21"/>
              </w:rPr>
              <w:t>甲类车间、仓库</w:t>
            </w:r>
            <w:r>
              <w:rPr>
                <w:rFonts w:hint="eastAsia" w:ascii="宋体" w:hAnsi="宋体" w:eastAsia="宋体"/>
                <w:color w:val="auto"/>
                <w:sz w:val="21"/>
                <w:szCs w:val="21"/>
                <w:lang w:eastAsia="zh-CN"/>
              </w:rPr>
              <w:t>、实验室</w:t>
            </w:r>
            <w:r>
              <w:rPr>
                <w:rFonts w:hint="eastAsia" w:ascii="宋体" w:hAnsi="宋体" w:eastAsia="宋体"/>
                <w:color w:val="auto"/>
                <w:sz w:val="21"/>
                <w:szCs w:val="21"/>
              </w:rPr>
              <w:t>均采用防爆电气，电力线套钢管保护</w:t>
            </w:r>
            <w:r>
              <w:rPr>
                <w:rFonts w:hint="eastAsia" w:ascii="宋体" w:hAnsi="宋体" w:eastAsia="宋体"/>
                <w:color w:val="auto"/>
                <w:sz w:val="21"/>
                <w:szCs w:val="21"/>
                <w:lang w:eastAsia="zh-CN"/>
              </w:rPr>
              <w:t>，但部分线路穿管有损坏。</w:t>
            </w:r>
          </w:p>
        </w:tc>
        <w:tc>
          <w:tcPr>
            <w:tcW w:w="404"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lang w:eastAsia="zh-CN"/>
              </w:rPr>
              <w:t>不</w:t>
            </w:r>
            <w:r>
              <w:rPr>
                <w:rFonts w:hint="eastAsia" w:ascii="宋体" w:hAnsi="宋体" w:eastAsia="宋体"/>
                <w:color w:val="auto"/>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98"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2.11</w:t>
            </w:r>
          </w:p>
        </w:tc>
        <w:tc>
          <w:tcPr>
            <w:tcW w:w="1712" w:type="pct"/>
            <w:vAlign w:val="center"/>
          </w:tcPr>
          <w:p>
            <w:pPr>
              <w:pStyle w:val="40"/>
              <w:spacing w:before="0" w:beforeAutospacing="0" w:after="0" w:afterAutospacing="0" w:line="360" w:lineRule="exact"/>
              <w:jc w:val="both"/>
              <w:rPr>
                <w:rFonts w:cs="Times New Roman"/>
                <w:color w:val="auto"/>
                <w:kern w:val="2"/>
                <w:sz w:val="21"/>
                <w:szCs w:val="21"/>
              </w:rPr>
            </w:pPr>
            <w:r>
              <w:rPr>
                <w:rFonts w:hint="eastAsia" w:cs="Times New Roman"/>
                <w:color w:val="auto"/>
                <w:kern w:val="2"/>
                <w:sz w:val="21"/>
                <w:szCs w:val="21"/>
              </w:rPr>
              <w:t>生产、储存危险化学品的单位，应当根据其生产、储存的危险化学品的种类和危险特性，在作业场所设置相应的监测、监控、通风、防晒、调温、防火、灭火、防爆、泄压、防毒、中和、防潮、防雷、防静电、防腐、防泄漏以及防护围堤或者隔离操作等安全设施、设备，并按照国家标准、行业标准或者国家有关规定对安全设施、设备进行经常性维护、保养，保证安全设施、设备的正常使用。</w:t>
            </w:r>
          </w:p>
        </w:tc>
        <w:tc>
          <w:tcPr>
            <w:tcW w:w="1058" w:type="pct"/>
            <w:vAlign w:val="center"/>
          </w:tcPr>
          <w:p>
            <w:pPr>
              <w:spacing w:line="360" w:lineRule="exact"/>
              <w:rPr>
                <w:rFonts w:ascii="宋体" w:hAnsi="宋体" w:eastAsia="宋体"/>
                <w:color w:val="auto"/>
                <w:sz w:val="21"/>
                <w:szCs w:val="21"/>
                <w:lang w:val="en-GB"/>
              </w:rPr>
            </w:pPr>
            <w:r>
              <w:rPr>
                <w:rFonts w:hint="eastAsia" w:ascii="宋体" w:hAnsi="宋体" w:eastAsia="宋体"/>
                <w:color w:val="auto"/>
                <w:sz w:val="21"/>
                <w:szCs w:val="21"/>
              </w:rPr>
              <w:t>《危险化学品安全管理条例》第20条</w:t>
            </w:r>
          </w:p>
        </w:tc>
        <w:tc>
          <w:tcPr>
            <w:tcW w:w="1428" w:type="pct"/>
            <w:vAlign w:val="center"/>
          </w:tcPr>
          <w:p>
            <w:pPr>
              <w:tabs>
                <w:tab w:val="left" w:pos="900"/>
              </w:tabs>
              <w:spacing w:line="360" w:lineRule="exact"/>
              <w:rPr>
                <w:rFonts w:ascii="宋体" w:hAnsi="宋体" w:eastAsia="宋体"/>
                <w:color w:val="auto"/>
                <w:sz w:val="21"/>
                <w:szCs w:val="21"/>
              </w:rPr>
            </w:pPr>
            <w:r>
              <w:rPr>
                <w:rFonts w:hint="eastAsia" w:ascii="宋体" w:hAnsi="宋体" w:eastAsia="宋体"/>
                <w:color w:val="auto"/>
                <w:sz w:val="21"/>
                <w:szCs w:val="21"/>
              </w:rPr>
              <w:t>生产车间、仓库设置有防火、灭火、防雷、防静电、防泄漏等安全设施。</w:t>
            </w:r>
          </w:p>
          <w:p>
            <w:pPr>
              <w:tabs>
                <w:tab w:val="left" w:pos="900"/>
              </w:tabs>
              <w:spacing w:line="360" w:lineRule="exact"/>
              <w:rPr>
                <w:rFonts w:ascii="宋体" w:hAnsi="宋体" w:eastAsia="宋体"/>
                <w:color w:val="auto"/>
                <w:sz w:val="21"/>
                <w:szCs w:val="21"/>
                <w:u w:val="single"/>
              </w:rPr>
            </w:pPr>
            <w:r>
              <w:rPr>
                <w:rFonts w:hint="eastAsia" w:ascii="宋体" w:hAnsi="宋体" w:eastAsia="宋体"/>
                <w:color w:val="auto"/>
                <w:sz w:val="21"/>
                <w:szCs w:val="21"/>
              </w:rPr>
              <w:t>生产车间、仓库防雷设施定期检测合格，有防雷装置检测报告。</w:t>
            </w:r>
          </w:p>
        </w:tc>
        <w:tc>
          <w:tcPr>
            <w:tcW w:w="404"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98"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2.12</w:t>
            </w:r>
          </w:p>
        </w:tc>
        <w:tc>
          <w:tcPr>
            <w:tcW w:w="1712" w:type="pct"/>
            <w:vAlign w:val="center"/>
          </w:tcPr>
          <w:p>
            <w:pPr>
              <w:tabs>
                <w:tab w:val="left" w:pos="900"/>
              </w:tabs>
              <w:spacing w:line="360" w:lineRule="exact"/>
              <w:rPr>
                <w:rFonts w:ascii="宋体" w:hAnsi="宋体" w:eastAsia="宋体"/>
                <w:color w:val="auto"/>
                <w:sz w:val="21"/>
                <w:szCs w:val="21"/>
              </w:rPr>
            </w:pPr>
            <w:r>
              <w:rPr>
                <w:rFonts w:hint="eastAsia" w:ascii="宋体" w:hAnsi="宋体" w:eastAsia="宋体"/>
                <w:color w:val="auto"/>
                <w:sz w:val="21"/>
                <w:szCs w:val="21"/>
              </w:rPr>
              <w:t>建筑内可能散发可燃气体、可燃蒸气的场所，应设置可燃气体报警装置。</w:t>
            </w:r>
          </w:p>
        </w:tc>
        <w:tc>
          <w:tcPr>
            <w:tcW w:w="1058"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《建筑设计防火规范</w:t>
            </w:r>
            <w:r>
              <w:rPr>
                <w:rFonts w:hint="eastAsia" w:ascii="宋体" w:hAnsi="宋体" w:eastAsia="宋体"/>
                <w:color w:val="auto"/>
                <w:sz w:val="21"/>
                <w:szCs w:val="21"/>
                <w:lang w:eastAsia="zh-CN"/>
              </w:rPr>
              <w:t>（2018年版）</w:t>
            </w:r>
            <w:r>
              <w:rPr>
                <w:rFonts w:hint="eastAsia" w:ascii="宋体" w:hAnsi="宋体" w:eastAsia="宋体"/>
                <w:color w:val="auto"/>
                <w:sz w:val="21"/>
                <w:szCs w:val="21"/>
              </w:rPr>
              <w:t>》GB50016-2014</w:t>
            </w:r>
          </w:p>
          <w:p>
            <w:pPr>
              <w:tabs>
                <w:tab w:val="left" w:pos="900"/>
              </w:tabs>
              <w:spacing w:line="360" w:lineRule="exact"/>
              <w:rPr>
                <w:rFonts w:ascii="宋体" w:hAnsi="宋体" w:eastAsia="宋体"/>
                <w:color w:val="auto"/>
                <w:sz w:val="21"/>
                <w:szCs w:val="21"/>
              </w:rPr>
            </w:pPr>
            <w:r>
              <w:rPr>
                <w:rFonts w:hint="eastAsia" w:ascii="宋体" w:hAnsi="宋体" w:eastAsia="宋体"/>
                <w:color w:val="auto"/>
                <w:sz w:val="21"/>
                <w:szCs w:val="21"/>
              </w:rPr>
              <w:t>第8.4.3条</w:t>
            </w:r>
          </w:p>
        </w:tc>
        <w:tc>
          <w:tcPr>
            <w:tcW w:w="1428" w:type="pct"/>
            <w:vAlign w:val="center"/>
          </w:tcPr>
          <w:p>
            <w:pPr>
              <w:tabs>
                <w:tab w:val="left" w:pos="900"/>
              </w:tabs>
              <w:spacing w:line="360" w:lineRule="exact"/>
              <w:rPr>
                <w:rFonts w:ascii="宋体" w:hAnsi="宋体" w:eastAsia="宋体"/>
                <w:color w:val="auto"/>
                <w:sz w:val="21"/>
                <w:szCs w:val="21"/>
                <w:lang w:eastAsia="zh-CN"/>
              </w:rPr>
            </w:pPr>
            <w:r>
              <w:rPr>
                <w:rFonts w:hint="eastAsia" w:ascii="宋体" w:hAnsi="宋体" w:eastAsia="宋体"/>
                <w:color w:val="auto"/>
                <w:sz w:val="21"/>
                <w:szCs w:val="21"/>
                <w:lang w:eastAsia="zh-CN"/>
              </w:rPr>
              <w:t>生产车间、仓库内按要求设置可燃气体报警装置，符合要求。</w:t>
            </w:r>
          </w:p>
        </w:tc>
        <w:tc>
          <w:tcPr>
            <w:tcW w:w="404"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98"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2.13</w:t>
            </w:r>
          </w:p>
        </w:tc>
        <w:tc>
          <w:tcPr>
            <w:tcW w:w="1712"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化工生产装置、设备、设施、储罐以及建筑物，应设计可靠的防雷保护装置，防止雷电对人身、设备和建构筑物的危害和破坏。</w:t>
            </w:r>
          </w:p>
        </w:tc>
        <w:tc>
          <w:tcPr>
            <w:tcW w:w="1058"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《化工企业安全卫生设计规范》HG20571-2014第4.3.1条</w:t>
            </w:r>
          </w:p>
        </w:tc>
        <w:tc>
          <w:tcPr>
            <w:tcW w:w="1428"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有防雷保护装置。</w:t>
            </w:r>
          </w:p>
        </w:tc>
        <w:tc>
          <w:tcPr>
            <w:tcW w:w="404"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98"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2.14</w:t>
            </w:r>
          </w:p>
        </w:tc>
        <w:tc>
          <w:tcPr>
            <w:tcW w:w="1712"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有火灾爆炸危险的化工装置、露天设备、储罐、电气设施和建构筑物应设计防直击雷装置。</w:t>
            </w:r>
          </w:p>
        </w:tc>
        <w:tc>
          <w:tcPr>
            <w:tcW w:w="1058"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《化工企业安全卫生设计规范》HG20571-2014第4.3.3条</w:t>
            </w:r>
          </w:p>
        </w:tc>
        <w:tc>
          <w:tcPr>
            <w:tcW w:w="1428"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有防直击雷装置。</w:t>
            </w:r>
          </w:p>
        </w:tc>
        <w:tc>
          <w:tcPr>
            <w:tcW w:w="404"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98"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2.15</w:t>
            </w:r>
          </w:p>
        </w:tc>
        <w:tc>
          <w:tcPr>
            <w:tcW w:w="1712"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凡应采用安全电压的场所，应采用安全电压。</w:t>
            </w:r>
          </w:p>
        </w:tc>
        <w:tc>
          <w:tcPr>
            <w:tcW w:w="1058"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《化工企业安全卫生设计规范》HG20571-2014第4.4.3条</w:t>
            </w:r>
          </w:p>
        </w:tc>
        <w:tc>
          <w:tcPr>
            <w:tcW w:w="1428"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采用安全电压。</w:t>
            </w:r>
          </w:p>
        </w:tc>
        <w:tc>
          <w:tcPr>
            <w:tcW w:w="404"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98"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2.16</w:t>
            </w:r>
          </w:p>
        </w:tc>
        <w:tc>
          <w:tcPr>
            <w:tcW w:w="1712" w:type="pct"/>
            <w:vAlign w:val="center"/>
          </w:tcPr>
          <w:p>
            <w:pPr>
              <w:pStyle w:val="253"/>
              <w:spacing w:line="360" w:lineRule="exact"/>
              <w:rPr>
                <w:rFonts w:ascii="宋体" w:hAnsi="宋体"/>
                <w:color w:val="auto"/>
                <w:szCs w:val="21"/>
              </w:rPr>
            </w:pPr>
            <w:r>
              <w:rPr>
                <w:rFonts w:hint="eastAsia" w:ascii="宋体" w:hAnsi="宋体"/>
                <w:color w:val="auto"/>
                <w:szCs w:val="21"/>
              </w:rPr>
              <w:t>进行消防设计的建筑工程需经过公安消防结构验收合格。</w:t>
            </w:r>
          </w:p>
        </w:tc>
        <w:tc>
          <w:tcPr>
            <w:tcW w:w="1058"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《危险化学品生产企业安全生产许可证实施办法》第十二条</w:t>
            </w:r>
          </w:p>
        </w:tc>
        <w:tc>
          <w:tcPr>
            <w:tcW w:w="1428"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有《建筑工程消防验收意见书》。</w:t>
            </w:r>
          </w:p>
        </w:tc>
        <w:tc>
          <w:tcPr>
            <w:tcW w:w="404"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98"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2.17</w:t>
            </w:r>
          </w:p>
        </w:tc>
        <w:tc>
          <w:tcPr>
            <w:tcW w:w="1712"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厂区危险场所必须设置防雷设施和设备，并定期检测。</w:t>
            </w:r>
          </w:p>
        </w:tc>
        <w:tc>
          <w:tcPr>
            <w:tcW w:w="1058" w:type="pct"/>
            <w:vAlign w:val="center"/>
          </w:tcPr>
          <w:p>
            <w:pPr>
              <w:pStyle w:val="250"/>
              <w:spacing w:line="360" w:lineRule="exact"/>
              <w:ind w:firstLine="420"/>
              <w:rPr>
                <w:rFonts w:cs="Times New Roman"/>
                <w:color w:val="auto"/>
                <w:sz w:val="21"/>
                <w:szCs w:val="21"/>
              </w:rPr>
            </w:pPr>
            <w:r>
              <w:rPr>
                <w:rFonts w:hint="eastAsia" w:cs="Times New Roman"/>
                <w:color w:val="auto"/>
                <w:sz w:val="21"/>
                <w:szCs w:val="21"/>
              </w:rPr>
              <w:t>《危险化学品生产企业安全生产许可证实施办法》第十二条</w:t>
            </w:r>
          </w:p>
        </w:tc>
        <w:tc>
          <w:tcPr>
            <w:tcW w:w="1428" w:type="pct"/>
            <w:vAlign w:val="center"/>
          </w:tcPr>
          <w:p>
            <w:pPr>
              <w:spacing w:line="360" w:lineRule="exact"/>
              <w:rPr>
                <w:rFonts w:ascii="宋体" w:hAnsi="宋体" w:eastAsia="宋体"/>
                <w:color w:val="auto"/>
                <w:sz w:val="21"/>
                <w:szCs w:val="21"/>
                <w:lang w:eastAsia="zh-CN"/>
              </w:rPr>
            </w:pPr>
            <w:r>
              <w:rPr>
                <w:rFonts w:hint="eastAsia" w:ascii="宋体" w:hAnsi="宋体" w:eastAsia="宋体"/>
                <w:color w:val="auto"/>
                <w:sz w:val="21"/>
                <w:szCs w:val="21"/>
              </w:rPr>
              <w:t>有防雷检测报告和合格证</w:t>
            </w:r>
            <w:r>
              <w:rPr>
                <w:rFonts w:hint="eastAsia" w:ascii="宋体" w:hAnsi="宋体" w:eastAsia="宋体"/>
                <w:color w:val="auto"/>
                <w:sz w:val="21"/>
                <w:szCs w:val="21"/>
                <w:lang w:eastAsia="zh-CN"/>
              </w:rPr>
              <w:t>，并在有效期内。</w:t>
            </w:r>
          </w:p>
        </w:tc>
        <w:tc>
          <w:tcPr>
            <w:tcW w:w="404"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98"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2.18</w:t>
            </w:r>
          </w:p>
        </w:tc>
        <w:tc>
          <w:tcPr>
            <w:tcW w:w="1712" w:type="pct"/>
            <w:vAlign w:val="center"/>
          </w:tcPr>
          <w:p>
            <w:pPr>
              <w:spacing w:line="360" w:lineRule="exact"/>
              <w:rPr>
                <w:rFonts w:ascii="宋体" w:hAnsi="宋体" w:eastAsia="宋体"/>
                <w:color w:val="auto"/>
                <w:sz w:val="21"/>
                <w:szCs w:val="21"/>
              </w:rPr>
            </w:pPr>
            <w:r>
              <w:rPr>
                <w:rFonts w:hint="eastAsia" w:ascii="宋体" w:hAnsi="宋体" w:eastAsia="宋体" w:cs="宋体"/>
                <w:color w:val="auto"/>
                <w:sz w:val="21"/>
                <w:szCs w:val="21"/>
              </w:rPr>
              <w:t>重点防火、防爆作业区的入口处，应设计人体导除静电装置。</w:t>
            </w:r>
          </w:p>
        </w:tc>
        <w:tc>
          <w:tcPr>
            <w:tcW w:w="1058"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《化工企业安全卫生设计规范》HG20571-2014第4.2.10条</w:t>
            </w:r>
          </w:p>
        </w:tc>
        <w:tc>
          <w:tcPr>
            <w:tcW w:w="1428"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甲类车间、仓库入口处均安装有人体静电消除装置。</w:t>
            </w:r>
          </w:p>
        </w:tc>
        <w:tc>
          <w:tcPr>
            <w:tcW w:w="404"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98"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3</w:t>
            </w:r>
          </w:p>
        </w:tc>
        <w:tc>
          <w:tcPr>
            <w:tcW w:w="4602" w:type="pct"/>
            <w:gridSpan w:val="4"/>
            <w:vAlign w:val="center"/>
          </w:tcPr>
          <w:p>
            <w:pPr>
              <w:tabs>
                <w:tab w:val="left" w:pos="900"/>
              </w:tabs>
              <w:spacing w:line="360" w:lineRule="exact"/>
              <w:jc w:val="center"/>
              <w:rPr>
                <w:rFonts w:ascii="宋体" w:hAnsi="宋体" w:eastAsia="宋体"/>
                <w:color w:val="auto"/>
                <w:sz w:val="21"/>
                <w:szCs w:val="21"/>
                <w:u w:val="single"/>
              </w:rPr>
            </w:pPr>
            <w:r>
              <w:rPr>
                <w:rFonts w:hint="eastAsia" w:ascii="宋体" w:hAnsi="宋体" w:eastAsia="宋体"/>
                <w:color w:val="auto"/>
                <w:sz w:val="21"/>
                <w:szCs w:val="21"/>
              </w:rPr>
              <w:t>生产设备安全要求</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98"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3.1</w:t>
            </w:r>
          </w:p>
        </w:tc>
        <w:tc>
          <w:tcPr>
            <w:tcW w:w="1712" w:type="pct"/>
            <w:vAlign w:val="center"/>
          </w:tcPr>
          <w:p>
            <w:pPr>
              <w:tabs>
                <w:tab w:val="left" w:pos="900"/>
              </w:tabs>
              <w:spacing w:line="360" w:lineRule="exact"/>
              <w:rPr>
                <w:rFonts w:ascii="宋体" w:hAnsi="宋体" w:eastAsia="宋体"/>
                <w:color w:val="auto"/>
                <w:sz w:val="21"/>
                <w:szCs w:val="21"/>
              </w:rPr>
            </w:pPr>
            <w:r>
              <w:rPr>
                <w:rFonts w:hint="eastAsia" w:ascii="宋体" w:hAnsi="宋体" w:eastAsia="宋体"/>
                <w:color w:val="auto"/>
                <w:sz w:val="21"/>
                <w:szCs w:val="21"/>
              </w:rPr>
              <w:t>使用的生产设备是否是国家淘汰的生产装备。</w:t>
            </w:r>
          </w:p>
        </w:tc>
        <w:tc>
          <w:tcPr>
            <w:tcW w:w="1058" w:type="pct"/>
            <w:vAlign w:val="center"/>
          </w:tcPr>
          <w:p>
            <w:pPr>
              <w:spacing w:line="360" w:lineRule="exact"/>
              <w:rPr>
                <w:rFonts w:ascii="宋体" w:hAnsi="宋体" w:eastAsia="宋体"/>
                <w:color w:val="auto"/>
                <w:sz w:val="21"/>
                <w:szCs w:val="21"/>
              </w:rPr>
            </w:pPr>
            <w:r>
              <w:rPr>
                <w:color w:val="auto"/>
              </w:rPr>
              <w:fldChar w:fldCharType="begin"/>
            </w:r>
            <w:r>
              <w:rPr>
                <w:color w:val="auto"/>
              </w:rPr>
              <w:instrText xml:space="preserve"> HYPERLINK "http://www.sdpc.gov.cn/zcfb/zcfbl/2013ling/W020130226380863208670.pdf" </w:instrText>
            </w:r>
            <w:r>
              <w:rPr>
                <w:color w:val="auto"/>
              </w:rPr>
              <w:fldChar w:fldCharType="separate"/>
            </w:r>
            <w:r>
              <w:rPr>
                <w:rStyle w:val="52"/>
                <w:rFonts w:hint="eastAsia" w:ascii="宋体" w:hAnsi="宋体" w:eastAsia="宋体"/>
                <w:color w:val="auto"/>
                <w:sz w:val="21"/>
                <w:szCs w:val="21"/>
                <w:u w:val="none"/>
              </w:rPr>
              <w:t>《国家发展改革委关于修改&lt;产业结构调整指导目录(2011年本)&gt;有关条款的决定》</w:t>
            </w:r>
            <w:r>
              <w:rPr>
                <w:rStyle w:val="52"/>
                <w:rFonts w:hint="eastAsia" w:ascii="宋体" w:hAnsi="宋体" w:eastAsia="宋体"/>
                <w:color w:val="auto"/>
                <w:sz w:val="21"/>
                <w:szCs w:val="21"/>
                <w:u w:val="none"/>
              </w:rPr>
              <w:fldChar w:fldCharType="end"/>
            </w:r>
            <w:r>
              <w:rPr>
                <w:rFonts w:hint="eastAsia" w:ascii="宋体" w:hAnsi="宋体" w:eastAsia="宋体"/>
                <w:color w:val="auto"/>
                <w:sz w:val="21"/>
                <w:szCs w:val="21"/>
              </w:rPr>
              <w:t>(中华人民共和国家发展和改革委员会令第21号</w:t>
            </w:r>
            <w:r>
              <w:rPr>
                <w:rFonts w:hint="eastAsia" w:ascii="宋体" w:hAnsi="宋体" w:eastAsia="宋体"/>
                <w:bCs/>
                <w:color w:val="auto"/>
                <w:sz w:val="21"/>
                <w:szCs w:val="21"/>
              </w:rPr>
              <w:t>)</w:t>
            </w:r>
          </w:p>
        </w:tc>
        <w:tc>
          <w:tcPr>
            <w:tcW w:w="1428"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生产装备不是淘汰的设备。</w:t>
            </w:r>
          </w:p>
        </w:tc>
        <w:tc>
          <w:tcPr>
            <w:tcW w:w="404"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98"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3.2</w:t>
            </w:r>
          </w:p>
        </w:tc>
        <w:tc>
          <w:tcPr>
            <w:tcW w:w="1712"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生产设备及其零部件，具有足够的强度、刚度、稳定性和可靠性。在按规定的条件使用时，不得对人员造成危险。</w:t>
            </w:r>
          </w:p>
        </w:tc>
        <w:tc>
          <w:tcPr>
            <w:tcW w:w="1058"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《生产设备安全卫生设计总则》</w:t>
            </w:r>
          </w:p>
          <w:p>
            <w:pPr>
              <w:spacing w:line="360" w:lineRule="exact"/>
              <w:rPr>
                <w:rFonts w:ascii="宋体" w:hAnsi="宋体" w:eastAsia="宋体"/>
                <w:color w:val="auto"/>
                <w:sz w:val="21"/>
                <w:szCs w:val="21"/>
              </w:rPr>
            </w:pPr>
            <w:r>
              <w:rPr>
                <w:rFonts w:hint="eastAsia" w:ascii="宋体" w:hAnsi="宋体" w:eastAsia="宋体"/>
                <w:color w:val="auto"/>
                <w:sz w:val="21"/>
                <w:szCs w:val="21"/>
              </w:rPr>
              <w:t>GB5083-1999第4.1条</w:t>
            </w:r>
          </w:p>
        </w:tc>
        <w:tc>
          <w:tcPr>
            <w:tcW w:w="1428"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设备都是由正规厂家生产，按照正常条件使用，不会对人体造成伤害。</w:t>
            </w:r>
          </w:p>
        </w:tc>
        <w:tc>
          <w:tcPr>
            <w:tcW w:w="404"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98"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3.3</w:t>
            </w:r>
          </w:p>
        </w:tc>
        <w:tc>
          <w:tcPr>
            <w:tcW w:w="1712"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生产设备在规定的整个使用期限内，均应满足安全卫生要求。对于可能影响安全操作、控制的零部件、装置等应规定符合产品标准要求的可靠性指标。</w:t>
            </w:r>
          </w:p>
        </w:tc>
        <w:tc>
          <w:tcPr>
            <w:tcW w:w="1058"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《生产设备安全卫生设计总则》</w:t>
            </w:r>
          </w:p>
          <w:p>
            <w:pPr>
              <w:spacing w:line="360" w:lineRule="exact"/>
              <w:rPr>
                <w:rFonts w:ascii="宋体" w:hAnsi="宋体" w:eastAsia="宋体"/>
                <w:color w:val="auto"/>
                <w:sz w:val="21"/>
                <w:szCs w:val="21"/>
              </w:rPr>
            </w:pPr>
            <w:r>
              <w:rPr>
                <w:rFonts w:hint="eastAsia" w:ascii="宋体" w:hAnsi="宋体" w:eastAsia="宋体"/>
                <w:color w:val="auto"/>
                <w:sz w:val="21"/>
                <w:szCs w:val="21"/>
              </w:rPr>
              <w:t>GB5083-1999第4.6条</w:t>
            </w:r>
          </w:p>
        </w:tc>
        <w:tc>
          <w:tcPr>
            <w:tcW w:w="1428"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设备在使用寿命期内。</w:t>
            </w:r>
          </w:p>
        </w:tc>
        <w:tc>
          <w:tcPr>
            <w:tcW w:w="404"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98"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3.4</w:t>
            </w:r>
          </w:p>
        </w:tc>
        <w:tc>
          <w:tcPr>
            <w:tcW w:w="1712"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在规定的使用期阴内，生产设备应满足使用环境要求，特别是满足防腐蚀、耐磨损、抗疲劳、抗老化和抵御失效的要求。</w:t>
            </w:r>
          </w:p>
        </w:tc>
        <w:tc>
          <w:tcPr>
            <w:tcW w:w="1058"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《生产设备安全卫生设计总则》</w:t>
            </w:r>
          </w:p>
          <w:p>
            <w:pPr>
              <w:spacing w:line="360" w:lineRule="exact"/>
              <w:rPr>
                <w:rFonts w:ascii="宋体" w:hAnsi="宋体" w:eastAsia="宋体"/>
                <w:color w:val="auto"/>
                <w:sz w:val="21"/>
                <w:szCs w:val="21"/>
              </w:rPr>
            </w:pPr>
            <w:r>
              <w:rPr>
                <w:rFonts w:hint="eastAsia" w:ascii="宋体" w:hAnsi="宋体" w:eastAsia="宋体"/>
                <w:color w:val="auto"/>
                <w:sz w:val="21"/>
                <w:szCs w:val="21"/>
              </w:rPr>
              <w:t>GB5083-1999第5.1条</w:t>
            </w:r>
          </w:p>
        </w:tc>
        <w:tc>
          <w:tcPr>
            <w:tcW w:w="1428"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设备材料为碳钢及不锈钢，满足使用环境。</w:t>
            </w:r>
          </w:p>
        </w:tc>
        <w:tc>
          <w:tcPr>
            <w:tcW w:w="404"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98"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3.5</w:t>
            </w:r>
          </w:p>
        </w:tc>
        <w:tc>
          <w:tcPr>
            <w:tcW w:w="1712"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生产设备的材料，必须能承受可能出现的各种物理的、化学和生物的作用。例如：对人有害的材料，因材料老化或疲劳可能引起危险；易被腐蚀或空蚀；与工件介质发生反应而造成危险(爆炸造成有害物质等)的材料</w:t>
            </w:r>
          </w:p>
        </w:tc>
        <w:tc>
          <w:tcPr>
            <w:tcW w:w="1058"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《生产设备安全卫生设计总则》</w:t>
            </w:r>
          </w:p>
          <w:p>
            <w:pPr>
              <w:spacing w:line="360" w:lineRule="exact"/>
              <w:rPr>
                <w:rFonts w:ascii="宋体" w:hAnsi="宋体" w:eastAsia="宋体"/>
                <w:color w:val="auto"/>
                <w:sz w:val="21"/>
                <w:szCs w:val="21"/>
              </w:rPr>
            </w:pPr>
            <w:r>
              <w:rPr>
                <w:rFonts w:hint="eastAsia" w:ascii="宋体" w:hAnsi="宋体" w:eastAsia="宋体"/>
                <w:color w:val="auto"/>
                <w:sz w:val="21"/>
                <w:szCs w:val="21"/>
              </w:rPr>
              <w:t>GB5083-1999第5.2.条</w:t>
            </w:r>
          </w:p>
        </w:tc>
        <w:tc>
          <w:tcPr>
            <w:tcW w:w="1428"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所选择的设备，其材料符合其使用的环境，不会出现对人体有危害、易老化、易疲劳、易腐蚀等情况。</w:t>
            </w:r>
          </w:p>
        </w:tc>
        <w:tc>
          <w:tcPr>
            <w:tcW w:w="404"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98"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3.6</w:t>
            </w:r>
          </w:p>
        </w:tc>
        <w:tc>
          <w:tcPr>
            <w:tcW w:w="1712"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生产设备不得在振动、风力或其它预期的外载荷作用下倾覆，或产生不应有的位移。</w:t>
            </w:r>
          </w:p>
        </w:tc>
        <w:tc>
          <w:tcPr>
            <w:tcW w:w="1058"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《生产设备安全卫生设计总则》</w:t>
            </w:r>
          </w:p>
          <w:p>
            <w:pPr>
              <w:spacing w:line="360" w:lineRule="exact"/>
              <w:rPr>
                <w:rFonts w:ascii="宋体" w:hAnsi="宋体" w:eastAsia="宋体"/>
                <w:color w:val="auto"/>
                <w:sz w:val="21"/>
                <w:szCs w:val="21"/>
              </w:rPr>
            </w:pPr>
            <w:r>
              <w:rPr>
                <w:rFonts w:hint="eastAsia" w:ascii="宋体" w:hAnsi="宋体" w:eastAsia="宋体"/>
                <w:color w:val="auto"/>
                <w:sz w:val="21"/>
                <w:szCs w:val="21"/>
              </w:rPr>
              <w:t>GB5083-1999第5.3条</w:t>
            </w:r>
          </w:p>
        </w:tc>
        <w:tc>
          <w:tcPr>
            <w:tcW w:w="1428"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设备为室内设备，车间内无大振动源，安装牢固，正常的载荷不会导致倾覆或产生不应有的位移。</w:t>
            </w:r>
          </w:p>
        </w:tc>
        <w:tc>
          <w:tcPr>
            <w:tcW w:w="404"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98"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3.7</w:t>
            </w:r>
          </w:p>
        </w:tc>
        <w:tc>
          <w:tcPr>
            <w:tcW w:w="1712" w:type="pct"/>
            <w:vAlign w:val="center"/>
          </w:tcPr>
          <w:p>
            <w:pPr>
              <w:tabs>
                <w:tab w:val="left" w:pos="900"/>
              </w:tabs>
              <w:spacing w:line="360" w:lineRule="exact"/>
              <w:rPr>
                <w:rFonts w:ascii="宋体" w:hAnsi="宋体" w:eastAsia="宋体"/>
                <w:color w:val="auto"/>
                <w:sz w:val="21"/>
                <w:szCs w:val="21"/>
              </w:rPr>
            </w:pPr>
            <w:r>
              <w:rPr>
                <w:rFonts w:hint="eastAsia" w:ascii="宋体" w:hAnsi="宋体" w:eastAsia="宋体"/>
                <w:color w:val="auto"/>
                <w:sz w:val="21"/>
                <w:szCs w:val="21"/>
              </w:rPr>
              <w:t>安全防护装置的配置符合国家有关标准</w:t>
            </w:r>
          </w:p>
        </w:tc>
        <w:tc>
          <w:tcPr>
            <w:tcW w:w="1058"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《安全生产法》</w:t>
            </w:r>
          </w:p>
          <w:p>
            <w:pPr>
              <w:spacing w:line="360" w:lineRule="exact"/>
              <w:rPr>
                <w:rFonts w:ascii="宋体" w:hAnsi="宋体" w:eastAsia="宋体"/>
                <w:color w:val="auto"/>
                <w:sz w:val="21"/>
                <w:szCs w:val="21"/>
              </w:rPr>
            </w:pPr>
            <w:r>
              <w:rPr>
                <w:rFonts w:hint="eastAsia" w:ascii="宋体" w:hAnsi="宋体" w:eastAsia="宋体"/>
                <w:color w:val="auto"/>
                <w:sz w:val="21"/>
                <w:szCs w:val="21"/>
              </w:rPr>
              <w:t>第三十三条</w:t>
            </w:r>
          </w:p>
        </w:tc>
        <w:tc>
          <w:tcPr>
            <w:tcW w:w="1428"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安全防护装置等安全设施符合要求。</w:t>
            </w:r>
          </w:p>
        </w:tc>
        <w:tc>
          <w:tcPr>
            <w:tcW w:w="404"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98"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4</w:t>
            </w:r>
          </w:p>
        </w:tc>
        <w:tc>
          <w:tcPr>
            <w:tcW w:w="4602" w:type="pct"/>
            <w:gridSpan w:val="4"/>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生产过程安全要求</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98"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4.1</w:t>
            </w:r>
          </w:p>
        </w:tc>
        <w:tc>
          <w:tcPr>
            <w:tcW w:w="1712" w:type="pct"/>
            <w:vAlign w:val="center"/>
          </w:tcPr>
          <w:p>
            <w:pPr>
              <w:tabs>
                <w:tab w:val="left" w:pos="900"/>
              </w:tabs>
              <w:spacing w:line="360" w:lineRule="exact"/>
              <w:rPr>
                <w:rFonts w:ascii="宋体" w:hAnsi="宋体" w:eastAsia="宋体"/>
                <w:color w:val="auto"/>
                <w:sz w:val="21"/>
                <w:szCs w:val="21"/>
              </w:rPr>
            </w:pPr>
            <w:r>
              <w:rPr>
                <w:rFonts w:hint="eastAsia" w:ascii="宋体" w:hAnsi="宋体" w:eastAsia="宋体"/>
                <w:color w:val="auto"/>
                <w:sz w:val="21"/>
                <w:szCs w:val="21"/>
              </w:rPr>
              <w:t>使用的生产工艺不是国家淘汰的生产工艺。</w:t>
            </w:r>
          </w:p>
        </w:tc>
        <w:tc>
          <w:tcPr>
            <w:tcW w:w="1058"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《安全生产法》</w:t>
            </w:r>
          </w:p>
          <w:p>
            <w:pPr>
              <w:spacing w:line="360" w:lineRule="exact"/>
              <w:rPr>
                <w:rFonts w:ascii="宋体" w:hAnsi="宋体" w:eastAsia="宋体"/>
                <w:color w:val="auto"/>
                <w:sz w:val="21"/>
                <w:szCs w:val="21"/>
              </w:rPr>
            </w:pPr>
            <w:r>
              <w:rPr>
                <w:rFonts w:hint="eastAsia" w:ascii="宋体" w:hAnsi="宋体" w:eastAsia="宋体"/>
                <w:color w:val="auto"/>
                <w:sz w:val="21"/>
                <w:szCs w:val="21"/>
              </w:rPr>
              <w:t>第三十五条</w:t>
            </w:r>
          </w:p>
        </w:tc>
        <w:tc>
          <w:tcPr>
            <w:tcW w:w="1428"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该企业采用的工艺为国内通用工艺。</w:t>
            </w:r>
          </w:p>
        </w:tc>
        <w:tc>
          <w:tcPr>
            <w:tcW w:w="404"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98"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4.2</w:t>
            </w:r>
          </w:p>
        </w:tc>
        <w:tc>
          <w:tcPr>
            <w:tcW w:w="1712" w:type="pct"/>
            <w:vAlign w:val="center"/>
          </w:tcPr>
          <w:p>
            <w:pPr>
              <w:pStyle w:val="40"/>
              <w:spacing w:before="0" w:beforeAutospacing="0" w:after="0" w:afterAutospacing="0" w:line="360" w:lineRule="exact"/>
              <w:jc w:val="both"/>
              <w:rPr>
                <w:rFonts w:cs="Times New Roman"/>
                <w:color w:val="auto"/>
                <w:kern w:val="2"/>
                <w:sz w:val="21"/>
                <w:szCs w:val="21"/>
              </w:rPr>
            </w:pPr>
            <w:r>
              <w:rPr>
                <w:rFonts w:hint="eastAsia" w:cs="Times New Roman"/>
                <w:color w:val="auto"/>
                <w:kern w:val="2"/>
                <w:sz w:val="21"/>
                <w:szCs w:val="21"/>
              </w:rPr>
              <w:t>任何单位和个人不得生产、经营、使用国家禁止生产、经营、使用的危险化学品。</w:t>
            </w:r>
          </w:p>
        </w:tc>
        <w:tc>
          <w:tcPr>
            <w:tcW w:w="1058"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《危险化学品安全管理条例》第五条</w:t>
            </w:r>
          </w:p>
        </w:tc>
        <w:tc>
          <w:tcPr>
            <w:tcW w:w="1428"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没有生产、使用国家禁止的危险化学品。</w:t>
            </w:r>
          </w:p>
        </w:tc>
        <w:tc>
          <w:tcPr>
            <w:tcW w:w="404"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98"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4.3</w:t>
            </w:r>
          </w:p>
        </w:tc>
        <w:tc>
          <w:tcPr>
            <w:tcW w:w="1712" w:type="pct"/>
            <w:vAlign w:val="center"/>
          </w:tcPr>
          <w:p>
            <w:pPr>
              <w:tabs>
                <w:tab w:val="left" w:pos="900"/>
              </w:tabs>
              <w:spacing w:line="360" w:lineRule="exact"/>
              <w:rPr>
                <w:rFonts w:ascii="宋体" w:hAnsi="宋体" w:eastAsia="宋体"/>
                <w:color w:val="auto"/>
                <w:sz w:val="21"/>
                <w:szCs w:val="21"/>
              </w:rPr>
            </w:pPr>
            <w:r>
              <w:rPr>
                <w:rFonts w:hint="eastAsia" w:ascii="宋体" w:hAnsi="宋体" w:eastAsia="宋体"/>
                <w:color w:val="auto"/>
                <w:sz w:val="21"/>
                <w:szCs w:val="21"/>
              </w:rPr>
              <w:t>使用剧毒化学品、易制爆危险化学品的单位不得出借、转让其购买的剧毒化学品、易制爆危险化学品。</w:t>
            </w:r>
          </w:p>
        </w:tc>
        <w:tc>
          <w:tcPr>
            <w:tcW w:w="1058"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《危险化学品安全管理条例》第四十二条</w:t>
            </w:r>
          </w:p>
        </w:tc>
        <w:tc>
          <w:tcPr>
            <w:tcW w:w="1428"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不涉及剧毒品及易制爆危险化学品。</w:t>
            </w:r>
          </w:p>
        </w:tc>
        <w:tc>
          <w:tcPr>
            <w:tcW w:w="404"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98"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4.4</w:t>
            </w:r>
          </w:p>
        </w:tc>
        <w:tc>
          <w:tcPr>
            <w:tcW w:w="1712" w:type="pct"/>
            <w:vAlign w:val="center"/>
          </w:tcPr>
          <w:p>
            <w:pPr>
              <w:spacing w:line="360" w:lineRule="exact"/>
              <w:rPr>
                <w:rFonts w:ascii="宋体" w:hAnsi="宋体" w:eastAsia="宋体"/>
                <w:color w:val="auto"/>
                <w:sz w:val="21"/>
                <w:szCs w:val="21"/>
                <w:lang w:val="en-GB"/>
              </w:rPr>
            </w:pPr>
            <w:r>
              <w:rPr>
                <w:rFonts w:hint="eastAsia" w:ascii="宋体" w:hAnsi="宋体" w:eastAsia="宋体"/>
                <w:color w:val="auto"/>
                <w:sz w:val="21"/>
                <w:szCs w:val="21"/>
              </w:rPr>
              <w:t>根据危险和有害源特点，明确规定相应的安全、卫生防护距离和防护带。</w:t>
            </w:r>
          </w:p>
        </w:tc>
        <w:tc>
          <w:tcPr>
            <w:tcW w:w="1058" w:type="pct"/>
            <w:vAlign w:val="center"/>
          </w:tcPr>
          <w:p>
            <w:pPr>
              <w:spacing w:line="360" w:lineRule="exact"/>
              <w:rPr>
                <w:rFonts w:ascii="宋体" w:hAnsi="宋体" w:eastAsia="宋体"/>
                <w:color w:val="auto"/>
                <w:sz w:val="21"/>
                <w:szCs w:val="21"/>
                <w:lang w:val="en-GB"/>
              </w:rPr>
            </w:pPr>
            <w:r>
              <w:rPr>
                <w:rFonts w:hint="eastAsia" w:ascii="宋体" w:hAnsi="宋体" w:eastAsia="宋体"/>
                <w:color w:val="auto"/>
                <w:sz w:val="21"/>
                <w:szCs w:val="21"/>
                <w:lang w:val="en-GB"/>
              </w:rPr>
              <w:t>《生产过程安全卫生要求总则》GB/T12801－2008第4.3条</w:t>
            </w:r>
          </w:p>
        </w:tc>
        <w:tc>
          <w:tcPr>
            <w:tcW w:w="1428" w:type="pct"/>
            <w:vAlign w:val="center"/>
          </w:tcPr>
          <w:p>
            <w:pPr>
              <w:spacing w:line="360" w:lineRule="exact"/>
              <w:rPr>
                <w:rFonts w:ascii="宋体" w:hAnsi="宋体" w:eastAsia="宋体"/>
                <w:color w:val="auto"/>
                <w:sz w:val="21"/>
                <w:szCs w:val="21"/>
                <w:lang w:val="en-GB"/>
              </w:rPr>
            </w:pPr>
            <w:r>
              <w:rPr>
                <w:rFonts w:hint="eastAsia" w:ascii="宋体" w:hAnsi="宋体" w:eastAsia="宋体"/>
                <w:color w:val="auto"/>
                <w:sz w:val="21"/>
                <w:szCs w:val="21"/>
              </w:rPr>
              <w:t>根据危险和有害源特点，设定的安全、卫生</w:t>
            </w:r>
            <w:r>
              <w:rPr>
                <w:rFonts w:hint="eastAsia" w:ascii="宋体" w:hAnsi="宋体" w:eastAsia="宋体"/>
                <w:color w:val="auto"/>
                <w:sz w:val="21"/>
                <w:szCs w:val="21"/>
                <w:lang w:val="en-GB"/>
              </w:rPr>
              <w:t>防护距离符合要求。</w:t>
            </w:r>
          </w:p>
        </w:tc>
        <w:tc>
          <w:tcPr>
            <w:tcW w:w="404" w:type="pct"/>
            <w:vAlign w:val="center"/>
          </w:tcPr>
          <w:p>
            <w:pPr>
              <w:spacing w:line="360" w:lineRule="exact"/>
              <w:jc w:val="center"/>
              <w:rPr>
                <w:rFonts w:ascii="宋体" w:hAnsi="宋体" w:eastAsia="宋体"/>
                <w:color w:val="auto"/>
                <w:sz w:val="21"/>
                <w:szCs w:val="21"/>
                <w:lang w:val="en-GB"/>
              </w:rPr>
            </w:pPr>
            <w:r>
              <w:rPr>
                <w:rFonts w:hint="eastAsia" w:ascii="宋体" w:hAnsi="宋体" w:eastAsia="宋体"/>
                <w:color w:val="auto"/>
                <w:sz w:val="21"/>
                <w:szCs w:val="21"/>
                <w:lang w:val="en-GB"/>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98"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4.5</w:t>
            </w:r>
          </w:p>
        </w:tc>
        <w:tc>
          <w:tcPr>
            <w:tcW w:w="1712"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应如实告知作业人员生产过程中的危险和有害因素，包括：</w:t>
            </w:r>
          </w:p>
          <w:p>
            <w:pPr>
              <w:spacing w:line="360" w:lineRule="exact"/>
              <w:rPr>
                <w:rFonts w:ascii="宋体" w:hAnsi="宋体" w:eastAsia="宋体"/>
                <w:color w:val="auto"/>
                <w:sz w:val="21"/>
                <w:szCs w:val="21"/>
              </w:rPr>
            </w:pPr>
            <w:r>
              <w:rPr>
                <w:rFonts w:hint="eastAsia" w:ascii="宋体" w:hAnsi="宋体" w:eastAsia="宋体"/>
                <w:color w:val="auto"/>
                <w:sz w:val="21"/>
                <w:szCs w:val="21"/>
              </w:rPr>
              <w:t>a.生产过程中存在的或可能产生的危险和有害因素的类别、数量和性质，危害的途径和后果；</w:t>
            </w:r>
          </w:p>
          <w:p>
            <w:pPr>
              <w:spacing w:line="360" w:lineRule="exact"/>
              <w:rPr>
                <w:rFonts w:ascii="宋体" w:hAnsi="宋体" w:eastAsia="宋体"/>
                <w:color w:val="auto"/>
                <w:sz w:val="21"/>
                <w:szCs w:val="21"/>
              </w:rPr>
            </w:pPr>
            <w:r>
              <w:rPr>
                <w:rFonts w:hint="eastAsia" w:ascii="宋体" w:hAnsi="宋体" w:eastAsia="宋体"/>
                <w:color w:val="auto"/>
                <w:sz w:val="21"/>
                <w:szCs w:val="21"/>
              </w:rPr>
              <w:t>b.可能产生危险和有害作用的过程、设备、场所和物料；</w:t>
            </w:r>
          </w:p>
          <w:p>
            <w:pPr>
              <w:spacing w:line="360" w:lineRule="exact"/>
              <w:rPr>
                <w:rFonts w:ascii="宋体" w:hAnsi="宋体" w:eastAsia="宋体"/>
                <w:color w:val="auto"/>
                <w:sz w:val="21"/>
                <w:szCs w:val="21"/>
                <w:lang w:val="en-GB"/>
              </w:rPr>
            </w:pPr>
            <w:r>
              <w:rPr>
                <w:rFonts w:hint="eastAsia" w:ascii="宋体" w:hAnsi="宋体" w:eastAsia="宋体"/>
                <w:color w:val="auto"/>
                <w:sz w:val="21"/>
                <w:szCs w:val="21"/>
              </w:rPr>
              <w:t>c.危险和有害因素的危害程度或浓度，以及国家有关法规和标准规定的指标。</w:t>
            </w:r>
          </w:p>
        </w:tc>
        <w:tc>
          <w:tcPr>
            <w:tcW w:w="1058" w:type="pct"/>
            <w:vAlign w:val="center"/>
          </w:tcPr>
          <w:p>
            <w:pPr>
              <w:spacing w:line="360" w:lineRule="exact"/>
              <w:rPr>
                <w:rFonts w:ascii="宋体" w:hAnsi="宋体" w:eastAsia="宋体"/>
                <w:color w:val="auto"/>
                <w:sz w:val="21"/>
                <w:szCs w:val="21"/>
                <w:lang w:val="en-GB"/>
              </w:rPr>
            </w:pPr>
            <w:r>
              <w:rPr>
                <w:rFonts w:hint="eastAsia" w:ascii="宋体" w:hAnsi="宋体" w:eastAsia="宋体"/>
                <w:color w:val="auto"/>
                <w:sz w:val="21"/>
                <w:szCs w:val="21"/>
                <w:lang w:val="en-GB"/>
              </w:rPr>
              <w:t>《生产过程安全卫生要求总则》GB/T12801－2008第5.1条</w:t>
            </w:r>
          </w:p>
          <w:p>
            <w:pPr>
              <w:spacing w:line="360" w:lineRule="exact"/>
              <w:rPr>
                <w:rFonts w:ascii="宋体" w:hAnsi="宋体" w:eastAsia="宋体"/>
                <w:color w:val="auto"/>
                <w:sz w:val="21"/>
                <w:szCs w:val="21"/>
                <w:lang w:val="en-GB"/>
              </w:rPr>
            </w:pPr>
          </w:p>
        </w:tc>
        <w:tc>
          <w:tcPr>
            <w:tcW w:w="1428" w:type="pct"/>
            <w:vAlign w:val="center"/>
          </w:tcPr>
          <w:p>
            <w:pPr>
              <w:spacing w:line="360" w:lineRule="exact"/>
              <w:rPr>
                <w:rFonts w:ascii="宋体" w:hAnsi="宋体" w:eastAsia="宋体"/>
                <w:color w:val="auto"/>
                <w:sz w:val="21"/>
                <w:szCs w:val="21"/>
                <w:lang w:val="en-GB"/>
              </w:rPr>
            </w:pPr>
            <w:r>
              <w:rPr>
                <w:rFonts w:hint="eastAsia" w:ascii="宋体" w:hAnsi="宋体" w:eastAsia="宋体"/>
                <w:color w:val="auto"/>
                <w:sz w:val="21"/>
                <w:szCs w:val="21"/>
              </w:rPr>
              <w:t>对作业人员生产过程中的危险和有害因素有明示、告知。</w:t>
            </w:r>
          </w:p>
        </w:tc>
        <w:tc>
          <w:tcPr>
            <w:tcW w:w="404" w:type="pct"/>
            <w:vAlign w:val="center"/>
          </w:tcPr>
          <w:p>
            <w:pPr>
              <w:spacing w:line="360" w:lineRule="exact"/>
              <w:jc w:val="center"/>
              <w:rPr>
                <w:rFonts w:ascii="宋体" w:hAnsi="宋体" w:eastAsia="宋体"/>
                <w:color w:val="auto"/>
                <w:sz w:val="21"/>
                <w:szCs w:val="21"/>
                <w:lang w:val="en-GB"/>
              </w:rPr>
            </w:pPr>
            <w:r>
              <w:rPr>
                <w:rFonts w:hint="eastAsia" w:ascii="宋体" w:hAnsi="宋体" w:eastAsia="宋体"/>
                <w:color w:val="auto"/>
                <w:sz w:val="21"/>
                <w:szCs w:val="21"/>
                <w:lang w:val="en-GB"/>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98"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4.6</w:t>
            </w:r>
          </w:p>
        </w:tc>
        <w:tc>
          <w:tcPr>
            <w:tcW w:w="1712" w:type="pct"/>
            <w:vAlign w:val="center"/>
          </w:tcPr>
          <w:p>
            <w:pPr>
              <w:spacing w:line="360" w:lineRule="exact"/>
              <w:rPr>
                <w:rFonts w:ascii="宋体" w:hAnsi="宋体" w:eastAsia="宋体"/>
                <w:color w:val="auto"/>
                <w:sz w:val="21"/>
                <w:szCs w:val="21"/>
                <w:lang w:val="en-GB"/>
              </w:rPr>
            </w:pPr>
            <w:r>
              <w:rPr>
                <w:rFonts w:hint="eastAsia" w:ascii="宋体" w:hAnsi="宋体" w:eastAsia="宋体"/>
                <w:color w:val="auto"/>
                <w:sz w:val="21"/>
                <w:szCs w:val="21"/>
              </w:rPr>
              <w:t>工艺、作业和施工过程的设计、组织和实施应尽量保证作业安全性。</w:t>
            </w:r>
          </w:p>
        </w:tc>
        <w:tc>
          <w:tcPr>
            <w:tcW w:w="1058" w:type="pct"/>
            <w:vAlign w:val="center"/>
          </w:tcPr>
          <w:p>
            <w:pPr>
              <w:spacing w:line="360" w:lineRule="exact"/>
              <w:rPr>
                <w:rFonts w:ascii="宋体" w:hAnsi="宋体" w:eastAsia="宋体"/>
                <w:color w:val="auto"/>
                <w:sz w:val="21"/>
                <w:szCs w:val="21"/>
                <w:lang w:val="en-GB"/>
              </w:rPr>
            </w:pPr>
            <w:r>
              <w:rPr>
                <w:rFonts w:hint="eastAsia" w:ascii="宋体" w:hAnsi="宋体" w:eastAsia="宋体"/>
                <w:color w:val="auto"/>
                <w:sz w:val="21"/>
                <w:szCs w:val="21"/>
                <w:lang w:val="en-GB"/>
              </w:rPr>
              <w:t>《生产过程安全卫生要求总则》GB/T12801－2008</w:t>
            </w:r>
          </w:p>
          <w:p>
            <w:pPr>
              <w:spacing w:line="360" w:lineRule="exact"/>
              <w:rPr>
                <w:rFonts w:ascii="宋体" w:hAnsi="宋体" w:eastAsia="宋体"/>
                <w:color w:val="auto"/>
                <w:sz w:val="21"/>
                <w:szCs w:val="21"/>
                <w:lang w:val="en-GB"/>
              </w:rPr>
            </w:pPr>
            <w:r>
              <w:rPr>
                <w:rFonts w:hint="eastAsia" w:ascii="宋体" w:hAnsi="宋体" w:eastAsia="宋体"/>
                <w:color w:val="auto"/>
                <w:sz w:val="21"/>
                <w:szCs w:val="21"/>
                <w:lang w:val="en-GB"/>
              </w:rPr>
              <w:t>第5.3条</w:t>
            </w:r>
          </w:p>
        </w:tc>
        <w:tc>
          <w:tcPr>
            <w:tcW w:w="1428" w:type="pct"/>
            <w:vAlign w:val="center"/>
          </w:tcPr>
          <w:p>
            <w:pPr>
              <w:spacing w:line="360" w:lineRule="exact"/>
              <w:rPr>
                <w:rFonts w:ascii="宋体" w:hAnsi="宋体" w:eastAsia="宋体"/>
                <w:color w:val="auto"/>
                <w:sz w:val="21"/>
                <w:szCs w:val="21"/>
                <w:lang w:val="en-GB"/>
              </w:rPr>
            </w:pPr>
            <w:r>
              <w:rPr>
                <w:rFonts w:hint="eastAsia" w:ascii="宋体" w:hAnsi="宋体" w:eastAsia="宋体"/>
                <w:color w:val="auto"/>
                <w:sz w:val="21"/>
                <w:szCs w:val="21"/>
                <w:lang w:val="en-GB"/>
              </w:rPr>
              <w:t>工艺、作业和施工过程的设计充分考虑到作业人员的安全性。</w:t>
            </w:r>
          </w:p>
        </w:tc>
        <w:tc>
          <w:tcPr>
            <w:tcW w:w="404" w:type="pct"/>
            <w:vAlign w:val="center"/>
          </w:tcPr>
          <w:p>
            <w:pPr>
              <w:spacing w:line="360" w:lineRule="exact"/>
              <w:jc w:val="center"/>
              <w:rPr>
                <w:rFonts w:ascii="宋体" w:hAnsi="宋体" w:eastAsia="宋体"/>
                <w:color w:val="auto"/>
                <w:sz w:val="21"/>
                <w:szCs w:val="21"/>
                <w:lang w:val="en-GB"/>
              </w:rPr>
            </w:pPr>
            <w:r>
              <w:rPr>
                <w:rFonts w:hint="eastAsia" w:ascii="宋体" w:hAnsi="宋体" w:eastAsia="宋体"/>
                <w:color w:val="auto"/>
                <w:sz w:val="21"/>
                <w:szCs w:val="21"/>
                <w:lang w:val="en-GB"/>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98"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4.7</w:t>
            </w:r>
          </w:p>
        </w:tc>
        <w:tc>
          <w:tcPr>
            <w:tcW w:w="1712"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生产厂房的结构强度、耐火等级、通风、采光、照明等，均应按其使用特点和地区环境条件符合有关标准规定，必要时应有防水、防漏措施。</w:t>
            </w:r>
          </w:p>
        </w:tc>
        <w:tc>
          <w:tcPr>
            <w:tcW w:w="1058" w:type="pct"/>
            <w:vAlign w:val="center"/>
          </w:tcPr>
          <w:p>
            <w:pPr>
              <w:spacing w:line="360" w:lineRule="exact"/>
              <w:rPr>
                <w:rFonts w:ascii="宋体" w:hAnsi="宋体" w:eastAsia="宋体"/>
                <w:color w:val="auto"/>
                <w:sz w:val="21"/>
                <w:szCs w:val="21"/>
                <w:lang w:val="en-GB"/>
              </w:rPr>
            </w:pPr>
            <w:r>
              <w:rPr>
                <w:rFonts w:hint="eastAsia" w:ascii="宋体" w:hAnsi="宋体" w:eastAsia="宋体"/>
                <w:color w:val="auto"/>
                <w:sz w:val="21"/>
                <w:szCs w:val="21"/>
                <w:lang w:val="en-GB"/>
              </w:rPr>
              <w:t>《生产过程安全卫生要求总则》GB/T12801－2008</w:t>
            </w:r>
          </w:p>
          <w:p>
            <w:pPr>
              <w:spacing w:line="360" w:lineRule="exact"/>
              <w:rPr>
                <w:rFonts w:ascii="宋体" w:hAnsi="宋体" w:eastAsia="宋体"/>
                <w:color w:val="auto"/>
                <w:sz w:val="21"/>
                <w:szCs w:val="21"/>
                <w:lang w:val="en-GB"/>
              </w:rPr>
            </w:pPr>
            <w:r>
              <w:rPr>
                <w:rFonts w:hint="eastAsia" w:ascii="宋体" w:hAnsi="宋体" w:eastAsia="宋体"/>
                <w:color w:val="auto"/>
                <w:sz w:val="21"/>
                <w:szCs w:val="21"/>
                <w:lang w:val="en-GB"/>
              </w:rPr>
              <w:t>第5.4.1条</w:t>
            </w:r>
          </w:p>
        </w:tc>
        <w:tc>
          <w:tcPr>
            <w:tcW w:w="1428" w:type="pct"/>
            <w:vAlign w:val="center"/>
          </w:tcPr>
          <w:p>
            <w:pPr>
              <w:spacing w:line="360" w:lineRule="exact"/>
              <w:rPr>
                <w:rFonts w:ascii="宋体" w:hAnsi="宋体" w:eastAsia="宋体"/>
                <w:color w:val="auto"/>
                <w:sz w:val="21"/>
                <w:szCs w:val="21"/>
                <w:lang w:val="en-GB"/>
              </w:rPr>
            </w:pPr>
            <w:r>
              <w:rPr>
                <w:rFonts w:hint="eastAsia" w:ascii="宋体" w:hAnsi="宋体" w:eastAsia="宋体"/>
                <w:color w:val="auto"/>
                <w:sz w:val="21"/>
                <w:szCs w:val="21"/>
                <w:lang w:val="en-GB"/>
              </w:rPr>
              <w:t>生产车间建筑物耐火等级为二级，采用强制通风和自然通风相结合的通风方式，</w:t>
            </w:r>
            <w:r>
              <w:rPr>
                <w:rFonts w:hint="eastAsia" w:ascii="宋体" w:hAnsi="宋体" w:eastAsia="宋体"/>
                <w:color w:val="auto"/>
                <w:sz w:val="21"/>
                <w:szCs w:val="21"/>
              </w:rPr>
              <w:t>采光、照明符合要求</w:t>
            </w:r>
            <w:r>
              <w:rPr>
                <w:rFonts w:hint="eastAsia" w:ascii="宋体" w:hAnsi="宋体" w:eastAsia="宋体"/>
                <w:color w:val="auto"/>
                <w:sz w:val="21"/>
                <w:szCs w:val="21"/>
                <w:lang w:val="en-GB"/>
              </w:rPr>
              <w:t>。</w:t>
            </w:r>
          </w:p>
        </w:tc>
        <w:tc>
          <w:tcPr>
            <w:tcW w:w="404" w:type="pct"/>
            <w:vAlign w:val="center"/>
          </w:tcPr>
          <w:p>
            <w:pPr>
              <w:spacing w:line="360" w:lineRule="exact"/>
              <w:jc w:val="center"/>
              <w:rPr>
                <w:rFonts w:ascii="宋体" w:hAnsi="宋体" w:eastAsia="宋体"/>
                <w:color w:val="auto"/>
                <w:sz w:val="21"/>
                <w:szCs w:val="21"/>
                <w:lang w:val="en-GB"/>
              </w:rPr>
            </w:pPr>
            <w:r>
              <w:rPr>
                <w:rFonts w:hint="eastAsia" w:ascii="宋体" w:hAnsi="宋体" w:eastAsia="宋体"/>
                <w:color w:val="auto"/>
                <w:sz w:val="21"/>
                <w:szCs w:val="21"/>
                <w:lang w:val="en-GB"/>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98"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4.8</w:t>
            </w:r>
          </w:p>
        </w:tc>
        <w:tc>
          <w:tcPr>
            <w:tcW w:w="1712" w:type="pct"/>
            <w:vAlign w:val="center"/>
          </w:tcPr>
          <w:p>
            <w:pPr>
              <w:spacing w:line="360" w:lineRule="exact"/>
              <w:rPr>
                <w:rFonts w:ascii="宋体" w:hAnsi="宋体" w:eastAsia="宋体"/>
                <w:color w:val="auto"/>
                <w:sz w:val="21"/>
                <w:szCs w:val="21"/>
                <w:lang w:val="en-GB"/>
              </w:rPr>
            </w:pPr>
            <w:r>
              <w:rPr>
                <w:rFonts w:hint="eastAsia" w:ascii="宋体" w:hAnsi="宋体" w:eastAsia="宋体"/>
                <w:color w:val="auto"/>
                <w:sz w:val="21"/>
                <w:szCs w:val="21"/>
              </w:rPr>
              <w:t>建(构)筑物的通风换气条件，应保证作业环境空气中的危险和有害物质浓度不超过国家标准和有关规定。</w:t>
            </w:r>
          </w:p>
        </w:tc>
        <w:tc>
          <w:tcPr>
            <w:tcW w:w="1058" w:type="pct"/>
            <w:vAlign w:val="center"/>
          </w:tcPr>
          <w:p>
            <w:pPr>
              <w:spacing w:line="360" w:lineRule="exact"/>
              <w:rPr>
                <w:rFonts w:ascii="宋体" w:hAnsi="宋体" w:eastAsia="宋体"/>
                <w:color w:val="auto"/>
                <w:sz w:val="21"/>
                <w:szCs w:val="21"/>
                <w:lang w:val="en-GB"/>
              </w:rPr>
            </w:pPr>
            <w:r>
              <w:rPr>
                <w:rFonts w:hint="eastAsia" w:ascii="宋体" w:hAnsi="宋体" w:eastAsia="宋体"/>
                <w:color w:val="auto"/>
                <w:sz w:val="21"/>
                <w:szCs w:val="21"/>
                <w:lang w:val="en-GB"/>
              </w:rPr>
              <w:t>《生产过程安全卫生要求总则》GB/T12801－2008</w:t>
            </w:r>
          </w:p>
          <w:p>
            <w:pPr>
              <w:spacing w:line="360" w:lineRule="exact"/>
              <w:rPr>
                <w:rFonts w:ascii="宋体" w:hAnsi="宋体" w:eastAsia="宋体"/>
                <w:color w:val="auto"/>
                <w:sz w:val="21"/>
                <w:szCs w:val="21"/>
                <w:lang w:val="en-GB"/>
              </w:rPr>
            </w:pPr>
            <w:r>
              <w:rPr>
                <w:rFonts w:hint="eastAsia" w:ascii="宋体" w:hAnsi="宋体" w:eastAsia="宋体"/>
                <w:color w:val="auto"/>
                <w:sz w:val="21"/>
                <w:szCs w:val="21"/>
                <w:lang w:val="en-GB"/>
              </w:rPr>
              <w:t>第5.4.2条</w:t>
            </w:r>
          </w:p>
        </w:tc>
        <w:tc>
          <w:tcPr>
            <w:tcW w:w="1428" w:type="pct"/>
            <w:vAlign w:val="center"/>
          </w:tcPr>
          <w:p>
            <w:pPr>
              <w:spacing w:line="360" w:lineRule="exact"/>
              <w:rPr>
                <w:rFonts w:ascii="宋体" w:hAnsi="宋体" w:eastAsia="宋体"/>
                <w:color w:val="auto"/>
                <w:sz w:val="21"/>
                <w:szCs w:val="21"/>
                <w:lang w:val="en-GB"/>
              </w:rPr>
            </w:pPr>
            <w:r>
              <w:rPr>
                <w:rFonts w:hint="eastAsia" w:ascii="宋体" w:hAnsi="宋体" w:eastAsia="宋体"/>
                <w:color w:val="auto"/>
                <w:sz w:val="21"/>
                <w:szCs w:val="21"/>
                <w:lang w:val="en-GB"/>
              </w:rPr>
              <w:t>采用强制通风和自然通风相结合的通风方式</w:t>
            </w:r>
            <w:r>
              <w:rPr>
                <w:rFonts w:hint="eastAsia" w:ascii="宋体" w:hAnsi="宋体" w:eastAsia="宋体"/>
                <w:color w:val="auto"/>
                <w:sz w:val="21"/>
                <w:szCs w:val="21"/>
              </w:rPr>
              <w:t>，</w:t>
            </w:r>
            <w:r>
              <w:rPr>
                <w:rFonts w:hint="eastAsia" w:ascii="宋体" w:hAnsi="宋体" w:eastAsia="宋体"/>
                <w:color w:val="auto"/>
                <w:sz w:val="21"/>
                <w:szCs w:val="21"/>
                <w:lang w:val="en-GB"/>
              </w:rPr>
              <w:t>生产场所</w:t>
            </w:r>
            <w:r>
              <w:rPr>
                <w:rFonts w:hint="eastAsia" w:ascii="宋体" w:hAnsi="宋体" w:eastAsia="宋体"/>
                <w:color w:val="auto"/>
                <w:sz w:val="21"/>
                <w:szCs w:val="21"/>
              </w:rPr>
              <w:t>危险和有害物质浓度符合国家标准。</w:t>
            </w:r>
          </w:p>
        </w:tc>
        <w:tc>
          <w:tcPr>
            <w:tcW w:w="404" w:type="pct"/>
            <w:vAlign w:val="center"/>
          </w:tcPr>
          <w:p>
            <w:pPr>
              <w:spacing w:line="360" w:lineRule="exact"/>
              <w:jc w:val="center"/>
              <w:rPr>
                <w:rFonts w:ascii="宋体" w:hAnsi="宋体" w:eastAsia="宋体"/>
                <w:color w:val="auto"/>
                <w:sz w:val="21"/>
                <w:szCs w:val="21"/>
                <w:lang w:val="en-GB"/>
              </w:rPr>
            </w:pPr>
            <w:r>
              <w:rPr>
                <w:rFonts w:hint="eastAsia" w:ascii="宋体" w:hAnsi="宋体" w:eastAsia="宋体"/>
                <w:color w:val="auto"/>
                <w:sz w:val="21"/>
                <w:szCs w:val="21"/>
                <w:lang w:val="en-GB"/>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98"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4.9</w:t>
            </w:r>
          </w:p>
        </w:tc>
        <w:tc>
          <w:tcPr>
            <w:tcW w:w="1712" w:type="pct"/>
            <w:vAlign w:val="center"/>
          </w:tcPr>
          <w:p>
            <w:pPr>
              <w:spacing w:line="360" w:lineRule="exact"/>
              <w:rPr>
                <w:rFonts w:ascii="宋体" w:hAnsi="宋体" w:eastAsia="宋体"/>
                <w:color w:val="auto"/>
                <w:sz w:val="21"/>
                <w:szCs w:val="21"/>
                <w:lang w:val="en-GB"/>
              </w:rPr>
            </w:pPr>
            <w:r>
              <w:rPr>
                <w:rFonts w:hint="eastAsia" w:ascii="宋体" w:hAnsi="宋体" w:eastAsia="宋体"/>
                <w:color w:val="auto"/>
                <w:sz w:val="21"/>
                <w:szCs w:val="21"/>
              </w:rPr>
              <w:t>生产、处理、贮存有极度和高度危害毒物的厂房和仓库，其墙壁、顶棚和地面均应光滑，便于清扫，必要时加保护层及专门清洗设施。</w:t>
            </w:r>
          </w:p>
        </w:tc>
        <w:tc>
          <w:tcPr>
            <w:tcW w:w="1058" w:type="pct"/>
            <w:vAlign w:val="center"/>
          </w:tcPr>
          <w:p>
            <w:pPr>
              <w:spacing w:line="360" w:lineRule="exact"/>
              <w:rPr>
                <w:rFonts w:ascii="宋体" w:hAnsi="宋体" w:eastAsia="宋体"/>
                <w:color w:val="auto"/>
                <w:sz w:val="21"/>
                <w:szCs w:val="21"/>
                <w:lang w:val="en-GB"/>
              </w:rPr>
            </w:pPr>
            <w:r>
              <w:rPr>
                <w:rFonts w:hint="eastAsia" w:ascii="宋体" w:hAnsi="宋体" w:eastAsia="宋体"/>
                <w:color w:val="auto"/>
                <w:sz w:val="21"/>
                <w:szCs w:val="21"/>
                <w:lang w:val="en-GB"/>
              </w:rPr>
              <w:t>《生产过程安全卫生要求总则》GB/T12801－2008</w:t>
            </w:r>
          </w:p>
          <w:p>
            <w:pPr>
              <w:spacing w:line="360" w:lineRule="exact"/>
              <w:rPr>
                <w:rFonts w:ascii="宋体" w:hAnsi="宋体" w:eastAsia="宋体"/>
                <w:color w:val="auto"/>
                <w:sz w:val="21"/>
                <w:szCs w:val="21"/>
                <w:lang w:val="en-GB"/>
              </w:rPr>
            </w:pPr>
            <w:r>
              <w:rPr>
                <w:rFonts w:hint="eastAsia" w:ascii="宋体" w:hAnsi="宋体" w:eastAsia="宋体"/>
                <w:color w:val="auto"/>
                <w:sz w:val="21"/>
                <w:szCs w:val="21"/>
                <w:lang w:val="en-GB"/>
              </w:rPr>
              <w:t>第5.4.4条</w:t>
            </w:r>
          </w:p>
        </w:tc>
        <w:tc>
          <w:tcPr>
            <w:tcW w:w="1428" w:type="pct"/>
            <w:vAlign w:val="center"/>
          </w:tcPr>
          <w:p>
            <w:pPr>
              <w:spacing w:line="360" w:lineRule="exact"/>
              <w:rPr>
                <w:rFonts w:ascii="宋体" w:hAnsi="宋体" w:eastAsia="宋体"/>
                <w:color w:val="auto"/>
                <w:sz w:val="21"/>
                <w:szCs w:val="21"/>
                <w:lang w:val="en-GB"/>
              </w:rPr>
            </w:pPr>
            <w:r>
              <w:rPr>
                <w:rFonts w:hint="eastAsia" w:ascii="宋体" w:hAnsi="宋体" w:eastAsia="宋体"/>
                <w:color w:val="auto"/>
                <w:sz w:val="21"/>
                <w:szCs w:val="21"/>
                <w:lang w:val="en-GB"/>
              </w:rPr>
              <w:t>不涉及极度和高度危害物质。</w:t>
            </w:r>
          </w:p>
        </w:tc>
        <w:tc>
          <w:tcPr>
            <w:tcW w:w="404" w:type="pct"/>
            <w:vAlign w:val="center"/>
          </w:tcPr>
          <w:p>
            <w:pPr>
              <w:spacing w:line="360" w:lineRule="exact"/>
              <w:jc w:val="center"/>
              <w:rPr>
                <w:rFonts w:ascii="宋体" w:hAnsi="宋体" w:eastAsia="宋体"/>
                <w:color w:val="auto"/>
                <w:sz w:val="21"/>
                <w:szCs w:val="21"/>
                <w:lang w:val="en-GB"/>
              </w:rPr>
            </w:pPr>
            <w:r>
              <w:rPr>
                <w:rFonts w:hint="eastAsia" w:ascii="宋体" w:hAnsi="宋体" w:eastAsia="宋体"/>
                <w:color w:val="auto"/>
                <w:sz w:val="21"/>
                <w:szCs w:val="21"/>
                <w:lang w:val="en-GB"/>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98"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4.10</w:t>
            </w:r>
          </w:p>
        </w:tc>
        <w:tc>
          <w:tcPr>
            <w:tcW w:w="1712" w:type="pct"/>
            <w:vAlign w:val="center"/>
          </w:tcPr>
          <w:p>
            <w:pPr>
              <w:spacing w:line="360" w:lineRule="exact"/>
              <w:rPr>
                <w:rFonts w:ascii="宋体" w:hAnsi="宋体" w:eastAsia="宋体"/>
                <w:color w:val="auto"/>
                <w:sz w:val="21"/>
                <w:szCs w:val="21"/>
                <w:lang w:val="en-GB"/>
              </w:rPr>
            </w:pPr>
            <w:r>
              <w:rPr>
                <w:rFonts w:hint="eastAsia" w:ascii="宋体" w:hAnsi="宋体" w:eastAsia="宋体"/>
                <w:color w:val="auto"/>
                <w:sz w:val="21"/>
                <w:szCs w:val="21"/>
              </w:rPr>
              <w:t>有爆炸危险场所的建(构)筑物的结构形式以及选用的建筑材料，必须符合防火、防爆要求。</w:t>
            </w:r>
          </w:p>
        </w:tc>
        <w:tc>
          <w:tcPr>
            <w:tcW w:w="1058" w:type="pct"/>
            <w:vAlign w:val="center"/>
          </w:tcPr>
          <w:p>
            <w:pPr>
              <w:spacing w:line="360" w:lineRule="exact"/>
              <w:rPr>
                <w:rFonts w:ascii="宋体" w:hAnsi="宋体" w:eastAsia="宋体"/>
                <w:color w:val="auto"/>
                <w:sz w:val="21"/>
                <w:szCs w:val="21"/>
                <w:lang w:val="en-GB"/>
              </w:rPr>
            </w:pPr>
            <w:r>
              <w:rPr>
                <w:rFonts w:hint="eastAsia" w:ascii="宋体" w:hAnsi="宋体" w:eastAsia="宋体"/>
                <w:color w:val="auto"/>
                <w:sz w:val="21"/>
                <w:szCs w:val="21"/>
                <w:lang w:val="en-GB"/>
              </w:rPr>
              <w:t>《生产过程安全卫生要求总则》GB/T12801－2008</w:t>
            </w:r>
          </w:p>
          <w:p>
            <w:pPr>
              <w:spacing w:line="360" w:lineRule="exact"/>
              <w:rPr>
                <w:rFonts w:ascii="宋体" w:hAnsi="宋体" w:eastAsia="宋体"/>
                <w:color w:val="auto"/>
                <w:sz w:val="21"/>
                <w:szCs w:val="21"/>
                <w:lang w:val="en-GB"/>
              </w:rPr>
            </w:pPr>
            <w:r>
              <w:rPr>
                <w:rFonts w:hint="eastAsia" w:ascii="宋体" w:hAnsi="宋体" w:eastAsia="宋体"/>
                <w:color w:val="auto"/>
                <w:sz w:val="21"/>
                <w:szCs w:val="21"/>
                <w:lang w:val="en-GB"/>
              </w:rPr>
              <w:t>第5.4.5条</w:t>
            </w:r>
          </w:p>
        </w:tc>
        <w:tc>
          <w:tcPr>
            <w:tcW w:w="1428" w:type="pct"/>
            <w:vAlign w:val="center"/>
          </w:tcPr>
          <w:p>
            <w:pPr>
              <w:spacing w:line="360" w:lineRule="exact"/>
              <w:rPr>
                <w:rFonts w:ascii="宋体" w:hAnsi="宋体" w:eastAsia="宋体"/>
                <w:color w:val="auto"/>
                <w:sz w:val="21"/>
                <w:szCs w:val="21"/>
                <w:lang w:val="en-GB"/>
              </w:rPr>
            </w:pPr>
            <w:r>
              <w:rPr>
                <w:rFonts w:hint="eastAsia" w:ascii="宋体" w:hAnsi="宋体" w:eastAsia="宋体"/>
                <w:color w:val="auto"/>
                <w:sz w:val="21"/>
                <w:szCs w:val="21"/>
                <w:lang w:val="en-GB"/>
              </w:rPr>
              <w:t>生产车间的建筑物</w:t>
            </w:r>
            <w:r>
              <w:rPr>
                <w:rFonts w:hint="eastAsia" w:ascii="宋体" w:hAnsi="宋体" w:eastAsia="宋体"/>
                <w:color w:val="auto"/>
                <w:sz w:val="21"/>
                <w:szCs w:val="21"/>
              </w:rPr>
              <w:t>选用的建筑材料，符合防火、防爆要求。</w:t>
            </w:r>
          </w:p>
        </w:tc>
        <w:tc>
          <w:tcPr>
            <w:tcW w:w="404" w:type="pct"/>
            <w:vAlign w:val="center"/>
          </w:tcPr>
          <w:p>
            <w:pPr>
              <w:spacing w:line="360" w:lineRule="exact"/>
              <w:jc w:val="center"/>
              <w:rPr>
                <w:rFonts w:ascii="宋体" w:hAnsi="宋体" w:eastAsia="宋体"/>
                <w:color w:val="auto"/>
                <w:sz w:val="21"/>
                <w:szCs w:val="21"/>
                <w:lang w:val="en-GB"/>
              </w:rPr>
            </w:pPr>
            <w:r>
              <w:rPr>
                <w:rFonts w:hint="eastAsia" w:ascii="宋体" w:hAnsi="宋体" w:eastAsia="宋体"/>
                <w:color w:val="auto"/>
                <w:sz w:val="21"/>
                <w:szCs w:val="21"/>
                <w:lang w:val="en-GB"/>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98"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4.11</w:t>
            </w:r>
          </w:p>
        </w:tc>
        <w:tc>
          <w:tcPr>
            <w:tcW w:w="1712"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危险性作业场所，应设置安全通道，应设应急照明、安全标志和应急疏散标志，门窗应向外开启，通道和出口应保持畅通。</w:t>
            </w:r>
          </w:p>
        </w:tc>
        <w:tc>
          <w:tcPr>
            <w:tcW w:w="1058" w:type="pct"/>
            <w:vAlign w:val="center"/>
          </w:tcPr>
          <w:p>
            <w:pPr>
              <w:spacing w:line="360" w:lineRule="exact"/>
              <w:rPr>
                <w:rFonts w:ascii="宋体" w:hAnsi="宋体" w:eastAsia="宋体"/>
                <w:color w:val="auto"/>
                <w:sz w:val="21"/>
                <w:szCs w:val="21"/>
                <w:lang w:val="en-GB"/>
              </w:rPr>
            </w:pPr>
            <w:r>
              <w:rPr>
                <w:rFonts w:hint="eastAsia" w:ascii="宋体" w:hAnsi="宋体" w:eastAsia="宋体"/>
                <w:color w:val="auto"/>
                <w:sz w:val="21"/>
                <w:szCs w:val="21"/>
                <w:lang w:val="en-GB"/>
              </w:rPr>
              <w:t>《生产过程安全卫生要求总则》GB/T12801－2008</w:t>
            </w:r>
          </w:p>
          <w:p>
            <w:pPr>
              <w:spacing w:line="360" w:lineRule="exact"/>
              <w:rPr>
                <w:rFonts w:ascii="宋体" w:hAnsi="宋体" w:eastAsia="宋体"/>
                <w:color w:val="auto"/>
                <w:sz w:val="21"/>
                <w:szCs w:val="21"/>
                <w:lang w:val="en-GB"/>
              </w:rPr>
            </w:pPr>
            <w:r>
              <w:rPr>
                <w:rFonts w:hint="eastAsia" w:ascii="宋体" w:hAnsi="宋体" w:eastAsia="宋体"/>
                <w:color w:val="auto"/>
                <w:sz w:val="21"/>
                <w:szCs w:val="21"/>
                <w:lang w:val="en-GB"/>
              </w:rPr>
              <w:t>第5.4.6条</w:t>
            </w:r>
          </w:p>
        </w:tc>
        <w:tc>
          <w:tcPr>
            <w:tcW w:w="1428" w:type="pct"/>
            <w:vAlign w:val="center"/>
          </w:tcPr>
          <w:p>
            <w:pPr>
              <w:spacing w:line="360" w:lineRule="exact"/>
              <w:rPr>
                <w:rFonts w:ascii="宋体" w:hAnsi="宋体" w:eastAsia="宋体"/>
                <w:color w:val="auto"/>
                <w:sz w:val="21"/>
                <w:szCs w:val="21"/>
                <w:lang w:val="en-GB"/>
              </w:rPr>
            </w:pPr>
            <w:r>
              <w:rPr>
                <w:rFonts w:hint="eastAsia" w:ascii="宋体" w:hAnsi="宋体" w:eastAsia="宋体"/>
                <w:color w:val="auto"/>
                <w:sz w:val="21"/>
                <w:szCs w:val="21"/>
                <w:lang w:val="en-GB"/>
              </w:rPr>
              <w:t>甲类车间已设置安全通道及应急照明。</w:t>
            </w:r>
          </w:p>
        </w:tc>
        <w:tc>
          <w:tcPr>
            <w:tcW w:w="404" w:type="pct"/>
            <w:vAlign w:val="center"/>
          </w:tcPr>
          <w:p>
            <w:pPr>
              <w:spacing w:line="360" w:lineRule="exact"/>
              <w:jc w:val="center"/>
              <w:rPr>
                <w:rFonts w:ascii="宋体" w:hAnsi="宋体" w:eastAsia="宋体"/>
                <w:color w:val="auto"/>
                <w:sz w:val="21"/>
                <w:szCs w:val="21"/>
                <w:lang w:val="en-GB"/>
              </w:rPr>
            </w:pPr>
            <w:r>
              <w:rPr>
                <w:rFonts w:hint="eastAsia" w:ascii="宋体" w:hAnsi="宋体" w:eastAsia="宋体"/>
                <w:color w:val="auto"/>
                <w:sz w:val="21"/>
                <w:szCs w:val="21"/>
                <w:lang w:val="en-GB"/>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98"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4.12</w:t>
            </w:r>
          </w:p>
        </w:tc>
        <w:tc>
          <w:tcPr>
            <w:tcW w:w="1712" w:type="pct"/>
            <w:vAlign w:val="center"/>
          </w:tcPr>
          <w:p>
            <w:pPr>
              <w:spacing w:line="360" w:lineRule="exact"/>
              <w:rPr>
                <w:rFonts w:ascii="宋体" w:hAnsi="宋体" w:eastAsia="宋体"/>
                <w:color w:val="auto"/>
                <w:sz w:val="21"/>
                <w:szCs w:val="21"/>
                <w:lang w:val="en-GB"/>
              </w:rPr>
            </w:pPr>
            <w:r>
              <w:rPr>
                <w:rFonts w:hint="eastAsia" w:ascii="宋体" w:hAnsi="宋体" w:eastAsia="宋体"/>
                <w:color w:val="auto"/>
                <w:sz w:val="21"/>
                <w:szCs w:val="21"/>
              </w:rPr>
              <w:t>应优先采用无毒或者低毒的生产物料，使用给人员带来危险和有害作用的生产物料应采取相应的防护措施，并制订使用、处理、贮存和运输的安全、卫生标准。</w:t>
            </w:r>
          </w:p>
        </w:tc>
        <w:tc>
          <w:tcPr>
            <w:tcW w:w="1058" w:type="pct"/>
            <w:vAlign w:val="center"/>
          </w:tcPr>
          <w:p>
            <w:pPr>
              <w:spacing w:line="360" w:lineRule="exact"/>
              <w:rPr>
                <w:rFonts w:ascii="宋体" w:hAnsi="宋体" w:eastAsia="宋体"/>
                <w:color w:val="auto"/>
                <w:sz w:val="21"/>
                <w:szCs w:val="21"/>
                <w:lang w:val="en-GB"/>
              </w:rPr>
            </w:pPr>
            <w:r>
              <w:rPr>
                <w:rFonts w:hint="eastAsia" w:ascii="宋体" w:hAnsi="宋体" w:eastAsia="宋体"/>
                <w:color w:val="auto"/>
                <w:sz w:val="21"/>
                <w:szCs w:val="21"/>
                <w:lang w:val="en-GB"/>
              </w:rPr>
              <w:t>《生产过程安全卫生要求总则》GB/T12801－2008</w:t>
            </w:r>
          </w:p>
          <w:p>
            <w:pPr>
              <w:spacing w:line="360" w:lineRule="exact"/>
              <w:rPr>
                <w:rFonts w:ascii="宋体" w:hAnsi="宋体" w:eastAsia="宋体"/>
                <w:color w:val="auto"/>
                <w:sz w:val="21"/>
                <w:szCs w:val="21"/>
                <w:lang w:val="en-GB"/>
              </w:rPr>
            </w:pPr>
            <w:r>
              <w:rPr>
                <w:rFonts w:hint="eastAsia" w:ascii="宋体" w:hAnsi="宋体" w:eastAsia="宋体"/>
                <w:color w:val="auto"/>
                <w:sz w:val="21"/>
                <w:szCs w:val="21"/>
                <w:lang w:val="en-GB"/>
              </w:rPr>
              <w:t>第5.5.1条</w:t>
            </w:r>
          </w:p>
        </w:tc>
        <w:tc>
          <w:tcPr>
            <w:tcW w:w="1428" w:type="pct"/>
            <w:vAlign w:val="center"/>
          </w:tcPr>
          <w:p>
            <w:pPr>
              <w:spacing w:line="360" w:lineRule="exact"/>
              <w:rPr>
                <w:rFonts w:ascii="宋体" w:hAnsi="宋体" w:eastAsia="宋体"/>
                <w:color w:val="auto"/>
                <w:sz w:val="21"/>
                <w:szCs w:val="21"/>
                <w:lang w:val="en-GB"/>
              </w:rPr>
            </w:pPr>
            <w:r>
              <w:rPr>
                <w:rFonts w:hint="eastAsia" w:ascii="宋体" w:hAnsi="宋体" w:eastAsia="宋体"/>
                <w:color w:val="auto"/>
                <w:sz w:val="21"/>
                <w:szCs w:val="21"/>
                <w:lang w:val="en-GB"/>
              </w:rPr>
              <w:t>目前企业采用的原材料即为低毒的材料。</w:t>
            </w:r>
          </w:p>
        </w:tc>
        <w:tc>
          <w:tcPr>
            <w:tcW w:w="404" w:type="pct"/>
            <w:vAlign w:val="center"/>
          </w:tcPr>
          <w:p>
            <w:pPr>
              <w:spacing w:line="360" w:lineRule="exact"/>
              <w:jc w:val="center"/>
              <w:rPr>
                <w:rFonts w:ascii="宋体" w:hAnsi="宋体" w:eastAsia="宋体"/>
                <w:color w:val="auto"/>
                <w:sz w:val="21"/>
                <w:szCs w:val="21"/>
                <w:lang w:val="en-GB"/>
              </w:rPr>
            </w:pPr>
            <w:r>
              <w:rPr>
                <w:rFonts w:hint="eastAsia" w:ascii="宋体" w:hAnsi="宋体" w:eastAsia="宋体"/>
                <w:color w:val="auto"/>
                <w:sz w:val="21"/>
                <w:szCs w:val="21"/>
                <w:lang w:val="en-GB"/>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98"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4.13</w:t>
            </w:r>
          </w:p>
        </w:tc>
        <w:tc>
          <w:tcPr>
            <w:tcW w:w="1712" w:type="pct"/>
            <w:vAlign w:val="center"/>
          </w:tcPr>
          <w:p>
            <w:pPr>
              <w:spacing w:line="360" w:lineRule="exact"/>
              <w:rPr>
                <w:rFonts w:ascii="宋体" w:hAnsi="宋体" w:eastAsia="宋体"/>
                <w:color w:val="auto"/>
                <w:sz w:val="21"/>
                <w:szCs w:val="21"/>
                <w:lang w:val="en-GB"/>
              </w:rPr>
            </w:pPr>
            <w:r>
              <w:rPr>
                <w:rFonts w:hint="eastAsia" w:ascii="宋体" w:hAnsi="宋体" w:eastAsia="宋体"/>
                <w:color w:val="auto"/>
                <w:sz w:val="21"/>
                <w:szCs w:val="21"/>
              </w:rPr>
              <w:t>对不易搬运的物料，应设置或采用便于吊装及搬运的装置或设施。</w:t>
            </w:r>
          </w:p>
        </w:tc>
        <w:tc>
          <w:tcPr>
            <w:tcW w:w="1058" w:type="pct"/>
            <w:vAlign w:val="center"/>
          </w:tcPr>
          <w:p>
            <w:pPr>
              <w:spacing w:line="360" w:lineRule="exact"/>
              <w:rPr>
                <w:rFonts w:ascii="宋体" w:hAnsi="宋体" w:eastAsia="宋体"/>
                <w:color w:val="auto"/>
                <w:sz w:val="21"/>
                <w:szCs w:val="21"/>
                <w:lang w:val="en-GB"/>
              </w:rPr>
            </w:pPr>
            <w:r>
              <w:rPr>
                <w:rFonts w:hint="eastAsia" w:ascii="宋体" w:hAnsi="宋体" w:eastAsia="宋体"/>
                <w:color w:val="auto"/>
                <w:sz w:val="21"/>
                <w:szCs w:val="21"/>
                <w:lang w:val="en-GB"/>
              </w:rPr>
              <w:t>《生产过程安全卫生要求总则》GB/T12801－2008</w:t>
            </w:r>
          </w:p>
          <w:p>
            <w:pPr>
              <w:spacing w:line="360" w:lineRule="exact"/>
              <w:rPr>
                <w:rFonts w:ascii="宋体" w:hAnsi="宋体" w:eastAsia="宋体"/>
                <w:color w:val="auto"/>
                <w:sz w:val="21"/>
                <w:szCs w:val="21"/>
                <w:lang w:val="en-GB"/>
              </w:rPr>
            </w:pPr>
            <w:r>
              <w:rPr>
                <w:rFonts w:hint="eastAsia" w:ascii="宋体" w:hAnsi="宋体" w:eastAsia="宋体"/>
                <w:color w:val="auto"/>
                <w:sz w:val="21"/>
                <w:szCs w:val="21"/>
                <w:lang w:val="en-GB"/>
              </w:rPr>
              <w:t>第5.5.2条</w:t>
            </w:r>
          </w:p>
        </w:tc>
        <w:tc>
          <w:tcPr>
            <w:tcW w:w="1428" w:type="pct"/>
            <w:vAlign w:val="center"/>
          </w:tcPr>
          <w:p>
            <w:pPr>
              <w:spacing w:line="360" w:lineRule="exact"/>
              <w:rPr>
                <w:rFonts w:ascii="宋体" w:hAnsi="宋体" w:eastAsia="宋体"/>
                <w:color w:val="auto"/>
                <w:sz w:val="21"/>
                <w:szCs w:val="21"/>
                <w:lang w:val="en-GB"/>
              </w:rPr>
            </w:pPr>
            <w:r>
              <w:rPr>
                <w:rFonts w:hint="eastAsia" w:ascii="宋体" w:hAnsi="宋体" w:eastAsia="宋体"/>
                <w:color w:val="auto"/>
                <w:sz w:val="21"/>
                <w:szCs w:val="21"/>
                <w:lang w:val="en-GB"/>
              </w:rPr>
              <w:t>该企业生产过程中不易搬运的物料采用手动叉车搬运。</w:t>
            </w:r>
          </w:p>
        </w:tc>
        <w:tc>
          <w:tcPr>
            <w:tcW w:w="404" w:type="pct"/>
            <w:vAlign w:val="center"/>
          </w:tcPr>
          <w:p>
            <w:pPr>
              <w:spacing w:line="360" w:lineRule="exact"/>
              <w:jc w:val="center"/>
              <w:rPr>
                <w:rFonts w:ascii="宋体" w:hAnsi="宋体" w:eastAsia="宋体"/>
                <w:color w:val="auto"/>
                <w:sz w:val="21"/>
                <w:szCs w:val="21"/>
                <w:lang w:val="en-GB"/>
              </w:rPr>
            </w:pPr>
            <w:r>
              <w:rPr>
                <w:rFonts w:hint="eastAsia" w:ascii="宋体" w:hAnsi="宋体" w:eastAsia="宋体"/>
                <w:color w:val="auto"/>
                <w:sz w:val="21"/>
                <w:szCs w:val="21"/>
                <w:lang w:val="en-GB"/>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98"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4.14</w:t>
            </w:r>
          </w:p>
        </w:tc>
        <w:tc>
          <w:tcPr>
            <w:tcW w:w="1712" w:type="pct"/>
            <w:vAlign w:val="center"/>
          </w:tcPr>
          <w:p>
            <w:pPr>
              <w:spacing w:line="360" w:lineRule="exact"/>
              <w:rPr>
                <w:rFonts w:ascii="宋体" w:hAnsi="宋体" w:eastAsia="宋体"/>
                <w:color w:val="auto"/>
                <w:sz w:val="21"/>
                <w:szCs w:val="21"/>
                <w:lang w:val="en-GB"/>
              </w:rPr>
            </w:pPr>
            <w:r>
              <w:rPr>
                <w:rFonts w:hint="eastAsia" w:ascii="宋体" w:hAnsi="宋体" w:eastAsia="宋体"/>
                <w:color w:val="auto"/>
                <w:sz w:val="21"/>
                <w:szCs w:val="21"/>
              </w:rPr>
              <w:t>设备、设施、管线、电缆配置和作业区物料不应对人员、生产和运输造成有害影响。</w:t>
            </w:r>
          </w:p>
        </w:tc>
        <w:tc>
          <w:tcPr>
            <w:tcW w:w="1058" w:type="pct"/>
            <w:vAlign w:val="center"/>
          </w:tcPr>
          <w:p>
            <w:pPr>
              <w:spacing w:line="360" w:lineRule="exact"/>
              <w:rPr>
                <w:rFonts w:ascii="宋体" w:hAnsi="宋体" w:eastAsia="宋体"/>
                <w:color w:val="auto"/>
                <w:sz w:val="21"/>
                <w:szCs w:val="21"/>
                <w:lang w:val="en-GB"/>
              </w:rPr>
            </w:pPr>
            <w:r>
              <w:rPr>
                <w:rFonts w:hint="eastAsia" w:ascii="宋体" w:hAnsi="宋体" w:eastAsia="宋体"/>
                <w:color w:val="auto"/>
                <w:sz w:val="21"/>
                <w:szCs w:val="21"/>
                <w:lang w:val="en-GB"/>
              </w:rPr>
              <w:t>《生产过程安全卫生要求总则》GB/T12801－2008</w:t>
            </w:r>
          </w:p>
          <w:p>
            <w:pPr>
              <w:spacing w:line="360" w:lineRule="exact"/>
              <w:rPr>
                <w:rFonts w:ascii="宋体" w:hAnsi="宋体" w:eastAsia="宋体"/>
                <w:color w:val="auto"/>
                <w:sz w:val="21"/>
                <w:szCs w:val="21"/>
                <w:lang w:val="en-GB"/>
              </w:rPr>
            </w:pPr>
            <w:r>
              <w:rPr>
                <w:rFonts w:hint="eastAsia" w:ascii="宋体" w:hAnsi="宋体" w:eastAsia="宋体"/>
                <w:color w:val="auto"/>
                <w:sz w:val="21"/>
                <w:szCs w:val="21"/>
                <w:lang w:val="en-GB"/>
              </w:rPr>
              <w:t>第5.7.1条</w:t>
            </w:r>
          </w:p>
        </w:tc>
        <w:tc>
          <w:tcPr>
            <w:tcW w:w="1428" w:type="pct"/>
            <w:vAlign w:val="center"/>
          </w:tcPr>
          <w:p>
            <w:pPr>
              <w:spacing w:line="360" w:lineRule="exact"/>
              <w:rPr>
                <w:rFonts w:ascii="宋体" w:hAnsi="宋体" w:eastAsia="宋体"/>
                <w:color w:val="auto"/>
                <w:sz w:val="21"/>
                <w:szCs w:val="21"/>
                <w:lang w:val="en-GB"/>
              </w:rPr>
            </w:pPr>
            <w:r>
              <w:rPr>
                <w:rFonts w:hint="eastAsia" w:ascii="宋体" w:hAnsi="宋体" w:eastAsia="宋体"/>
                <w:color w:val="auto"/>
                <w:sz w:val="21"/>
                <w:szCs w:val="21"/>
              </w:rPr>
              <w:t>设备、设施、电缆配置和作业区物料不会对作业人员造成影响。</w:t>
            </w:r>
          </w:p>
        </w:tc>
        <w:tc>
          <w:tcPr>
            <w:tcW w:w="404" w:type="pct"/>
            <w:vAlign w:val="center"/>
          </w:tcPr>
          <w:p>
            <w:pPr>
              <w:spacing w:line="360" w:lineRule="exact"/>
              <w:jc w:val="center"/>
              <w:rPr>
                <w:rFonts w:ascii="宋体" w:hAnsi="宋体" w:eastAsia="宋体"/>
                <w:color w:val="auto"/>
                <w:sz w:val="21"/>
                <w:szCs w:val="21"/>
                <w:lang w:val="en-GB"/>
              </w:rPr>
            </w:pPr>
            <w:r>
              <w:rPr>
                <w:rFonts w:hint="eastAsia" w:ascii="宋体" w:hAnsi="宋体" w:eastAsia="宋体"/>
                <w:color w:val="auto"/>
                <w:sz w:val="21"/>
                <w:szCs w:val="21"/>
                <w:lang w:val="en-GB"/>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98"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4.15</w:t>
            </w:r>
          </w:p>
        </w:tc>
        <w:tc>
          <w:tcPr>
            <w:tcW w:w="1712"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在设备、设施、管线上有发生坠落危险的部位，应配置便于人员操作、检查和维修的扶梯、平台、围栏和系挂装置等附属设施。</w:t>
            </w:r>
          </w:p>
        </w:tc>
        <w:tc>
          <w:tcPr>
            <w:tcW w:w="1058" w:type="pct"/>
            <w:vAlign w:val="center"/>
          </w:tcPr>
          <w:p>
            <w:pPr>
              <w:spacing w:line="360" w:lineRule="exact"/>
              <w:rPr>
                <w:rFonts w:ascii="宋体" w:hAnsi="宋体" w:eastAsia="宋体"/>
                <w:color w:val="auto"/>
                <w:sz w:val="21"/>
                <w:szCs w:val="21"/>
                <w:lang w:val="en-GB"/>
              </w:rPr>
            </w:pPr>
            <w:r>
              <w:rPr>
                <w:rFonts w:hint="eastAsia" w:ascii="宋体" w:hAnsi="宋体" w:eastAsia="宋体"/>
                <w:color w:val="auto"/>
                <w:sz w:val="21"/>
                <w:szCs w:val="21"/>
                <w:lang w:val="en-GB"/>
              </w:rPr>
              <w:t>《生产过程安全卫生要求总则》GB/T12801－2008</w:t>
            </w:r>
          </w:p>
          <w:p>
            <w:pPr>
              <w:spacing w:line="360" w:lineRule="exact"/>
              <w:rPr>
                <w:rFonts w:ascii="宋体" w:hAnsi="宋体" w:eastAsia="宋体"/>
                <w:color w:val="auto"/>
                <w:sz w:val="21"/>
                <w:szCs w:val="21"/>
                <w:lang w:val="en-GB"/>
              </w:rPr>
            </w:pPr>
            <w:r>
              <w:rPr>
                <w:rFonts w:hint="eastAsia" w:ascii="宋体" w:hAnsi="宋体" w:eastAsia="宋体"/>
                <w:color w:val="auto"/>
                <w:sz w:val="21"/>
                <w:szCs w:val="21"/>
                <w:lang w:val="en-GB"/>
              </w:rPr>
              <w:t>第5.7.1条</w:t>
            </w:r>
          </w:p>
        </w:tc>
        <w:tc>
          <w:tcPr>
            <w:tcW w:w="1428" w:type="pct"/>
            <w:vAlign w:val="center"/>
          </w:tcPr>
          <w:p>
            <w:pPr>
              <w:spacing w:line="360" w:lineRule="exact"/>
              <w:rPr>
                <w:rFonts w:ascii="宋体" w:hAnsi="宋体" w:eastAsia="宋体"/>
                <w:color w:val="auto"/>
                <w:sz w:val="21"/>
                <w:szCs w:val="21"/>
                <w:lang w:val="en-GB"/>
              </w:rPr>
            </w:pPr>
            <w:r>
              <w:rPr>
                <w:rFonts w:hint="eastAsia" w:ascii="宋体" w:hAnsi="宋体" w:eastAsia="宋体"/>
                <w:color w:val="auto"/>
                <w:sz w:val="21"/>
                <w:szCs w:val="21"/>
              </w:rPr>
              <w:t>配套的电机旋转部位设置了防护罩。</w:t>
            </w:r>
          </w:p>
        </w:tc>
        <w:tc>
          <w:tcPr>
            <w:tcW w:w="404" w:type="pct"/>
            <w:vAlign w:val="center"/>
          </w:tcPr>
          <w:p>
            <w:pPr>
              <w:spacing w:line="360" w:lineRule="exact"/>
              <w:jc w:val="center"/>
              <w:rPr>
                <w:rFonts w:ascii="宋体" w:hAnsi="宋体" w:eastAsia="宋体"/>
                <w:color w:val="auto"/>
                <w:sz w:val="21"/>
                <w:szCs w:val="21"/>
                <w:lang w:val="en-GB"/>
              </w:rPr>
            </w:pPr>
            <w:r>
              <w:rPr>
                <w:rFonts w:hint="eastAsia" w:ascii="宋体" w:hAnsi="宋体" w:eastAsia="宋体"/>
                <w:color w:val="auto"/>
                <w:sz w:val="21"/>
                <w:szCs w:val="21"/>
                <w:lang w:val="en-GB"/>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98"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4.16</w:t>
            </w:r>
          </w:p>
        </w:tc>
        <w:tc>
          <w:tcPr>
            <w:tcW w:w="1712" w:type="pct"/>
            <w:vAlign w:val="center"/>
          </w:tcPr>
          <w:p>
            <w:pPr>
              <w:spacing w:line="360" w:lineRule="exact"/>
              <w:rPr>
                <w:rFonts w:ascii="宋体" w:hAnsi="宋体" w:eastAsia="宋体"/>
                <w:color w:val="auto"/>
                <w:sz w:val="21"/>
                <w:szCs w:val="21"/>
                <w:lang w:val="en-GB"/>
              </w:rPr>
            </w:pPr>
            <w:r>
              <w:rPr>
                <w:rFonts w:hint="eastAsia" w:ascii="宋体" w:hAnsi="宋体" w:eastAsia="宋体"/>
                <w:color w:val="auto"/>
                <w:sz w:val="21"/>
                <w:szCs w:val="21"/>
              </w:rPr>
              <w:t>设备布置应便于操作和和人员的逃生。对易产生危害的设备应采取防护措施。</w:t>
            </w:r>
          </w:p>
        </w:tc>
        <w:tc>
          <w:tcPr>
            <w:tcW w:w="1058" w:type="pct"/>
            <w:vAlign w:val="center"/>
          </w:tcPr>
          <w:p>
            <w:pPr>
              <w:spacing w:line="360" w:lineRule="exact"/>
              <w:rPr>
                <w:rFonts w:ascii="宋体" w:hAnsi="宋体" w:eastAsia="宋体"/>
                <w:color w:val="auto"/>
                <w:sz w:val="21"/>
                <w:szCs w:val="21"/>
                <w:lang w:val="en-GB"/>
              </w:rPr>
            </w:pPr>
            <w:r>
              <w:rPr>
                <w:rFonts w:hint="eastAsia" w:ascii="宋体" w:hAnsi="宋体" w:eastAsia="宋体"/>
                <w:color w:val="auto"/>
                <w:sz w:val="21"/>
                <w:szCs w:val="21"/>
                <w:lang w:val="en-GB"/>
              </w:rPr>
              <w:t>《生产过程安全卫生要求总则》GB/T12801－2008</w:t>
            </w:r>
          </w:p>
          <w:p>
            <w:pPr>
              <w:spacing w:line="360" w:lineRule="exact"/>
              <w:rPr>
                <w:rFonts w:ascii="宋体" w:hAnsi="宋体" w:eastAsia="宋体"/>
                <w:color w:val="auto"/>
                <w:sz w:val="21"/>
                <w:szCs w:val="21"/>
                <w:lang w:val="en-GB"/>
              </w:rPr>
            </w:pPr>
            <w:r>
              <w:rPr>
                <w:rFonts w:hint="eastAsia" w:ascii="宋体" w:hAnsi="宋体" w:eastAsia="宋体"/>
                <w:color w:val="auto"/>
                <w:sz w:val="21"/>
                <w:szCs w:val="21"/>
                <w:lang w:val="en-GB"/>
              </w:rPr>
              <w:t>第5.7.2条</w:t>
            </w:r>
          </w:p>
        </w:tc>
        <w:tc>
          <w:tcPr>
            <w:tcW w:w="1428" w:type="pct"/>
            <w:vAlign w:val="center"/>
          </w:tcPr>
          <w:p>
            <w:pPr>
              <w:spacing w:line="360" w:lineRule="exact"/>
              <w:rPr>
                <w:rFonts w:ascii="宋体" w:hAnsi="宋体" w:eastAsia="宋体"/>
                <w:color w:val="auto"/>
                <w:sz w:val="21"/>
                <w:szCs w:val="21"/>
                <w:lang w:val="en-GB"/>
              </w:rPr>
            </w:pPr>
            <w:r>
              <w:rPr>
                <w:rFonts w:hint="eastAsia" w:ascii="宋体" w:hAnsi="宋体" w:eastAsia="宋体"/>
                <w:color w:val="auto"/>
                <w:sz w:val="21"/>
                <w:szCs w:val="21"/>
                <w:lang w:val="en-GB"/>
              </w:rPr>
              <w:t>设备布置考虑到了人员的操作和逃生。</w:t>
            </w:r>
          </w:p>
        </w:tc>
        <w:tc>
          <w:tcPr>
            <w:tcW w:w="404" w:type="pct"/>
            <w:vAlign w:val="center"/>
          </w:tcPr>
          <w:p>
            <w:pPr>
              <w:spacing w:line="360" w:lineRule="exact"/>
              <w:jc w:val="center"/>
              <w:rPr>
                <w:rFonts w:ascii="宋体" w:hAnsi="宋体" w:eastAsia="宋体"/>
                <w:color w:val="auto"/>
                <w:sz w:val="21"/>
                <w:szCs w:val="21"/>
                <w:lang w:val="en-GB"/>
              </w:rPr>
            </w:pPr>
            <w:r>
              <w:rPr>
                <w:rFonts w:hint="eastAsia" w:ascii="宋体" w:hAnsi="宋体" w:eastAsia="宋体"/>
                <w:color w:val="auto"/>
                <w:sz w:val="21"/>
                <w:szCs w:val="21"/>
                <w:lang w:val="en-GB"/>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98"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4.17</w:t>
            </w:r>
          </w:p>
        </w:tc>
        <w:tc>
          <w:tcPr>
            <w:tcW w:w="1712" w:type="pct"/>
            <w:vAlign w:val="center"/>
          </w:tcPr>
          <w:p>
            <w:pPr>
              <w:spacing w:line="360" w:lineRule="exact"/>
              <w:rPr>
                <w:rFonts w:ascii="宋体" w:hAnsi="宋体" w:eastAsia="宋体"/>
                <w:color w:val="auto"/>
                <w:sz w:val="21"/>
                <w:szCs w:val="21"/>
                <w:lang w:val="en-GB"/>
              </w:rPr>
            </w:pPr>
            <w:r>
              <w:rPr>
                <w:rFonts w:hint="eastAsia" w:ascii="宋体" w:hAnsi="宋体" w:eastAsia="宋体"/>
                <w:color w:val="auto"/>
                <w:sz w:val="21"/>
                <w:szCs w:val="21"/>
                <w:lang w:val="en-GB"/>
              </w:rPr>
              <w:t>作业区的布置应便于人员工作，能确保作业人员的安全</w:t>
            </w:r>
          </w:p>
        </w:tc>
        <w:tc>
          <w:tcPr>
            <w:tcW w:w="1058" w:type="pct"/>
            <w:vAlign w:val="center"/>
          </w:tcPr>
          <w:p>
            <w:pPr>
              <w:spacing w:line="360" w:lineRule="exact"/>
              <w:rPr>
                <w:rFonts w:ascii="宋体" w:hAnsi="宋体" w:eastAsia="宋体"/>
                <w:color w:val="auto"/>
                <w:sz w:val="21"/>
                <w:szCs w:val="21"/>
                <w:lang w:val="en-GB"/>
              </w:rPr>
            </w:pPr>
            <w:r>
              <w:rPr>
                <w:rFonts w:hint="eastAsia" w:ascii="宋体" w:hAnsi="宋体" w:eastAsia="宋体"/>
                <w:color w:val="auto"/>
                <w:sz w:val="21"/>
                <w:szCs w:val="21"/>
                <w:lang w:val="en-GB"/>
              </w:rPr>
              <w:t>《生产过程安全卫生要求总则》GB/T12801－2008</w:t>
            </w:r>
          </w:p>
          <w:p>
            <w:pPr>
              <w:spacing w:line="360" w:lineRule="exact"/>
              <w:rPr>
                <w:rFonts w:ascii="宋体" w:hAnsi="宋体" w:eastAsia="宋体"/>
                <w:color w:val="auto"/>
                <w:sz w:val="21"/>
                <w:szCs w:val="21"/>
                <w:lang w:val="en-GB"/>
              </w:rPr>
            </w:pPr>
            <w:r>
              <w:rPr>
                <w:rFonts w:hint="eastAsia" w:ascii="宋体" w:hAnsi="宋体" w:eastAsia="宋体"/>
                <w:color w:val="auto"/>
                <w:sz w:val="21"/>
                <w:szCs w:val="21"/>
                <w:lang w:val="en-GB"/>
              </w:rPr>
              <w:t>第5.7.5条</w:t>
            </w:r>
          </w:p>
        </w:tc>
        <w:tc>
          <w:tcPr>
            <w:tcW w:w="1428" w:type="pct"/>
            <w:vAlign w:val="center"/>
          </w:tcPr>
          <w:p>
            <w:pPr>
              <w:spacing w:line="360" w:lineRule="exact"/>
              <w:rPr>
                <w:rFonts w:ascii="宋体" w:hAnsi="宋体" w:eastAsia="宋体"/>
                <w:color w:val="auto"/>
                <w:sz w:val="21"/>
                <w:szCs w:val="21"/>
                <w:lang w:val="en-GB"/>
              </w:rPr>
            </w:pPr>
            <w:r>
              <w:rPr>
                <w:rFonts w:hint="eastAsia" w:ascii="宋体" w:hAnsi="宋体" w:eastAsia="宋体"/>
                <w:color w:val="auto"/>
                <w:sz w:val="21"/>
                <w:szCs w:val="21"/>
                <w:lang w:val="en-GB"/>
              </w:rPr>
              <w:t>作业区的布置便于人员作业。</w:t>
            </w:r>
          </w:p>
        </w:tc>
        <w:tc>
          <w:tcPr>
            <w:tcW w:w="404" w:type="pct"/>
            <w:vAlign w:val="center"/>
          </w:tcPr>
          <w:p>
            <w:pPr>
              <w:spacing w:line="360" w:lineRule="exact"/>
              <w:jc w:val="center"/>
              <w:rPr>
                <w:rFonts w:ascii="宋体" w:hAnsi="宋体" w:eastAsia="宋体"/>
                <w:color w:val="auto"/>
                <w:sz w:val="21"/>
                <w:szCs w:val="21"/>
                <w:lang w:val="en-GB"/>
              </w:rPr>
            </w:pPr>
            <w:r>
              <w:rPr>
                <w:rFonts w:hint="eastAsia" w:ascii="宋体" w:hAnsi="宋体" w:eastAsia="宋体"/>
                <w:color w:val="auto"/>
                <w:sz w:val="21"/>
                <w:szCs w:val="21"/>
                <w:lang w:val="en-GB"/>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98"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4.18</w:t>
            </w:r>
          </w:p>
        </w:tc>
        <w:tc>
          <w:tcPr>
            <w:tcW w:w="1712" w:type="pct"/>
            <w:vAlign w:val="center"/>
          </w:tcPr>
          <w:p>
            <w:pPr>
              <w:spacing w:line="360" w:lineRule="exact"/>
              <w:rPr>
                <w:rFonts w:ascii="宋体" w:hAnsi="宋体" w:eastAsia="宋体"/>
                <w:color w:val="auto"/>
                <w:sz w:val="21"/>
                <w:szCs w:val="21"/>
                <w:lang w:val="en-GB"/>
              </w:rPr>
            </w:pPr>
            <w:r>
              <w:rPr>
                <w:rFonts w:hint="eastAsia" w:ascii="宋体" w:hAnsi="宋体" w:eastAsia="宋体"/>
                <w:color w:val="auto"/>
                <w:sz w:val="21"/>
                <w:szCs w:val="21"/>
              </w:rPr>
              <w:t>生产物料、产品、剩余物料的贮存符合国家标准，确保生产过程的安全性。</w:t>
            </w:r>
          </w:p>
        </w:tc>
        <w:tc>
          <w:tcPr>
            <w:tcW w:w="1058" w:type="pct"/>
            <w:vAlign w:val="center"/>
          </w:tcPr>
          <w:p>
            <w:pPr>
              <w:spacing w:line="360" w:lineRule="exact"/>
              <w:rPr>
                <w:rFonts w:ascii="宋体" w:hAnsi="宋体" w:eastAsia="宋体"/>
                <w:color w:val="auto"/>
                <w:sz w:val="21"/>
                <w:szCs w:val="21"/>
                <w:lang w:val="en-GB"/>
              </w:rPr>
            </w:pPr>
            <w:r>
              <w:rPr>
                <w:rFonts w:hint="eastAsia" w:ascii="宋体" w:hAnsi="宋体" w:eastAsia="宋体"/>
                <w:color w:val="auto"/>
                <w:sz w:val="21"/>
                <w:szCs w:val="21"/>
                <w:lang w:val="en-GB"/>
              </w:rPr>
              <w:t>《生产过程安全卫生要求总则》GB/T12801－2008</w:t>
            </w:r>
          </w:p>
          <w:p>
            <w:pPr>
              <w:spacing w:line="360" w:lineRule="exact"/>
              <w:rPr>
                <w:rFonts w:ascii="宋体" w:hAnsi="宋体" w:eastAsia="宋体"/>
                <w:color w:val="auto"/>
                <w:sz w:val="21"/>
                <w:szCs w:val="21"/>
                <w:lang w:val="en-GB"/>
              </w:rPr>
            </w:pPr>
            <w:r>
              <w:rPr>
                <w:rFonts w:hint="eastAsia" w:ascii="宋体" w:hAnsi="宋体" w:eastAsia="宋体"/>
                <w:color w:val="auto"/>
                <w:sz w:val="21"/>
                <w:szCs w:val="21"/>
                <w:lang w:val="en-GB"/>
              </w:rPr>
              <w:t>第5.8.1条</w:t>
            </w:r>
          </w:p>
        </w:tc>
        <w:tc>
          <w:tcPr>
            <w:tcW w:w="1428" w:type="pct"/>
            <w:vAlign w:val="center"/>
          </w:tcPr>
          <w:p>
            <w:pPr>
              <w:spacing w:line="360" w:lineRule="exact"/>
              <w:rPr>
                <w:rFonts w:ascii="宋体" w:hAnsi="宋体" w:eastAsia="宋体"/>
                <w:color w:val="auto"/>
                <w:sz w:val="21"/>
                <w:szCs w:val="21"/>
                <w:lang w:val="en-GB"/>
              </w:rPr>
            </w:pPr>
            <w:r>
              <w:rPr>
                <w:rFonts w:hint="eastAsia" w:ascii="宋体" w:hAnsi="宋体" w:eastAsia="宋体"/>
                <w:color w:val="auto"/>
                <w:sz w:val="21"/>
                <w:szCs w:val="21"/>
                <w:lang w:val="en-GB"/>
              </w:rPr>
              <w:t>车间内生产物料、产品、剩余物料的贮存符合要求。</w:t>
            </w:r>
          </w:p>
        </w:tc>
        <w:tc>
          <w:tcPr>
            <w:tcW w:w="404" w:type="pct"/>
            <w:vAlign w:val="center"/>
          </w:tcPr>
          <w:p>
            <w:pPr>
              <w:spacing w:line="360" w:lineRule="exact"/>
              <w:jc w:val="center"/>
              <w:rPr>
                <w:rFonts w:ascii="宋体" w:hAnsi="宋体" w:eastAsia="宋体"/>
                <w:color w:val="auto"/>
                <w:sz w:val="21"/>
                <w:szCs w:val="21"/>
                <w:lang w:val="en-GB"/>
              </w:rPr>
            </w:pPr>
            <w:r>
              <w:rPr>
                <w:rFonts w:hint="eastAsia" w:ascii="宋体" w:hAnsi="宋体" w:eastAsia="宋体"/>
                <w:color w:val="auto"/>
                <w:sz w:val="21"/>
                <w:szCs w:val="21"/>
                <w:lang w:val="en-GB"/>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98"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4.19</w:t>
            </w:r>
          </w:p>
        </w:tc>
        <w:tc>
          <w:tcPr>
            <w:tcW w:w="1712"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生产物料、产品、剩余物料的运输应满足：a运输管道和容器不应受物料侵蚀，管道和包装容器应符合有关标准。b大件物料，应采用机械吊装输送，并掌握车辆，道路环境等情况，以确保输送安全；c输送危险品时，必须符合配装规定；d对输送管线、设备和工具应定期进行维护、保养和检修；e．装卸、运输方法应符合GB4387和有关标准规定，或根据作业特点和环境条件，编写专门的装卸作业安全规程。</w:t>
            </w:r>
          </w:p>
        </w:tc>
        <w:tc>
          <w:tcPr>
            <w:tcW w:w="1058" w:type="pct"/>
            <w:vAlign w:val="center"/>
          </w:tcPr>
          <w:p>
            <w:pPr>
              <w:spacing w:line="360" w:lineRule="exact"/>
              <w:rPr>
                <w:rFonts w:ascii="宋体" w:hAnsi="宋体" w:eastAsia="宋体"/>
                <w:color w:val="auto"/>
                <w:sz w:val="21"/>
                <w:szCs w:val="21"/>
                <w:lang w:val="en-GB"/>
              </w:rPr>
            </w:pPr>
            <w:r>
              <w:rPr>
                <w:rFonts w:hint="eastAsia" w:ascii="宋体" w:hAnsi="宋体" w:eastAsia="宋体"/>
                <w:color w:val="auto"/>
                <w:sz w:val="21"/>
                <w:szCs w:val="21"/>
                <w:lang w:val="en-GB"/>
              </w:rPr>
              <w:t>《生产过程安全卫生要求总则》GB/T12801－2008</w:t>
            </w:r>
          </w:p>
          <w:p>
            <w:pPr>
              <w:spacing w:line="360" w:lineRule="exact"/>
              <w:rPr>
                <w:rFonts w:ascii="宋体" w:hAnsi="宋体" w:eastAsia="宋体"/>
                <w:color w:val="auto"/>
                <w:sz w:val="21"/>
                <w:szCs w:val="21"/>
                <w:lang w:val="en-GB"/>
              </w:rPr>
            </w:pPr>
            <w:r>
              <w:rPr>
                <w:rFonts w:hint="eastAsia" w:ascii="宋体" w:hAnsi="宋体" w:eastAsia="宋体"/>
                <w:color w:val="auto"/>
                <w:sz w:val="21"/>
                <w:szCs w:val="21"/>
                <w:lang w:val="en-GB"/>
              </w:rPr>
              <w:t>第5.8.2条</w:t>
            </w:r>
          </w:p>
        </w:tc>
        <w:tc>
          <w:tcPr>
            <w:tcW w:w="1428" w:type="pct"/>
            <w:vAlign w:val="center"/>
          </w:tcPr>
          <w:p>
            <w:pPr>
              <w:spacing w:line="360" w:lineRule="exact"/>
              <w:rPr>
                <w:rFonts w:ascii="宋体" w:hAnsi="宋体" w:eastAsia="宋体"/>
                <w:color w:val="auto"/>
                <w:sz w:val="21"/>
                <w:szCs w:val="21"/>
                <w:lang w:val="en-GB"/>
              </w:rPr>
            </w:pPr>
            <w:r>
              <w:rPr>
                <w:rFonts w:hint="eastAsia" w:ascii="宋体" w:hAnsi="宋体" w:eastAsia="宋体"/>
                <w:color w:val="auto"/>
                <w:sz w:val="21"/>
                <w:szCs w:val="21"/>
                <w:lang w:val="en-GB"/>
              </w:rPr>
              <w:t>该企业原料、成品均采用包装桶，装卸作业有相关的操作规程。</w:t>
            </w:r>
          </w:p>
        </w:tc>
        <w:tc>
          <w:tcPr>
            <w:tcW w:w="404" w:type="pct"/>
            <w:vAlign w:val="center"/>
          </w:tcPr>
          <w:p>
            <w:pPr>
              <w:spacing w:line="360" w:lineRule="exact"/>
              <w:jc w:val="center"/>
              <w:rPr>
                <w:rFonts w:ascii="宋体" w:hAnsi="宋体" w:eastAsia="宋体"/>
                <w:color w:val="auto"/>
                <w:sz w:val="21"/>
                <w:szCs w:val="21"/>
                <w:lang w:val="en-GB"/>
              </w:rPr>
            </w:pPr>
            <w:r>
              <w:rPr>
                <w:rFonts w:hint="eastAsia" w:ascii="宋体" w:hAnsi="宋体" w:eastAsia="宋体"/>
                <w:color w:val="auto"/>
                <w:sz w:val="21"/>
                <w:szCs w:val="21"/>
                <w:lang w:val="en-GB"/>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98"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4.20</w:t>
            </w:r>
          </w:p>
        </w:tc>
        <w:tc>
          <w:tcPr>
            <w:tcW w:w="1712" w:type="pct"/>
            <w:vAlign w:val="center"/>
          </w:tcPr>
          <w:p>
            <w:pPr>
              <w:spacing w:line="360" w:lineRule="exact"/>
              <w:rPr>
                <w:rFonts w:ascii="宋体" w:hAnsi="宋体" w:eastAsia="宋体"/>
                <w:color w:val="auto"/>
                <w:sz w:val="21"/>
                <w:szCs w:val="21"/>
                <w:lang w:val="en-GB"/>
              </w:rPr>
            </w:pPr>
            <w:r>
              <w:rPr>
                <w:rFonts w:hint="eastAsia" w:ascii="宋体" w:hAnsi="宋体" w:eastAsia="宋体"/>
                <w:color w:val="auto"/>
                <w:sz w:val="21"/>
                <w:szCs w:val="21"/>
              </w:rPr>
              <w:t>参加生产的各类人员，均需进行职业适应性选择，其心理、生理条件应满足工作性质要求；且参加生产的人员均需进行体检，其健康状况必须符合工作性质要求。</w:t>
            </w:r>
          </w:p>
        </w:tc>
        <w:tc>
          <w:tcPr>
            <w:tcW w:w="1058" w:type="pct"/>
            <w:vAlign w:val="center"/>
          </w:tcPr>
          <w:p>
            <w:pPr>
              <w:spacing w:line="360" w:lineRule="exact"/>
              <w:rPr>
                <w:rFonts w:ascii="宋体" w:hAnsi="宋体" w:eastAsia="宋体"/>
                <w:color w:val="auto"/>
                <w:sz w:val="21"/>
                <w:szCs w:val="21"/>
                <w:lang w:val="en-GB"/>
              </w:rPr>
            </w:pPr>
            <w:r>
              <w:rPr>
                <w:rFonts w:hint="eastAsia" w:ascii="宋体" w:hAnsi="宋体" w:eastAsia="宋体"/>
                <w:color w:val="auto"/>
                <w:sz w:val="21"/>
                <w:szCs w:val="21"/>
                <w:lang w:val="en-GB"/>
              </w:rPr>
              <w:t>《生产过程安全卫生要求总则》GB/T12801－2008</w:t>
            </w:r>
          </w:p>
          <w:p>
            <w:pPr>
              <w:spacing w:line="360" w:lineRule="exact"/>
              <w:rPr>
                <w:rFonts w:ascii="宋体" w:hAnsi="宋体" w:eastAsia="宋体"/>
                <w:color w:val="auto"/>
                <w:sz w:val="21"/>
                <w:szCs w:val="21"/>
                <w:lang w:val="en-GB"/>
              </w:rPr>
            </w:pPr>
            <w:r>
              <w:rPr>
                <w:rFonts w:hint="eastAsia" w:ascii="宋体" w:hAnsi="宋体" w:eastAsia="宋体"/>
                <w:color w:val="auto"/>
                <w:sz w:val="21"/>
                <w:szCs w:val="21"/>
                <w:lang w:val="en-GB"/>
              </w:rPr>
              <w:t>第5.9.1条</w:t>
            </w:r>
          </w:p>
        </w:tc>
        <w:tc>
          <w:tcPr>
            <w:tcW w:w="1428" w:type="pct"/>
            <w:vAlign w:val="center"/>
          </w:tcPr>
          <w:p>
            <w:pPr>
              <w:spacing w:line="360" w:lineRule="exact"/>
              <w:rPr>
                <w:rFonts w:ascii="宋体" w:hAnsi="宋体" w:eastAsia="宋体"/>
                <w:color w:val="auto"/>
                <w:sz w:val="21"/>
                <w:szCs w:val="21"/>
                <w:lang w:val="en-GB"/>
              </w:rPr>
            </w:pPr>
            <w:r>
              <w:rPr>
                <w:rFonts w:hint="eastAsia" w:ascii="宋体" w:hAnsi="宋体" w:eastAsia="宋体"/>
                <w:color w:val="auto"/>
                <w:sz w:val="21"/>
                <w:szCs w:val="21"/>
                <w:lang w:val="en-GB"/>
              </w:rPr>
              <w:t>生产作业人员经过企业培训以及相关检查，没有禁忌的作业人员，符合要求。</w:t>
            </w:r>
          </w:p>
        </w:tc>
        <w:tc>
          <w:tcPr>
            <w:tcW w:w="404" w:type="pct"/>
            <w:vAlign w:val="center"/>
          </w:tcPr>
          <w:p>
            <w:pPr>
              <w:spacing w:line="360" w:lineRule="exact"/>
              <w:jc w:val="center"/>
              <w:rPr>
                <w:rFonts w:ascii="宋体" w:hAnsi="宋体" w:eastAsia="宋体"/>
                <w:color w:val="auto"/>
                <w:sz w:val="21"/>
                <w:szCs w:val="21"/>
                <w:lang w:val="en-GB"/>
              </w:rPr>
            </w:pPr>
            <w:r>
              <w:rPr>
                <w:rFonts w:hint="eastAsia" w:ascii="宋体" w:hAnsi="宋体" w:eastAsia="宋体"/>
                <w:color w:val="auto"/>
                <w:sz w:val="21"/>
                <w:szCs w:val="21"/>
                <w:lang w:val="en-GB"/>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98"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4.21</w:t>
            </w:r>
          </w:p>
        </w:tc>
        <w:tc>
          <w:tcPr>
            <w:tcW w:w="1712" w:type="pct"/>
            <w:vAlign w:val="center"/>
          </w:tcPr>
          <w:p>
            <w:pPr>
              <w:spacing w:line="360" w:lineRule="exact"/>
              <w:rPr>
                <w:rFonts w:ascii="宋体" w:hAnsi="宋体" w:eastAsia="宋体"/>
                <w:color w:val="auto"/>
                <w:sz w:val="21"/>
                <w:szCs w:val="21"/>
                <w:lang w:val="en-GB"/>
              </w:rPr>
            </w:pPr>
            <w:r>
              <w:rPr>
                <w:rFonts w:hint="eastAsia" w:ascii="宋体" w:hAnsi="宋体" w:eastAsia="宋体"/>
                <w:color w:val="auto"/>
                <w:sz w:val="21"/>
                <w:szCs w:val="21"/>
                <w:lang w:val="en-GB"/>
              </w:rPr>
              <w:t>生产人员除了掌握必须的技能外，还应了解生产过程中的各种危险有害因素，了解各种消防器材、个体防护和应急措施。</w:t>
            </w:r>
          </w:p>
        </w:tc>
        <w:tc>
          <w:tcPr>
            <w:tcW w:w="1058" w:type="pct"/>
            <w:vAlign w:val="center"/>
          </w:tcPr>
          <w:p>
            <w:pPr>
              <w:spacing w:line="360" w:lineRule="exact"/>
              <w:rPr>
                <w:rFonts w:ascii="宋体" w:hAnsi="宋体" w:eastAsia="宋体"/>
                <w:color w:val="auto"/>
                <w:sz w:val="21"/>
                <w:szCs w:val="21"/>
                <w:lang w:val="en-GB"/>
              </w:rPr>
            </w:pPr>
            <w:r>
              <w:rPr>
                <w:rFonts w:hint="eastAsia" w:ascii="宋体" w:hAnsi="宋体" w:eastAsia="宋体"/>
                <w:color w:val="auto"/>
                <w:sz w:val="21"/>
                <w:szCs w:val="21"/>
                <w:lang w:val="en-GB"/>
              </w:rPr>
              <w:t>《生产过程安全卫生要求总则》GB/T12801－2008</w:t>
            </w:r>
          </w:p>
          <w:p>
            <w:pPr>
              <w:spacing w:line="360" w:lineRule="exact"/>
              <w:rPr>
                <w:rFonts w:ascii="宋体" w:hAnsi="宋体" w:eastAsia="宋体"/>
                <w:color w:val="auto"/>
                <w:sz w:val="21"/>
                <w:szCs w:val="21"/>
                <w:lang w:val="en-GB"/>
              </w:rPr>
            </w:pPr>
            <w:r>
              <w:rPr>
                <w:rFonts w:hint="eastAsia" w:ascii="宋体" w:hAnsi="宋体" w:eastAsia="宋体"/>
                <w:color w:val="auto"/>
                <w:sz w:val="21"/>
                <w:szCs w:val="21"/>
                <w:lang w:val="en-GB"/>
              </w:rPr>
              <w:t>第5.9.2条</w:t>
            </w:r>
          </w:p>
        </w:tc>
        <w:tc>
          <w:tcPr>
            <w:tcW w:w="1428" w:type="pct"/>
            <w:vAlign w:val="center"/>
          </w:tcPr>
          <w:p>
            <w:pPr>
              <w:spacing w:line="360" w:lineRule="exact"/>
              <w:rPr>
                <w:rFonts w:ascii="宋体" w:hAnsi="宋体" w:eastAsia="宋体"/>
                <w:color w:val="auto"/>
                <w:sz w:val="21"/>
                <w:szCs w:val="21"/>
                <w:lang w:val="en-GB"/>
              </w:rPr>
            </w:pPr>
            <w:r>
              <w:rPr>
                <w:rFonts w:hint="eastAsia" w:ascii="宋体" w:hAnsi="宋体" w:eastAsia="宋体"/>
                <w:color w:val="auto"/>
                <w:sz w:val="21"/>
                <w:szCs w:val="21"/>
                <w:lang w:val="en-GB"/>
              </w:rPr>
              <w:t>公司定期对作业人员进行培训，使工人能够了解相关内容。</w:t>
            </w:r>
          </w:p>
        </w:tc>
        <w:tc>
          <w:tcPr>
            <w:tcW w:w="404"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98"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4.22</w:t>
            </w:r>
          </w:p>
        </w:tc>
        <w:tc>
          <w:tcPr>
            <w:tcW w:w="1712" w:type="pct"/>
            <w:vAlign w:val="center"/>
          </w:tcPr>
          <w:p>
            <w:pPr>
              <w:spacing w:line="360" w:lineRule="exact"/>
              <w:rPr>
                <w:rFonts w:ascii="宋体" w:hAnsi="宋体" w:eastAsia="宋体"/>
                <w:color w:val="auto"/>
                <w:sz w:val="21"/>
                <w:szCs w:val="21"/>
                <w:lang w:val="en-GB"/>
              </w:rPr>
            </w:pPr>
            <w:r>
              <w:rPr>
                <w:rFonts w:hint="eastAsia" w:ascii="宋体" w:hAnsi="宋体" w:eastAsia="宋体"/>
                <w:color w:val="auto"/>
                <w:sz w:val="21"/>
                <w:szCs w:val="21"/>
              </w:rPr>
              <w:t>生产过程中的防护用品应满足岗位、人员要求，要保证防护用品的质量和性能，对用过的防护用品，应制订严格的管理制度，统一洗涤、消毒、保管和销毁。</w:t>
            </w:r>
          </w:p>
        </w:tc>
        <w:tc>
          <w:tcPr>
            <w:tcW w:w="1058" w:type="pct"/>
            <w:vAlign w:val="center"/>
          </w:tcPr>
          <w:p>
            <w:pPr>
              <w:spacing w:line="360" w:lineRule="exact"/>
              <w:rPr>
                <w:rFonts w:ascii="宋体" w:hAnsi="宋体" w:eastAsia="宋体"/>
                <w:color w:val="auto"/>
                <w:sz w:val="21"/>
                <w:szCs w:val="21"/>
                <w:lang w:val="en-GB"/>
              </w:rPr>
            </w:pPr>
            <w:r>
              <w:rPr>
                <w:rFonts w:hint="eastAsia" w:ascii="宋体" w:hAnsi="宋体" w:eastAsia="宋体"/>
                <w:color w:val="auto"/>
                <w:sz w:val="21"/>
                <w:szCs w:val="21"/>
                <w:lang w:val="en-GB"/>
              </w:rPr>
              <w:t>《生产过程安全卫生要求总则》GB/T12801－2008</w:t>
            </w:r>
          </w:p>
          <w:p>
            <w:pPr>
              <w:spacing w:line="360" w:lineRule="exact"/>
              <w:rPr>
                <w:rFonts w:ascii="宋体" w:hAnsi="宋体" w:eastAsia="宋体"/>
                <w:color w:val="auto"/>
                <w:sz w:val="21"/>
                <w:szCs w:val="21"/>
                <w:lang w:val="en-GB"/>
              </w:rPr>
            </w:pPr>
            <w:r>
              <w:rPr>
                <w:rFonts w:hint="eastAsia" w:ascii="宋体" w:hAnsi="宋体" w:eastAsia="宋体"/>
                <w:color w:val="auto"/>
                <w:sz w:val="21"/>
                <w:szCs w:val="21"/>
                <w:lang w:val="en-GB"/>
              </w:rPr>
              <w:t>第6.2条</w:t>
            </w:r>
          </w:p>
        </w:tc>
        <w:tc>
          <w:tcPr>
            <w:tcW w:w="1428" w:type="pct"/>
            <w:vAlign w:val="center"/>
          </w:tcPr>
          <w:p>
            <w:pPr>
              <w:spacing w:line="360" w:lineRule="exact"/>
              <w:rPr>
                <w:rFonts w:ascii="宋体" w:hAnsi="宋体" w:eastAsia="宋体"/>
                <w:color w:val="auto"/>
                <w:sz w:val="21"/>
                <w:szCs w:val="21"/>
                <w:lang w:val="en-GB"/>
              </w:rPr>
            </w:pPr>
            <w:r>
              <w:rPr>
                <w:rFonts w:hint="eastAsia" w:ascii="宋体" w:hAnsi="宋体" w:eastAsia="宋体"/>
                <w:color w:val="auto"/>
                <w:sz w:val="21"/>
                <w:szCs w:val="21"/>
                <w:lang w:val="en-GB"/>
              </w:rPr>
              <w:t>生产过程的防护用品按照不同的岗位配置，满足要求，制订了管理制度。</w:t>
            </w:r>
          </w:p>
        </w:tc>
        <w:tc>
          <w:tcPr>
            <w:tcW w:w="404" w:type="pct"/>
            <w:vAlign w:val="center"/>
          </w:tcPr>
          <w:p>
            <w:pPr>
              <w:spacing w:line="360" w:lineRule="exact"/>
              <w:jc w:val="center"/>
              <w:rPr>
                <w:rFonts w:ascii="宋体" w:hAnsi="宋体" w:eastAsia="宋体"/>
                <w:color w:val="auto"/>
                <w:sz w:val="21"/>
                <w:szCs w:val="21"/>
                <w:lang w:val="en-GB"/>
              </w:rPr>
            </w:pPr>
            <w:r>
              <w:rPr>
                <w:rFonts w:hint="eastAsia" w:ascii="宋体" w:hAnsi="宋体" w:eastAsia="宋体"/>
                <w:color w:val="auto"/>
                <w:sz w:val="21"/>
                <w:szCs w:val="21"/>
                <w:lang w:val="en-GB"/>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98"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4.23</w:t>
            </w:r>
          </w:p>
        </w:tc>
        <w:tc>
          <w:tcPr>
            <w:tcW w:w="1712" w:type="pct"/>
            <w:vAlign w:val="center"/>
          </w:tcPr>
          <w:p>
            <w:pPr>
              <w:spacing w:line="360" w:lineRule="exact"/>
              <w:rPr>
                <w:rFonts w:ascii="宋体" w:hAnsi="宋体" w:eastAsia="宋体"/>
                <w:color w:val="auto"/>
                <w:sz w:val="21"/>
                <w:szCs w:val="21"/>
                <w:lang w:val="en-GB"/>
              </w:rPr>
            </w:pPr>
            <w:r>
              <w:rPr>
                <w:rFonts w:hint="eastAsia" w:ascii="宋体" w:hAnsi="宋体" w:eastAsia="宋体"/>
                <w:color w:val="auto"/>
                <w:sz w:val="21"/>
                <w:szCs w:val="21"/>
              </w:rPr>
              <w:t>具有火灾爆炸危险的生产过程，应综合考虑防火防爆措施和报警系统，合理选择和配备消防设施。</w:t>
            </w:r>
          </w:p>
        </w:tc>
        <w:tc>
          <w:tcPr>
            <w:tcW w:w="1058" w:type="pct"/>
            <w:vAlign w:val="center"/>
          </w:tcPr>
          <w:p>
            <w:pPr>
              <w:spacing w:line="360" w:lineRule="exact"/>
              <w:rPr>
                <w:rFonts w:ascii="宋体" w:hAnsi="宋体" w:eastAsia="宋体"/>
                <w:color w:val="auto"/>
                <w:sz w:val="21"/>
                <w:szCs w:val="21"/>
                <w:lang w:val="en-GB"/>
              </w:rPr>
            </w:pPr>
            <w:r>
              <w:rPr>
                <w:rFonts w:hint="eastAsia" w:ascii="宋体" w:hAnsi="宋体" w:eastAsia="宋体"/>
                <w:color w:val="auto"/>
                <w:sz w:val="21"/>
                <w:szCs w:val="21"/>
                <w:lang w:val="en-GB"/>
              </w:rPr>
              <w:t>《生产过程安全卫生要求总则》GB/T12801－2008</w:t>
            </w:r>
          </w:p>
          <w:p>
            <w:pPr>
              <w:spacing w:line="360" w:lineRule="exact"/>
              <w:rPr>
                <w:rFonts w:ascii="宋体" w:hAnsi="宋体" w:eastAsia="宋体"/>
                <w:color w:val="auto"/>
                <w:sz w:val="21"/>
                <w:szCs w:val="21"/>
                <w:lang w:val="en-GB"/>
              </w:rPr>
            </w:pPr>
            <w:r>
              <w:rPr>
                <w:rFonts w:hint="eastAsia" w:ascii="宋体" w:hAnsi="宋体" w:eastAsia="宋体"/>
                <w:color w:val="auto"/>
                <w:sz w:val="21"/>
                <w:szCs w:val="21"/>
                <w:lang w:val="en-GB"/>
              </w:rPr>
              <w:t>第6.3.1条</w:t>
            </w:r>
          </w:p>
        </w:tc>
        <w:tc>
          <w:tcPr>
            <w:tcW w:w="1428" w:type="pct"/>
            <w:vAlign w:val="center"/>
          </w:tcPr>
          <w:p>
            <w:pPr>
              <w:spacing w:line="360" w:lineRule="exact"/>
              <w:rPr>
                <w:rFonts w:ascii="宋体" w:hAnsi="宋体" w:eastAsia="宋体"/>
                <w:color w:val="auto"/>
                <w:sz w:val="21"/>
                <w:szCs w:val="21"/>
                <w:lang w:val="en-GB"/>
              </w:rPr>
            </w:pPr>
            <w:r>
              <w:rPr>
                <w:rFonts w:hint="eastAsia" w:ascii="宋体" w:hAnsi="宋体" w:eastAsia="宋体"/>
                <w:color w:val="auto"/>
                <w:sz w:val="21"/>
                <w:szCs w:val="21"/>
                <w:lang w:val="en-GB"/>
              </w:rPr>
              <w:t>甲类车间、仓库设置了报警系统和灭火器等，消防设施配置符合要求。</w:t>
            </w:r>
          </w:p>
        </w:tc>
        <w:tc>
          <w:tcPr>
            <w:tcW w:w="404" w:type="pct"/>
            <w:vAlign w:val="center"/>
          </w:tcPr>
          <w:p>
            <w:pPr>
              <w:spacing w:line="360" w:lineRule="exact"/>
              <w:jc w:val="center"/>
              <w:rPr>
                <w:rFonts w:ascii="宋体" w:hAnsi="宋体" w:eastAsia="宋体"/>
                <w:color w:val="auto"/>
                <w:sz w:val="21"/>
                <w:szCs w:val="21"/>
                <w:lang w:val="en-GB"/>
              </w:rPr>
            </w:pPr>
            <w:r>
              <w:rPr>
                <w:rFonts w:hint="eastAsia" w:ascii="宋体" w:hAnsi="宋体" w:eastAsia="宋体"/>
                <w:color w:val="auto"/>
                <w:sz w:val="21"/>
                <w:szCs w:val="21"/>
                <w:lang w:val="en-GB"/>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98"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4.24</w:t>
            </w:r>
          </w:p>
        </w:tc>
        <w:tc>
          <w:tcPr>
            <w:tcW w:w="1712"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在有毒性危害的作业环境中，应设计必要的淋洗器、洗眼器等卫生防护设施，其服务半径小于15m。并根据作业特点和防护要求，配置事故柜、急救箱和个人防护用品。</w:t>
            </w:r>
          </w:p>
        </w:tc>
        <w:tc>
          <w:tcPr>
            <w:tcW w:w="1058"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《化工企业安全卫生设计规范》HG20571-2014</w:t>
            </w:r>
          </w:p>
          <w:p>
            <w:pPr>
              <w:spacing w:line="360" w:lineRule="exact"/>
              <w:rPr>
                <w:rFonts w:ascii="宋体" w:hAnsi="宋体" w:eastAsia="宋体"/>
                <w:color w:val="auto"/>
                <w:sz w:val="21"/>
                <w:szCs w:val="21"/>
              </w:rPr>
            </w:pPr>
            <w:r>
              <w:rPr>
                <w:rFonts w:hint="eastAsia" w:ascii="宋体" w:hAnsi="宋体" w:eastAsia="宋体"/>
                <w:color w:val="auto"/>
                <w:sz w:val="21"/>
                <w:szCs w:val="21"/>
              </w:rPr>
              <w:t>第5.1.6条</w:t>
            </w:r>
          </w:p>
        </w:tc>
        <w:tc>
          <w:tcPr>
            <w:tcW w:w="1428"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lang w:eastAsia="zh-CN"/>
              </w:rPr>
              <w:t>危险化学品仓库周边洗眼器不足</w:t>
            </w:r>
            <w:r>
              <w:rPr>
                <w:rFonts w:hint="eastAsia" w:ascii="宋体" w:hAnsi="宋体" w:eastAsia="宋体"/>
                <w:color w:val="auto"/>
                <w:sz w:val="21"/>
                <w:szCs w:val="21"/>
              </w:rPr>
              <w:t>。</w:t>
            </w:r>
          </w:p>
        </w:tc>
        <w:tc>
          <w:tcPr>
            <w:tcW w:w="404" w:type="pct"/>
            <w:vAlign w:val="center"/>
          </w:tcPr>
          <w:p>
            <w:pPr>
              <w:spacing w:line="360" w:lineRule="exact"/>
              <w:jc w:val="center"/>
              <w:rPr>
                <w:rFonts w:ascii="宋体" w:hAnsi="宋体" w:eastAsia="宋体"/>
                <w:color w:val="auto"/>
                <w:sz w:val="21"/>
                <w:szCs w:val="21"/>
                <w:lang w:val="en-GB"/>
              </w:rPr>
            </w:pPr>
            <w:r>
              <w:rPr>
                <w:rFonts w:hint="eastAsia" w:ascii="宋体" w:hAnsi="宋体" w:eastAsia="宋体"/>
                <w:color w:val="auto"/>
                <w:sz w:val="21"/>
                <w:szCs w:val="21"/>
                <w:lang w:val="en-GB" w:eastAsia="zh-CN"/>
              </w:rPr>
              <w:t>不</w:t>
            </w:r>
            <w:r>
              <w:rPr>
                <w:rFonts w:hint="eastAsia" w:ascii="宋体" w:hAnsi="宋体" w:eastAsia="宋体"/>
                <w:color w:val="auto"/>
                <w:sz w:val="21"/>
                <w:szCs w:val="21"/>
                <w:lang w:val="en-GB"/>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98"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4.25</w:t>
            </w:r>
          </w:p>
        </w:tc>
        <w:tc>
          <w:tcPr>
            <w:tcW w:w="1712"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在易燃易爆区域的所有金属设备、管道等都必须设计静电接地，并与接地网连通，且门、窗等均应接地。</w:t>
            </w:r>
          </w:p>
        </w:tc>
        <w:tc>
          <w:tcPr>
            <w:tcW w:w="1058" w:type="pct"/>
            <w:vAlign w:val="center"/>
          </w:tcPr>
          <w:p>
            <w:pPr>
              <w:topLinePunct/>
              <w:spacing w:line="360" w:lineRule="exact"/>
              <w:rPr>
                <w:rFonts w:ascii="宋体" w:hAnsi="宋体" w:eastAsia="宋体"/>
                <w:color w:val="auto"/>
                <w:sz w:val="21"/>
                <w:szCs w:val="21"/>
              </w:rPr>
            </w:pPr>
            <w:r>
              <w:rPr>
                <w:rFonts w:hint="eastAsia" w:ascii="宋体" w:hAnsi="宋体" w:eastAsia="宋体"/>
                <w:color w:val="auto"/>
                <w:sz w:val="21"/>
                <w:szCs w:val="21"/>
              </w:rPr>
              <w:t>《化工企业静电接地设计规程》(HG/T20675-1990)第3.2.4条</w:t>
            </w:r>
          </w:p>
        </w:tc>
        <w:tc>
          <w:tcPr>
            <w:tcW w:w="1428"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已设置静电接地。</w:t>
            </w:r>
          </w:p>
        </w:tc>
        <w:tc>
          <w:tcPr>
            <w:tcW w:w="404" w:type="pct"/>
            <w:vAlign w:val="center"/>
          </w:tcPr>
          <w:p>
            <w:pPr>
              <w:spacing w:line="360" w:lineRule="exact"/>
              <w:jc w:val="center"/>
              <w:rPr>
                <w:rFonts w:ascii="宋体" w:hAnsi="宋体" w:eastAsia="宋体"/>
                <w:color w:val="auto"/>
                <w:sz w:val="21"/>
                <w:szCs w:val="21"/>
                <w:lang w:val="en-GB"/>
              </w:rPr>
            </w:pPr>
            <w:r>
              <w:rPr>
                <w:rFonts w:hint="eastAsia" w:ascii="宋体" w:hAnsi="宋体" w:eastAsia="宋体"/>
                <w:color w:val="auto"/>
                <w:sz w:val="21"/>
                <w:szCs w:val="21"/>
              </w:rPr>
              <w:t>合格</w:t>
            </w:r>
          </w:p>
        </w:tc>
      </w:tr>
    </w:tbl>
    <w:p>
      <w:pPr>
        <w:spacing w:line="560" w:lineRule="exact"/>
        <w:ind w:firstLine="425" w:firstLineChars="152"/>
        <w:rPr>
          <w:rFonts w:ascii="宋体" w:hAnsi="宋体" w:eastAsia="宋体"/>
          <w:color w:val="auto"/>
          <w:sz w:val="28"/>
          <w:szCs w:val="28"/>
          <w:lang w:eastAsia="zh-CN"/>
        </w:rPr>
      </w:pPr>
      <w:r>
        <w:rPr>
          <w:rFonts w:ascii="宋体" w:hAnsi="宋体" w:eastAsia="宋体"/>
          <w:color w:val="auto"/>
          <w:sz w:val="28"/>
          <w:szCs w:val="28"/>
        </w:rPr>
        <w:t>通过检查表对生产区的建筑、消防、电气设施、生产设备安全卫生要求、生产过程安全卫生要求等方面进行了检查，</w:t>
      </w:r>
      <w:r>
        <w:rPr>
          <w:rFonts w:hint="eastAsia" w:ascii="宋体" w:hAnsi="宋体" w:eastAsia="宋体"/>
          <w:color w:val="auto"/>
          <w:sz w:val="28"/>
          <w:szCs w:val="28"/>
          <w:lang w:eastAsia="zh-CN"/>
        </w:rPr>
        <w:t>其中有3项不符合，其余</w:t>
      </w:r>
      <w:r>
        <w:rPr>
          <w:rFonts w:ascii="宋体" w:hAnsi="宋体" w:eastAsia="宋体"/>
          <w:color w:val="auto"/>
          <w:sz w:val="28"/>
          <w:szCs w:val="28"/>
        </w:rPr>
        <w:t>符合要求。</w:t>
      </w:r>
      <w:r>
        <w:rPr>
          <w:rFonts w:hint="eastAsia" w:ascii="宋体" w:hAnsi="宋体" w:eastAsia="宋体"/>
          <w:color w:val="auto"/>
          <w:sz w:val="28"/>
          <w:szCs w:val="28"/>
          <w:lang w:eastAsia="zh-CN"/>
        </w:rPr>
        <w:t>不符合项具体为：</w:t>
      </w:r>
    </w:p>
    <w:p>
      <w:pPr>
        <w:spacing w:line="560" w:lineRule="exact"/>
        <w:ind w:firstLine="560" w:firstLineChars="200"/>
        <w:rPr>
          <w:rFonts w:ascii="宋体" w:hAnsi="宋体" w:eastAsia="宋体"/>
          <w:color w:val="auto"/>
          <w:sz w:val="28"/>
          <w:szCs w:val="28"/>
        </w:rPr>
      </w:pPr>
      <w:r>
        <w:rPr>
          <w:rFonts w:hint="eastAsia" w:ascii="宋体" w:hAnsi="宋体" w:eastAsia="宋体"/>
          <w:color w:val="auto"/>
          <w:sz w:val="28"/>
          <w:szCs w:val="28"/>
        </w:rPr>
        <w:t>1）甲类车间、仓库、实验室均采用防爆电气，电力线套钢管保护，但部分线路穿管有损坏。</w:t>
      </w:r>
    </w:p>
    <w:p>
      <w:pPr>
        <w:spacing w:line="560" w:lineRule="exact"/>
        <w:ind w:firstLine="560" w:firstLineChars="200"/>
        <w:rPr>
          <w:rFonts w:ascii="宋体" w:hAnsi="宋体" w:eastAsia="宋体"/>
          <w:color w:val="auto"/>
          <w:sz w:val="28"/>
          <w:szCs w:val="28"/>
          <w:lang w:eastAsia="zh-CN"/>
        </w:rPr>
      </w:pPr>
      <w:r>
        <w:rPr>
          <w:rFonts w:hint="eastAsia" w:ascii="宋体" w:hAnsi="宋体" w:eastAsia="宋体"/>
          <w:color w:val="auto"/>
          <w:sz w:val="28"/>
          <w:szCs w:val="28"/>
          <w:lang w:eastAsia="zh-CN"/>
        </w:rPr>
        <w:t>2</w:t>
      </w:r>
      <w:r>
        <w:rPr>
          <w:rFonts w:hint="eastAsia" w:ascii="宋体" w:hAnsi="宋体" w:eastAsia="宋体"/>
          <w:color w:val="auto"/>
          <w:sz w:val="28"/>
          <w:szCs w:val="28"/>
        </w:rPr>
        <w:t>）危险化学品仓库周边洗眼器不足。</w:t>
      </w:r>
    </w:p>
    <w:p>
      <w:pPr>
        <w:spacing w:line="560" w:lineRule="exact"/>
        <w:ind w:firstLine="560" w:firstLineChars="200"/>
        <w:rPr>
          <w:rFonts w:ascii="宋体" w:hAnsi="宋体" w:eastAsia="宋体"/>
          <w:color w:val="auto"/>
          <w:sz w:val="28"/>
          <w:szCs w:val="28"/>
          <w:lang w:eastAsia="zh-CN"/>
        </w:rPr>
      </w:pPr>
      <w:r>
        <w:rPr>
          <w:rFonts w:hint="eastAsia" w:ascii="宋体" w:hAnsi="宋体" w:eastAsia="宋体"/>
          <w:color w:val="auto"/>
          <w:sz w:val="28"/>
          <w:szCs w:val="28"/>
          <w:lang w:eastAsia="zh-CN"/>
        </w:rPr>
        <w:t>该公司根据整改意见进行了整改，整改后符合要求。</w:t>
      </w:r>
    </w:p>
    <w:p>
      <w:pPr>
        <w:spacing w:line="560" w:lineRule="exact"/>
        <w:ind w:firstLine="560" w:firstLineChars="200"/>
        <w:rPr>
          <w:rFonts w:ascii="宋体" w:hAnsi="宋体" w:eastAsia="宋体"/>
          <w:color w:val="auto"/>
          <w:sz w:val="28"/>
          <w:szCs w:val="28"/>
          <w:lang w:eastAsia="zh-CN"/>
        </w:rPr>
      </w:pPr>
    </w:p>
    <w:p>
      <w:pPr>
        <w:spacing w:line="560" w:lineRule="exact"/>
        <w:jc w:val="both"/>
        <w:outlineLvl w:val="2"/>
        <w:rPr>
          <w:rFonts w:ascii="宋体" w:hAnsi="宋体" w:eastAsia="宋体" w:cs="Times New Roman"/>
          <w:bCs/>
          <w:color w:val="auto"/>
          <w:kern w:val="2"/>
          <w:sz w:val="28"/>
          <w:szCs w:val="28"/>
          <w:lang w:val="en-US" w:eastAsia="zh-CN" w:bidi="ar-SA"/>
        </w:rPr>
      </w:pPr>
      <w:bookmarkStart w:id="199" w:name="bookmark138"/>
      <w:r>
        <w:rPr>
          <w:rFonts w:ascii="宋体" w:hAnsi="宋体" w:eastAsia="宋体" w:cs="Times New Roman"/>
          <w:bCs/>
          <w:color w:val="auto"/>
          <w:kern w:val="2"/>
          <w:sz w:val="28"/>
          <w:szCs w:val="28"/>
          <w:lang w:val="en-US" w:eastAsia="zh-CN" w:bidi="ar-SA"/>
        </w:rPr>
        <w:t>2.1.3储存场所安全检查评价</w:t>
      </w:r>
      <w:bookmarkEnd w:id="199"/>
    </w:p>
    <w:p>
      <w:pPr>
        <w:spacing w:line="560" w:lineRule="exact"/>
        <w:ind w:firstLine="425" w:firstLineChars="152"/>
        <w:rPr>
          <w:rFonts w:ascii="宋体" w:hAnsi="宋体" w:eastAsia="宋体"/>
          <w:color w:val="auto"/>
          <w:sz w:val="28"/>
          <w:szCs w:val="28"/>
        </w:rPr>
      </w:pPr>
      <w:r>
        <w:rPr>
          <w:rFonts w:ascii="宋体" w:hAnsi="宋体" w:eastAsia="宋体"/>
          <w:color w:val="auto"/>
          <w:sz w:val="28"/>
          <w:szCs w:val="28"/>
        </w:rPr>
        <w:t>根据《常用化学危险品贮存通则》(GB15603-1995)、《易燃易爆性商品储存养护技术条件》(GB17914-2013)、《仓库防火安全管理规则》(公安部令第6号)、《建筑设计防火规范</w:t>
      </w:r>
      <w:r>
        <w:rPr>
          <w:rFonts w:hint="eastAsia" w:ascii="宋体" w:hAnsi="宋体" w:eastAsia="宋体"/>
          <w:color w:val="auto"/>
          <w:sz w:val="28"/>
          <w:szCs w:val="28"/>
          <w:lang w:eastAsia="zh-CN"/>
        </w:rPr>
        <w:t>（2018年版）</w:t>
      </w:r>
      <w:r>
        <w:rPr>
          <w:rFonts w:ascii="宋体" w:hAnsi="宋体" w:eastAsia="宋体"/>
          <w:color w:val="auto"/>
          <w:sz w:val="28"/>
          <w:szCs w:val="28"/>
        </w:rPr>
        <w:t>》(GB50016-2014)等编制安全检查表对储存场所的安全要求进行安全检查评价，检查结果见附表2-3。</w:t>
      </w:r>
    </w:p>
    <w:p>
      <w:pPr>
        <w:spacing w:line="560" w:lineRule="exact"/>
        <w:jc w:val="center"/>
        <w:rPr>
          <w:rFonts w:ascii="宋体" w:hAnsi="宋体" w:eastAsia="PMingLiU"/>
          <w:b/>
          <w:color w:val="auto"/>
        </w:rPr>
      </w:pPr>
      <w:r>
        <w:rPr>
          <w:rFonts w:ascii="宋体" w:hAnsi="宋体" w:eastAsia="宋体"/>
          <w:b/>
          <w:color w:val="auto"/>
        </w:rPr>
        <w:t>附表2-3储存场所安全检查表</w:t>
      </w:r>
    </w:p>
    <w:tbl>
      <w:tblPr>
        <w:tblStyle w:val="45"/>
        <w:tblW w:w="5000" w:type="pct"/>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731"/>
        <w:gridCol w:w="3331"/>
        <w:gridCol w:w="1965"/>
        <w:gridCol w:w="2659"/>
        <w:gridCol w:w="708"/>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tblHeader/>
          <w:jc w:val="center"/>
        </w:trPr>
        <w:tc>
          <w:tcPr>
            <w:tcW w:w="389" w:type="pct"/>
            <w:vAlign w:val="center"/>
          </w:tcPr>
          <w:p>
            <w:pPr>
              <w:tabs>
                <w:tab w:val="left" w:pos="900"/>
              </w:tabs>
              <w:spacing w:line="360" w:lineRule="exact"/>
              <w:jc w:val="center"/>
              <w:rPr>
                <w:rFonts w:ascii="宋体" w:hAnsi="宋体" w:eastAsia="宋体"/>
                <w:b/>
                <w:color w:val="auto"/>
                <w:sz w:val="21"/>
                <w:szCs w:val="21"/>
              </w:rPr>
            </w:pPr>
            <w:r>
              <w:rPr>
                <w:rFonts w:hint="eastAsia" w:ascii="宋体" w:hAnsi="宋体" w:eastAsia="宋体"/>
                <w:b/>
                <w:color w:val="auto"/>
                <w:sz w:val="21"/>
                <w:szCs w:val="21"/>
              </w:rPr>
              <w:t>序号</w:t>
            </w:r>
          </w:p>
        </w:tc>
        <w:tc>
          <w:tcPr>
            <w:tcW w:w="1773" w:type="pct"/>
            <w:vAlign w:val="center"/>
          </w:tcPr>
          <w:p>
            <w:pPr>
              <w:tabs>
                <w:tab w:val="left" w:pos="900"/>
              </w:tabs>
              <w:spacing w:line="360" w:lineRule="exact"/>
              <w:jc w:val="center"/>
              <w:rPr>
                <w:rFonts w:ascii="宋体" w:hAnsi="宋体" w:eastAsia="宋体"/>
                <w:b/>
                <w:color w:val="auto"/>
                <w:sz w:val="21"/>
                <w:szCs w:val="21"/>
              </w:rPr>
            </w:pPr>
            <w:r>
              <w:rPr>
                <w:rFonts w:hint="eastAsia" w:ascii="宋体" w:hAnsi="宋体" w:eastAsia="宋体"/>
                <w:b/>
                <w:color w:val="auto"/>
                <w:sz w:val="21"/>
                <w:szCs w:val="21"/>
              </w:rPr>
              <w:t>检查项目及内容</w:t>
            </w:r>
          </w:p>
        </w:tc>
        <w:tc>
          <w:tcPr>
            <w:tcW w:w="1046" w:type="pct"/>
            <w:vAlign w:val="center"/>
          </w:tcPr>
          <w:p>
            <w:pPr>
              <w:tabs>
                <w:tab w:val="left" w:pos="900"/>
              </w:tabs>
              <w:spacing w:line="360" w:lineRule="exact"/>
              <w:jc w:val="center"/>
              <w:rPr>
                <w:rFonts w:ascii="宋体" w:hAnsi="宋体" w:eastAsia="宋体"/>
                <w:b/>
                <w:color w:val="auto"/>
                <w:sz w:val="21"/>
                <w:szCs w:val="21"/>
              </w:rPr>
            </w:pPr>
            <w:r>
              <w:rPr>
                <w:rFonts w:hint="eastAsia" w:ascii="宋体" w:hAnsi="宋体" w:eastAsia="宋体"/>
                <w:b/>
                <w:color w:val="auto"/>
                <w:sz w:val="21"/>
                <w:szCs w:val="21"/>
              </w:rPr>
              <w:t>依据</w:t>
            </w:r>
          </w:p>
        </w:tc>
        <w:tc>
          <w:tcPr>
            <w:tcW w:w="1415" w:type="pct"/>
            <w:vAlign w:val="center"/>
          </w:tcPr>
          <w:p>
            <w:pPr>
              <w:tabs>
                <w:tab w:val="left" w:pos="900"/>
              </w:tabs>
              <w:spacing w:line="360" w:lineRule="exact"/>
              <w:jc w:val="center"/>
              <w:rPr>
                <w:rFonts w:ascii="宋体" w:hAnsi="宋体" w:eastAsia="宋体"/>
                <w:b/>
                <w:color w:val="auto"/>
                <w:sz w:val="21"/>
                <w:szCs w:val="21"/>
              </w:rPr>
            </w:pPr>
            <w:r>
              <w:rPr>
                <w:rFonts w:hint="eastAsia" w:ascii="宋体" w:hAnsi="宋体" w:eastAsia="宋体"/>
                <w:b/>
                <w:color w:val="auto"/>
                <w:sz w:val="21"/>
                <w:szCs w:val="21"/>
              </w:rPr>
              <w:t>实际情况</w:t>
            </w:r>
          </w:p>
        </w:tc>
        <w:tc>
          <w:tcPr>
            <w:tcW w:w="377" w:type="pct"/>
            <w:vAlign w:val="center"/>
          </w:tcPr>
          <w:p>
            <w:pPr>
              <w:tabs>
                <w:tab w:val="left" w:pos="900"/>
              </w:tabs>
              <w:spacing w:line="360" w:lineRule="exact"/>
              <w:jc w:val="center"/>
              <w:rPr>
                <w:rFonts w:ascii="宋体" w:hAnsi="宋体" w:eastAsia="宋体"/>
                <w:b/>
                <w:color w:val="auto"/>
                <w:sz w:val="21"/>
                <w:szCs w:val="21"/>
              </w:rPr>
            </w:pPr>
            <w:r>
              <w:rPr>
                <w:rFonts w:hint="eastAsia" w:ascii="宋体" w:hAnsi="宋体" w:eastAsia="宋体"/>
                <w:b/>
                <w:color w:val="auto"/>
                <w:sz w:val="21"/>
                <w:szCs w:val="21"/>
              </w:rPr>
              <w:t>备注</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89"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1</w:t>
            </w:r>
          </w:p>
        </w:tc>
        <w:tc>
          <w:tcPr>
            <w:tcW w:w="4611" w:type="pct"/>
            <w:gridSpan w:val="4"/>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仓储建筑</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89" w:type="pct"/>
            <w:vAlign w:val="center"/>
          </w:tcPr>
          <w:p>
            <w:pPr>
              <w:tabs>
                <w:tab w:val="left" w:pos="900"/>
              </w:tabs>
              <w:topLinePunct/>
              <w:spacing w:line="360" w:lineRule="exact"/>
              <w:jc w:val="center"/>
              <w:rPr>
                <w:rFonts w:ascii="宋体" w:hAnsi="宋体" w:eastAsia="宋体"/>
                <w:color w:val="auto"/>
                <w:sz w:val="21"/>
                <w:szCs w:val="21"/>
              </w:rPr>
            </w:pPr>
            <w:r>
              <w:rPr>
                <w:rFonts w:hint="eastAsia" w:ascii="宋体" w:hAnsi="宋体" w:eastAsia="宋体"/>
                <w:color w:val="auto"/>
                <w:sz w:val="21"/>
                <w:szCs w:val="21"/>
              </w:rPr>
              <w:t>1.1</w:t>
            </w:r>
          </w:p>
        </w:tc>
        <w:tc>
          <w:tcPr>
            <w:tcW w:w="1773" w:type="pct"/>
            <w:vAlign w:val="center"/>
          </w:tcPr>
          <w:p>
            <w:pPr>
              <w:tabs>
                <w:tab w:val="left" w:pos="900"/>
              </w:tabs>
              <w:topLinePunct/>
              <w:spacing w:line="360" w:lineRule="exact"/>
              <w:rPr>
                <w:rFonts w:ascii="宋体" w:hAnsi="宋体" w:eastAsia="宋体"/>
                <w:color w:val="auto"/>
                <w:sz w:val="21"/>
                <w:szCs w:val="21"/>
              </w:rPr>
            </w:pPr>
            <w:r>
              <w:rPr>
                <w:rFonts w:hint="eastAsia" w:ascii="宋体" w:hAnsi="宋体" w:eastAsia="宋体"/>
                <w:color w:val="auto"/>
                <w:sz w:val="21"/>
                <w:szCs w:val="21"/>
              </w:rPr>
              <w:t>库房耐火等级、层数、占地面积应符合国家标准和规定的要求。</w:t>
            </w:r>
          </w:p>
        </w:tc>
        <w:tc>
          <w:tcPr>
            <w:tcW w:w="1046"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《建筑设计防火规范</w:t>
            </w:r>
            <w:r>
              <w:rPr>
                <w:rFonts w:hint="eastAsia" w:ascii="宋体" w:hAnsi="宋体" w:eastAsia="宋体"/>
                <w:color w:val="auto"/>
                <w:sz w:val="21"/>
                <w:szCs w:val="21"/>
                <w:lang w:eastAsia="zh-CN"/>
              </w:rPr>
              <w:t>（2018年版）</w:t>
            </w:r>
            <w:r>
              <w:rPr>
                <w:rFonts w:hint="eastAsia" w:ascii="宋体" w:hAnsi="宋体" w:eastAsia="宋体"/>
                <w:color w:val="auto"/>
                <w:sz w:val="21"/>
                <w:szCs w:val="21"/>
              </w:rPr>
              <w:t>》GB50016-2014</w:t>
            </w:r>
          </w:p>
          <w:p>
            <w:pPr>
              <w:topLinePunct/>
              <w:spacing w:line="360" w:lineRule="exact"/>
              <w:rPr>
                <w:rFonts w:ascii="宋体" w:hAnsi="宋体" w:eastAsia="宋体"/>
                <w:color w:val="auto"/>
                <w:sz w:val="21"/>
                <w:szCs w:val="21"/>
                <w:lang w:val="en-GB"/>
              </w:rPr>
            </w:pPr>
            <w:r>
              <w:rPr>
                <w:rFonts w:hint="eastAsia" w:ascii="宋体" w:hAnsi="宋体" w:eastAsia="宋体"/>
                <w:color w:val="auto"/>
                <w:sz w:val="21"/>
                <w:szCs w:val="21"/>
              </w:rPr>
              <w:t>第3.2节、第3.3节</w:t>
            </w:r>
          </w:p>
        </w:tc>
        <w:tc>
          <w:tcPr>
            <w:tcW w:w="1415" w:type="pct"/>
            <w:vAlign w:val="center"/>
          </w:tcPr>
          <w:p>
            <w:pPr>
              <w:topLinePunct/>
              <w:spacing w:line="360" w:lineRule="exact"/>
              <w:rPr>
                <w:rFonts w:ascii="宋体" w:hAnsi="宋体" w:eastAsia="宋体"/>
                <w:color w:val="auto"/>
                <w:sz w:val="21"/>
                <w:szCs w:val="21"/>
              </w:rPr>
            </w:pPr>
            <w:r>
              <w:rPr>
                <w:rFonts w:hint="eastAsia" w:ascii="宋体" w:hAnsi="宋体" w:eastAsia="宋体"/>
                <w:color w:val="auto"/>
                <w:sz w:val="21"/>
                <w:szCs w:val="21"/>
              </w:rPr>
              <w:t>甲类仓库的耐火等级、层数、最大允许建筑面积以及防火分区的设置满足规范要求。</w:t>
            </w:r>
          </w:p>
        </w:tc>
        <w:tc>
          <w:tcPr>
            <w:tcW w:w="377" w:type="pct"/>
            <w:vAlign w:val="center"/>
          </w:tcPr>
          <w:p>
            <w:pPr>
              <w:topLinePunct/>
              <w:spacing w:line="360" w:lineRule="exact"/>
              <w:jc w:val="center"/>
              <w:rPr>
                <w:rFonts w:ascii="宋体" w:hAnsi="宋体" w:eastAsia="宋体"/>
                <w:color w:val="auto"/>
                <w:sz w:val="21"/>
                <w:szCs w:val="21"/>
              </w:rPr>
            </w:pPr>
            <w:r>
              <w:rPr>
                <w:rFonts w:hint="eastAsia" w:ascii="宋体" w:hAnsi="宋体" w:eastAsia="宋体"/>
                <w:color w:val="auto"/>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89"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1.2</w:t>
            </w:r>
          </w:p>
        </w:tc>
        <w:tc>
          <w:tcPr>
            <w:tcW w:w="1773" w:type="pct"/>
            <w:vAlign w:val="center"/>
          </w:tcPr>
          <w:p>
            <w:pPr>
              <w:tabs>
                <w:tab w:val="left" w:pos="900"/>
              </w:tabs>
              <w:spacing w:line="360" w:lineRule="exact"/>
              <w:rPr>
                <w:rFonts w:ascii="宋体" w:hAnsi="宋体" w:eastAsia="宋体"/>
                <w:color w:val="auto"/>
                <w:sz w:val="21"/>
                <w:szCs w:val="21"/>
              </w:rPr>
            </w:pPr>
            <w:r>
              <w:rPr>
                <w:rFonts w:hint="eastAsia" w:ascii="宋体" w:hAnsi="宋体" w:eastAsia="宋体"/>
                <w:color w:val="auto"/>
                <w:sz w:val="21"/>
                <w:szCs w:val="21"/>
              </w:rPr>
              <w:t>甲、乙类物品库房是否设在建筑物的地下室、半地下室。</w:t>
            </w:r>
          </w:p>
        </w:tc>
        <w:tc>
          <w:tcPr>
            <w:tcW w:w="1046"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《建筑设计防火规范</w:t>
            </w:r>
            <w:r>
              <w:rPr>
                <w:rFonts w:hint="eastAsia" w:ascii="宋体" w:hAnsi="宋体" w:eastAsia="宋体"/>
                <w:color w:val="auto"/>
                <w:sz w:val="21"/>
                <w:szCs w:val="21"/>
                <w:lang w:eastAsia="zh-CN"/>
              </w:rPr>
              <w:t>（2018年版）</w:t>
            </w:r>
            <w:r>
              <w:rPr>
                <w:rFonts w:hint="eastAsia" w:ascii="宋体" w:hAnsi="宋体" w:eastAsia="宋体"/>
                <w:color w:val="auto"/>
                <w:sz w:val="21"/>
                <w:szCs w:val="21"/>
              </w:rPr>
              <w:t>》GB50016-2014</w:t>
            </w:r>
          </w:p>
          <w:p>
            <w:pPr>
              <w:topLinePunct/>
              <w:spacing w:line="360" w:lineRule="exact"/>
              <w:rPr>
                <w:rFonts w:ascii="宋体" w:hAnsi="宋体" w:eastAsia="宋体"/>
                <w:color w:val="auto"/>
                <w:sz w:val="21"/>
                <w:szCs w:val="21"/>
              </w:rPr>
            </w:pPr>
            <w:r>
              <w:rPr>
                <w:rFonts w:hint="eastAsia" w:ascii="宋体" w:hAnsi="宋体" w:eastAsia="宋体"/>
                <w:color w:val="auto"/>
                <w:sz w:val="21"/>
                <w:szCs w:val="21"/>
              </w:rPr>
              <w:t>第3.3.4条</w:t>
            </w:r>
          </w:p>
        </w:tc>
        <w:tc>
          <w:tcPr>
            <w:tcW w:w="1415"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该企业甲类仓库未设在地下或半地下室。</w:t>
            </w:r>
          </w:p>
        </w:tc>
        <w:tc>
          <w:tcPr>
            <w:tcW w:w="377"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89"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1.3</w:t>
            </w:r>
          </w:p>
        </w:tc>
        <w:tc>
          <w:tcPr>
            <w:tcW w:w="1773" w:type="pct"/>
            <w:vAlign w:val="center"/>
          </w:tcPr>
          <w:p>
            <w:pPr>
              <w:tabs>
                <w:tab w:val="left" w:pos="900"/>
              </w:tabs>
              <w:spacing w:line="360" w:lineRule="exact"/>
              <w:rPr>
                <w:rFonts w:ascii="宋体" w:hAnsi="宋体" w:eastAsia="宋体" w:cs="宋体"/>
                <w:color w:val="auto"/>
                <w:sz w:val="21"/>
                <w:szCs w:val="21"/>
              </w:rPr>
            </w:pPr>
            <w:r>
              <w:rPr>
                <w:rFonts w:hint="eastAsia" w:ascii="宋体" w:hAnsi="宋体" w:eastAsia="宋体"/>
                <w:color w:val="auto"/>
                <w:sz w:val="21"/>
                <w:szCs w:val="21"/>
              </w:rPr>
              <w:t>每个仓库的安全出口不应少于两个，当占地面积小于等于300m</w:t>
            </w:r>
            <w:r>
              <w:rPr>
                <w:rFonts w:hint="eastAsia" w:ascii="宋体" w:hAnsi="宋体" w:eastAsia="宋体"/>
                <w:color w:val="auto"/>
                <w:sz w:val="21"/>
                <w:szCs w:val="21"/>
                <w:vertAlign w:val="superscript"/>
              </w:rPr>
              <w:t>2</w:t>
            </w:r>
            <w:r>
              <w:rPr>
                <w:rFonts w:hint="eastAsia" w:ascii="宋体" w:hAnsi="宋体" w:eastAsia="宋体"/>
                <w:color w:val="auto"/>
                <w:sz w:val="21"/>
                <w:szCs w:val="21"/>
              </w:rPr>
              <w:t>时，可设一个安全出口。仓库每个防火分区通向走道、楼梯或者室外的出口不宜少于两个，当防火分区的面积小于或等于100m</w:t>
            </w:r>
            <w:r>
              <w:rPr>
                <w:rFonts w:hint="eastAsia" w:ascii="宋体" w:hAnsi="宋体" w:eastAsia="宋体"/>
                <w:color w:val="auto"/>
                <w:sz w:val="21"/>
                <w:szCs w:val="21"/>
                <w:vertAlign w:val="superscript"/>
              </w:rPr>
              <w:t>2</w:t>
            </w:r>
            <w:r>
              <w:rPr>
                <w:rFonts w:hint="eastAsia" w:ascii="宋体" w:hAnsi="宋体" w:eastAsia="宋体"/>
                <w:color w:val="auto"/>
                <w:sz w:val="21"/>
                <w:szCs w:val="21"/>
              </w:rPr>
              <w:t>时，可设置一个。</w:t>
            </w:r>
          </w:p>
        </w:tc>
        <w:tc>
          <w:tcPr>
            <w:tcW w:w="1046"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《建筑设计防火规范</w:t>
            </w:r>
            <w:r>
              <w:rPr>
                <w:rFonts w:hint="eastAsia" w:ascii="宋体" w:hAnsi="宋体" w:eastAsia="宋体"/>
                <w:color w:val="auto"/>
                <w:sz w:val="21"/>
                <w:szCs w:val="21"/>
                <w:lang w:eastAsia="zh-CN"/>
              </w:rPr>
              <w:t>（2018年版）</w:t>
            </w:r>
            <w:r>
              <w:rPr>
                <w:rFonts w:hint="eastAsia" w:ascii="宋体" w:hAnsi="宋体" w:eastAsia="宋体"/>
                <w:color w:val="auto"/>
                <w:sz w:val="21"/>
                <w:szCs w:val="21"/>
              </w:rPr>
              <w:t>》GB50016-2014</w:t>
            </w:r>
          </w:p>
          <w:p>
            <w:pPr>
              <w:topLinePunct/>
              <w:spacing w:line="360" w:lineRule="exact"/>
              <w:rPr>
                <w:rFonts w:ascii="宋体" w:hAnsi="宋体" w:eastAsia="宋体"/>
                <w:color w:val="auto"/>
                <w:sz w:val="21"/>
                <w:szCs w:val="21"/>
              </w:rPr>
            </w:pPr>
            <w:r>
              <w:rPr>
                <w:rFonts w:hint="eastAsia" w:ascii="宋体" w:hAnsi="宋体" w:eastAsia="宋体"/>
                <w:color w:val="auto"/>
                <w:sz w:val="21"/>
                <w:szCs w:val="21"/>
              </w:rPr>
              <w:t>第3.8.2条</w:t>
            </w:r>
          </w:p>
        </w:tc>
        <w:tc>
          <w:tcPr>
            <w:tcW w:w="1415"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甲类仓库每个防火分区均设有2个安全出口。</w:t>
            </w:r>
          </w:p>
        </w:tc>
        <w:tc>
          <w:tcPr>
            <w:tcW w:w="377"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89"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1.4</w:t>
            </w:r>
          </w:p>
        </w:tc>
        <w:tc>
          <w:tcPr>
            <w:tcW w:w="1773" w:type="pct"/>
            <w:vAlign w:val="center"/>
          </w:tcPr>
          <w:p>
            <w:pPr>
              <w:tabs>
                <w:tab w:val="left" w:pos="900"/>
              </w:tabs>
              <w:spacing w:line="360" w:lineRule="exact"/>
              <w:rPr>
                <w:rFonts w:ascii="宋体" w:hAnsi="宋体" w:eastAsia="宋体"/>
                <w:color w:val="auto"/>
                <w:sz w:val="21"/>
                <w:szCs w:val="21"/>
              </w:rPr>
            </w:pPr>
            <w:r>
              <w:rPr>
                <w:rFonts w:hint="eastAsia" w:ascii="宋体" w:hAnsi="宋体" w:eastAsia="宋体"/>
                <w:color w:val="auto"/>
                <w:sz w:val="21"/>
                <w:szCs w:val="21"/>
              </w:rPr>
              <w:t>防火间距要满足安全要求，符合规定。</w:t>
            </w:r>
          </w:p>
        </w:tc>
        <w:tc>
          <w:tcPr>
            <w:tcW w:w="1046"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《建筑设计防火规范</w:t>
            </w:r>
            <w:r>
              <w:rPr>
                <w:rFonts w:hint="eastAsia" w:ascii="宋体" w:hAnsi="宋体" w:eastAsia="宋体"/>
                <w:color w:val="auto"/>
                <w:sz w:val="21"/>
                <w:szCs w:val="21"/>
                <w:lang w:eastAsia="zh-CN"/>
              </w:rPr>
              <w:t>（2018年版）</w:t>
            </w:r>
            <w:r>
              <w:rPr>
                <w:rFonts w:hint="eastAsia" w:ascii="宋体" w:hAnsi="宋体" w:eastAsia="宋体"/>
                <w:color w:val="auto"/>
                <w:sz w:val="21"/>
                <w:szCs w:val="21"/>
              </w:rPr>
              <w:t>》GB50016-2014</w:t>
            </w:r>
          </w:p>
          <w:p>
            <w:pPr>
              <w:spacing w:line="360" w:lineRule="exact"/>
              <w:rPr>
                <w:rFonts w:ascii="宋体" w:hAnsi="宋体" w:eastAsia="宋体"/>
                <w:color w:val="auto"/>
                <w:sz w:val="21"/>
                <w:szCs w:val="21"/>
              </w:rPr>
            </w:pPr>
            <w:r>
              <w:rPr>
                <w:rFonts w:hint="eastAsia" w:ascii="宋体" w:hAnsi="宋体" w:eastAsia="宋体"/>
                <w:color w:val="auto"/>
                <w:sz w:val="21"/>
                <w:szCs w:val="21"/>
              </w:rPr>
              <w:t>第3.5节</w:t>
            </w:r>
          </w:p>
        </w:tc>
        <w:tc>
          <w:tcPr>
            <w:tcW w:w="1415" w:type="pct"/>
            <w:vAlign w:val="center"/>
          </w:tcPr>
          <w:p>
            <w:pPr>
              <w:topLinePunct/>
              <w:spacing w:line="360" w:lineRule="exact"/>
              <w:rPr>
                <w:rFonts w:ascii="宋体" w:hAnsi="宋体" w:eastAsia="宋体"/>
                <w:color w:val="auto"/>
                <w:sz w:val="21"/>
                <w:szCs w:val="21"/>
              </w:rPr>
            </w:pPr>
            <w:r>
              <w:rPr>
                <w:rFonts w:hint="eastAsia" w:ascii="宋体" w:hAnsi="宋体" w:eastAsia="宋体"/>
                <w:color w:val="auto"/>
                <w:sz w:val="21"/>
                <w:szCs w:val="21"/>
              </w:rPr>
              <w:t>甲类仓库与周边建筑的防火间距满足要求，详见本报告附件2.1.4节“主要建构物防火间距检查表”。</w:t>
            </w:r>
          </w:p>
        </w:tc>
        <w:tc>
          <w:tcPr>
            <w:tcW w:w="377"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89"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1.5</w:t>
            </w:r>
          </w:p>
        </w:tc>
        <w:tc>
          <w:tcPr>
            <w:tcW w:w="1773"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仓库的门应为向疏散方向开启的平开门。</w:t>
            </w:r>
          </w:p>
        </w:tc>
        <w:tc>
          <w:tcPr>
            <w:tcW w:w="1046"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《建筑设计防火规范</w:t>
            </w:r>
            <w:r>
              <w:rPr>
                <w:rFonts w:hint="eastAsia" w:ascii="宋体" w:hAnsi="宋体" w:eastAsia="宋体"/>
                <w:color w:val="auto"/>
                <w:sz w:val="21"/>
                <w:szCs w:val="21"/>
                <w:lang w:eastAsia="zh-CN"/>
              </w:rPr>
              <w:t>（2018年版）</w:t>
            </w:r>
            <w:r>
              <w:rPr>
                <w:rFonts w:hint="eastAsia" w:ascii="宋体" w:hAnsi="宋体" w:eastAsia="宋体"/>
                <w:color w:val="auto"/>
                <w:sz w:val="21"/>
                <w:szCs w:val="21"/>
              </w:rPr>
              <w:t>》GB50016-2014</w:t>
            </w:r>
          </w:p>
          <w:p>
            <w:pPr>
              <w:spacing w:line="360" w:lineRule="exact"/>
              <w:rPr>
                <w:rFonts w:ascii="宋体" w:hAnsi="宋体" w:eastAsia="宋体"/>
                <w:color w:val="auto"/>
                <w:sz w:val="21"/>
                <w:szCs w:val="21"/>
              </w:rPr>
            </w:pPr>
            <w:r>
              <w:rPr>
                <w:rFonts w:hint="eastAsia" w:ascii="宋体" w:hAnsi="宋体" w:eastAsia="宋体"/>
                <w:color w:val="auto"/>
                <w:sz w:val="21"/>
                <w:szCs w:val="21"/>
              </w:rPr>
              <w:t>第6.4.11</w:t>
            </w:r>
          </w:p>
        </w:tc>
        <w:tc>
          <w:tcPr>
            <w:tcW w:w="1415"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该企业甲类仓库的均为向外开门。</w:t>
            </w:r>
          </w:p>
        </w:tc>
        <w:tc>
          <w:tcPr>
            <w:tcW w:w="377"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89"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1.6</w:t>
            </w:r>
          </w:p>
        </w:tc>
        <w:tc>
          <w:tcPr>
            <w:tcW w:w="1773"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仓库内严禁设置员工宿舍。</w:t>
            </w:r>
          </w:p>
          <w:p>
            <w:pPr>
              <w:spacing w:line="360" w:lineRule="exact"/>
              <w:rPr>
                <w:rFonts w:ascii="宋体" w:hAnsi="宋体" w:eastAsia="宋体"/>
                <w:color w:val="auto"/>
                <w:sz w:val="21"/>
                <w:szCs w:val="21"/>
              </w:rPr>
            </w:pPr>
            <w:r>
              <w:rPr>
                <w:rFonts w:hint="eastAsia" w:ascii="宋体" w:hAnsi="宋体" w:eastAsia="宋体"/>
                <w:color w:val="auto"/>
                <w:sz w:val="21"/>
                <w:szCs w:val="21"/>
              </w:rPr>
              <w:t>甲、乙类仓库内严禁设置办公室、休息室等，并不应贴邻建造。</w:t>
            </w:r>
          </w:p>
        </w:tc>
        <w:tc>
          <w:tcPr>
            <w:tcW w:w="1046"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《建筑设计防火规范</w:t>
            </w:r>
            <w:r>
              <w:rPr>
                <w:rFonts w:hint="eastAsia" w:ascii="宋体" w:hAnsi="宋体" w:eastAsia="宋体"/>
                <w:color w:val="auto"/>
                <w:sz w:val="21"/>
                <w:szCs w:val="21"/>
                <w:lang w:eastAsia="zh-CN"/>
              </w:rPr>
              <w:t>（2018年版）</w:t>
            </w:r>
            <w:r>
              <w:rPr>
                <w:rFonts w:hint="eastAsia" w:ascii="宋体" w:hAnsi="宋体" w:eastAsia="宋体"/>
                <w:color w:val="auto"/>
                <w:sz w:val="21"/>
                <w:szCs w:val="21"/>
              </w:rPr>
              <w:t>》GB50016-2014</w:t>
            </w:r>
          </w:p>
          <w:p>
            <w:pPr>
              <w:spacing w:line="360" w:lineRule="exact"/>
              <w:rPr>
                <w:rFonts w:ascii="宋体" w:hAnsi="宋体" w:eastAsia="宋体"/>
                <w:color w:val="auto"/>
                <w:sz w:val="21"/>
                <w:szCs w:val="21"/>
              </w:rPr>
            </w:pPr>
            <w:r>
              <w:rPr>
                <w:rFonts w:hint="eastAsia" w:ascii="宋体" w:hAnsi="宋体" w:eastAsia="宋体"/>
                <w:color w:val="auto"/>
                <w:sz w:val="21"/>
                <w:szCs w:val="21"/>
              </w:rPr>
              <w:t>第3.3.9条</w:t>
            </w:r>
          </w:p>
        </w:tc>
        <w:tc>
          <w:tcPr>
            <w:tcW w:w="1415"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甲类仓库内未设置员工宿舍，也未设置办公室、休息室等。</w:t>
            </w:r>
          </w:p>
        </w:tc>
        <w:tc>
          <w:tcPr>
            <w:tcW w:w="377"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89"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1.7</w:t>
            </w:r>
          </w:p>
        </w:tc>
        <w:tc>
          <w:tcPr>
            <w:tcW w:w="1773"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甲、乙、丙类液体仓库应设置防止液体流散的设施。</w:t>
            </w:r>
          </w:p>
        </w:tc>
        <w:tc>
          <w:tcPr>
            <w:tcW w:w="1046"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《建筑设计防火规范</w:t>
            </w:r>
            <w:r>
              <w:rPr>
                <w:rFonts w:hint="eastAsia" w:ascii="宋体" w:hAnsi="宋体" w:eastAsia="宋体"/>
                <w:color w:val="auto"/>
                <w:sz w:val="21"/>
                <w:szCs w:val="21"/>
                <w:lang w:eastAsia="zh-CN"/>
              </w:rPr>
              <w:t>（2018年版）</w:t>
            </w:r>
            <w:r>
              <w:rPr>
                <w:rFonts w:hint="eastAsia" w:ascii="宋体" w:hAnsi="宋体" w:eastAsia="宋体"/>
                <w:color w:val="auto"/>
                <w:sz w:val="21"/>
                <w:szCs w:val="21"/>
              </w:rPr>
              <w:t>》GB50016-2014</w:t>
            </w:r>
          </w:p>
          <w:p>
            <w:pPr>
              <w:spacing w:line="360" w:lineRule="exact"/>
              <w:rPr>
                <w:rFonts w:ascii="宋体" w:hAnsi="宋体" w:eastAsia="宋体"/>
                <w:color w:val="auto"/>
                <w:sz w:val="21"/>
                <w:szCs w:val="21"/>
              </w:rPr>
            </w:pPr>
            <w:r>
              <w:rPr>
                <w:rFonts w:hint="eastAsia" w:ascii="宋体" w:hAnsi="宋体" w:eastAsia="宋体"/>
                <w:color w:val="auto"/>
                <w:sz w:val="21"/>
                <w:szCs w:val="21"/>
              </w:rPr>
              <w:t>第3.6.11条</w:t>
            </w:r>
          </w:p>
        </w:tc>
        <w:tc>
          <w:tcPr>
            <w:tcW w:w="1415"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甲类仓库门口设置了防止液体流散的墁坡。</w:t>
            </w:r>
          </w:p>
        </w:tc>
        <w:tc>
          <w:tcPr>
            <w:tcW w:w="377"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89"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2</w:t>
            </w:r>
          </w:p>
        </w:tc>
        <w:tc>
          <w:tcPr>
            <w:tcW w:w="4611" w:type="pct"/>
            <w:gridSpan w:val="4"/>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储存管理</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89"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2.1</w:t>
            </w:r>
          </w:p>
        </w:tc>
        <w:tc>
          <w:tcPr>
            <w:tcW w:w="1773" w:type="pct"/>
            <w:vAlign w:val="center"/>
          </w:tcPr>
          <w:p>
            <w:pPr>
              <w:tabs>
                <w:tab w:val="left" w:pos="900"/>
              </w:tabs>
              <w:spacing w:line="360" w:lineRule="exact"/>
              <w:rPr>
                <w:rFonts w:ascii="宋体" w:hAnsi="宋体" w:eastAsia="宋体"/>
                <w:color w:val="auto"/>
                <w:sz w:val="21"/>
                <w:szCs w:val="21"/>
              </w:rPr>
            </w:pPr>
            <w:r>
              <w:rPr>
                <w:rFonts w:hint="eastAsia" w:ascii="宋体" w:hAnsi="宋体" w:eastAsia="宋体"/>
                <w:color w:val="auto"/>
                <w:sz w:val="21"/>
                <w:szCs w:val="21"/>
              </w:rPr>
              <w:t>甲、乙类物品库房内不准设办公室、休息室。其他库房必需设办公室时，可以贴邻库房一角设置无孔洞的一、二级耐火等级的建筑，其门窗直通库外，具体实施应当征得当地公安消防监督机构的同意。</w:t>
            </w:r>
          </w:p>
        </w:tc>
        <w:tc>
          <w:tcPr>
            <w:tcW w:w="1046" w:type="pct"/>
            <w:vAlign w:val="center"/>
          </w:tcPr>
          <w:p>
            <w:pPr>
              <w:tabs>
                <w:tab w:val="left" w:pos="900"/>
              </w:tabs>
              <w:spacing w:line="360" w:lineRule="exact"/>
              <w:rPr>
                <w:rFonts w:ascii="宋体" w:hAnsi="宋体" w:eastAsia="宋体"/>
                <w:color w:val="auto"/>
                <w:sz w:val="21"/>
                <w:szCs w:val="21"/>
              </w:rPr>
            </w:pPr>
            <w:r>
              <w:rPr>
                <w:rFonts w:hint="eastAsia" w:ascii="宋体" w:hAnsi="宋体" w:eastAsia="宋体"/>
                <w:color w:val="auto"/>
                <w:sz w:val="21"/>
                <w:szCs w:val="21"/>
              </w:rPr>
              <w:t>《</w:t>
            </w:r>
            <w:r>
              <w:rPr>
                <w:rFonts w:hint="eastAsia" w:ascii="宋体" w:hAnsi="宋体" w:eastAsia="宋体"/>
                <w:bCs/>
                <w:color w:val="auto"/>
                <w:sz w:val="21"/>
                <w:szCs w:val="21"/>
              </w:rPr>
              <w:t>仓库防火安全管理规则</w:t>
            </w:r>
            <w:r>
              <w:rPr>
                <w:rFonts w:hint="eastAsia" w:ascii="宋体" w:hAnsi="宋体" w:eastAsia="宋体"/>
                <w:color w:val="auto"/>
                <w:sz w:val="21"/>
                <w:szCs w:val="21"/>
              </w:rPr>
              <w:t>》第二十五条</w:t>
            </w:r>
          </w:p>
        </w:tc>
        <w:tc>
          <w:tcPr>
            <w:tcW w:w="1415" w:type="pct"/>
            <w:vAlign w:val="center"/>
          </w:tcPr>
          <w:p>
            <w:pPr>
              <w:tabs>
                <w:tab w:val="left" w:pos="900"/>
              </w:tabs>
              <w:spacing w:line="360" w:lineRule="exact"/>
              <w:rPr>
                <w:rFonts w:ascii="宋体" w:hAnsi="宋体" w:eastAsia="宋体"/>
                <w:color w:val="auto"/>
                <w:sz w:val="21"/>
                <w:szCs w:val="21"/>
              </w:rPr>
            </w:pPr>
            <w:r>
              <w:rPr>
                <w:rFonts w:hint="eastAsia" w:ascii="宋体" w:hAnsi="宋体" w:eastAsia="宋体"/>
                <w:color w:val="auto"/>
                <w:sz w:val="21"/>
                <w:szCs w:val="21"/>
              </w:rPr>
              <w:t>甲类仓库内没有设置办公室或者休息室。</w:t>
            </w:r>
          </w:p>
        </w:tc>
        <w:tc>
          <w:tcPr>
            <w:tcW w:w="377"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89"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2.2</w:t>
            </w:r>
          </w:p>
        </w:tc>
        <w:tc>
          <w:tcPr>
            <w:tcW w:w="1773"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装卸甲、乙类物品时，操作人员不得穿戴易产生静电的工作服、帽和使用易产生火花的工具，严防震动、撞击、重压、摩擦和倒置。对易产生静电的装卸设备要采取消除静电的措施。</w:t>
            </w:r>
          </w:p>
        </w:tc>
        <w:tc>
          <w:tcPr>
            <w:tcW w:w="1046"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w:t>
            </w:r>
            <w:r>
              <w:rPr>
                <w:rFonts w:hint="eastAsia" w:ascii="宋体" w:hAnsi="宋体" w:eastAsia="宋体"/>
                <w:bCs/>
                <w:color w:val="auto"/>
                <w:sz w:val="21"/>
                <w:szCs w:val="21"/>
              </w:rPr>
              <w:t>仓库防火安全管理规则</w:t>
            </w:r>
            <w:r>
              <w:rPr>
                <w:rFonts w:hint="eastAsia" w:ascii="宋体" w:hAnsi="宋体" w:eastAsia="宋体"/>
                <w:color w:val="auto"/>
                <w:sz w:val="21"/>
                <w:szCs w:val="21"/>
              </w:rPr>
              <w:t>》第三十三条</w:t>
            </w:r>
          </w:p>
        </w:tc>
        <w:tc>
          <w:tcPr>
            <w:tcW w:w="1415"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装卸作业时，对易产生静电的装卸设备采取有消除静电的措施，符合要求。</w:t>
            </w:r>
          </w:p>
        </w:tc>
        <w:tc>
          <w:tcPr>
            <w:tcW w:w="377"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89"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3</w:t>
            </w:r>
          </w:p>
        </w:tc>
        <w:tc>
          <w:tcPr>
            <w:tcW w:w="4611" w:type="pct"/>
            <w:gridSpan w:val="4"/>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电器、火源、消防设施配备及管理</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89"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3.1</w:t>
            </w:r>
          </w:p>
        </w:tc>
        <w:tc>
          <w:tcPr>
            <w:tcW w:w="1773"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库房内敷设的配电线路，需穿金属管或用非燃硬塑料管保护。</w:t>
            </w:r>
          </w:p>
        </w:tc>
        <w:tc>
          <w:tcPr>
            <w:tcW w:w="1046"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w:t>
            </w:r>
            <w:r>
              <w:rPr>
                <w:rFonts w:hint="eastAsia" w:ascii="宋体" w:hAnsi="宋体" w:eastAsia="宋体"/>
                <w:bCs/>
                <w:color w:val="auto"/>
                <w:sz w:val="21"/>
                <w:szCs w:val="21"/>
              </w:rPr>
              <w:t>仓库防火安全管理规则</w:t>
            </w:r>
            <w:r>
              <w:rPr>
                <w:rFonts w:hint="eastAsia" w:ascii="宋体" w:hAnsi="宋体" w:eastAsia="宋体"/>
                <w:color w:val="auto"/>
                <w:sz w:val="21"/>
                <w:szCs w:val="21"/>
              </w:rPr>
              <w:t>》第四十条</w:t>
            </w:r>
          </w:p>
        </w:tc>
        <w:tc>
          <w:tcPr>
            <w:tcW w:w="1415"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仓库内电气线路均穿金属管保护。</w:t>
            </w:r>
          </w:p>
        </w:tc>
        <w:tc>
          <w:tcPr>
            <w:tcW w:w="377"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89"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3.2</w:t>
            </w:r>
          </w:p>
        </w:tc>
        <w:tc>
          <w:tcPr>
            <w:tcW w:w="1773"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仓库的电器设备，必须由持合格证的电工进行安装，检查和维修保养。电工应当严格遵守各项电器操作规程。</w:t>
            </w:r>
          </w:p>
        </w:tc>
        <w:tc>
          <w:tcPr>
            <w:tcW w:w="1046"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w:t>
            </w:r>
            <w:r>
              <w:rPr>
                <w:rFonts w:hint="eastAsia" w:ascii="宋体" w:hAnsi="宋体" w:eastAsia="宋体"/>
                <w:bCs/>
                <w:color w:val="auto"/>
                <w:sz w:val="21"/>
                <w:szCs w:val="21"/>
              </w:rPr>
              <w:t>仓库防火安全管理规则</w:t>
            </w:r>
            <w:r>
              <w:rPr>
                <w:rFonts w:hint="eastAsia" w:ascii="宋体" w:hAnsi="宋体" w:eastAsia="宋体"/>
                <w:color w:val="auto"/>
                <w:sz w:val="21"/>
                <w:szCs w:val="21"/>
              </w:rPr>
              <w:t>》第四十五条</w:t>
            </w:r>
          </w:p>
        </w:tc>
        <w:tc>
          <w:tcPr>
            <w:tcW w:w="1415"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lang w:eastAsia="zh-CN"/>
              </w:rPr>
              <w:t>该公司未配备电工，若需要安装、维护电气设备时，将聘请外面持特种作业证的电工进行作业</w:t>
            </w:r>
            <w:r>
              <w:rPr>
                <w:rFonts w:hint="eastAsia" w:ascii="宋体" w:hAnsi="宋体" w:eastAsia="宋体"/>
                <w:color w:val="auto"/>
                <w:sz w:val="21"/>
                <w:szCs w:val="21"/>
              </w:rPr>
              <w:t>。</w:t>
            </w:r>
          </w:p>
        </w:tc>
        <w:tc>
          <w:tcPr>
            <w:tcW w:w="377"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89"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3.3</w:t>
            </w:r>
          </w:p>
        </w:tc>
        <w:tc>
          <w:tcPr>
            <w:tcW w:w="1773"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仓库应当设置醒目的防火标志。进入甲、乙类物品库区的人员，必须登记，并交出携带的火种。</w:t>
            </w:r>
          </w:p>
        </w:tc>
        <w:tc>
          <w:tcPr>
            <w:tcW w:w="1046"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w:t>
            </w:r>
            <w:r>
              <w:rPr>
                <w:rFonts w:hint="eastAsia" w:ascii="宋体" w:hAnsi="宋体" w:eastAsia="宋体"/>
                <w:bCs/>
                <w:color w:val="auto"/>
                <w:sz w:val="21"/>
                <w:szCs w:val="21"/>
              </w:rPr>
              <w:t>仓库防火安全管理规则</w:t>
            </w:r>
            <w:r>
              <w:rPr>
                <w:rFonts w:hint="eastAsia" w:ascii="宋体" w:hAnsi="宋体" w:eastAsia="宋体"/>
                <w:color w:val="auto"/>
                <w:sz w:val="21"/>
                <w:szCs w:val="21"/>
              </w:rPr>
              <w:t>》第四十六条</w:t>
            </w:r>
          </w:p>
        </w:tc>
        <w:tc>
          <w:tcPr>
            <w:tcW w:w="1415"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设置了醒目的防火标志，进出仓库的人员，规定不得携带火种。</w:t>
            </w:r>
          </w:p>
        </w:tc>
        <w:tc>
          <w:tcPr>
            <w:tcW w:w="377"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89"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3.4</w:t>
            </w:r>
          </w:p>
        </w:tc>
        <w:tc>
          <w:tcPr>
            <w:tcW w:w="1773"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仓库应当按照国家有关消防技术规范，设置、配备消防设施和器材。</w:t>
            </w:r>
          </w:p>
        </w:tc>
        <w:tc>
          <w:tcPr>
            <w:tcW w:w="1046"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w:t>
            </w:r>
            <w:r>
              <w:rPr>
                <w:rFonts w:hint="eastAsia" w:ascii="宋体" w:hAnsi="宋体" w:eastAsia="宋体"/>
                <w:bCs/>
                <w:color w:val="auto"/>
                <w:sz w:val="21"/>
                <w:szCs w:val="21"/>
              </w:rPr>
              <w:t>仓库防火安全管理规则</w:t>
            </w:r>
            <w:r>
              <w:rPr>
                <w:rFonts w:hint="eastAsia" w:ascii="宋体" w:hAnsi="宋体" w:eastAsia="宋体"/>
                <w:color w:val="auto"/>
                <w:sz w:val="21"/>
                <w:szCs w:val="21"/>
              </w:rPr>
              <w:t>》第五十一条</w:t>
            </w:r>
          </w:p>
        </w:tc>
        <w:tc>
          <w:tcPr>
            <w:tcW w:w="1415"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已配备适当的消防设施和器材。</w:t>
            </w:r>
          </w:p>
        </w:tc>
        <w:tc>
          <w:tcPr>
            <w:tcW w:w="377"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89"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3.5</w:t>
            </w:r>
          </w:p>
        </w:tc>
        <w:tc>
          <w:tcPr>
            <w:tcW w:w="1773" w:type="pct"/>
            <w:vAlign w:val="center"/>
          </w:tcPr>
          <w:p>
            <w:pPr>
              <w:tabs>
                <w:tab w:val="left" w:pos="900"/>
              </w:tabs>
              <w:spacing w:line="360" w:lineRule="exact"/>
              <w:rPr>
                <w:rFonts w:ascii="宋体" w:hAnsi="宋体" w:eastAsia="宋体"/>
                <w:color w:val="auto"/>
                <w:sz w:val="21"/>
                <w:szCs w:val="21"/>
              </w:rPr>
            </w:pPr>
            <w:r>
              <w:rPr>
                <w:rFonts w:hint="eastAsia" w:ascii="宋体" w:hAnsi="宋体" w:eastAsia="宋体"/>
                <w:color w:val="auto"/>
                <w:sz w:val="21"/>
                <w:szCs w:val="21"/>
              </w:rPr>
              <w:t>消防器材应当设置在明显和便于取用的地点，周围不准堆放物品和杂物。</w:t>
            </w:r>
          </w:p>
        </w:tc>
        <w:tc>
          <w:tcPr>
            <w:tcW w:w="1046" w:type="pct"/>
            <w:vAlign w:val="center"/>
          </w:tcPr>
          <w:p>
            <w:pPr>
              <w:tabs>
                <w:tab w:val="left" w:pos="900"/>
              </w:tabs>
              <w:spacing w:line="360" w:lineRule="exact"/>
              <w:rPr>
                <w:rFonts w:ascii="宋体" w:hAnsi="宋体" w:eastAsia="宋体"/>
                <w:color w:val="auto"/>
                <w:sz w:val="21"/>
                <w:szCs w:val="21"/>
              </w:rPr>
            </w:pPr>
            <w:r>
              <w:rPr>
                <w:rFonts w:hint="eastAsia" w:ascii="宋体" w:hAnsi="宋体" w:eastAsia="宋体"/>
                <w:color w:val="auto"/>
                <w:sz w:val="21"/>
                <w:szCs w:val="21"/>
              </w:rPr>
              <w:t>《</w:t>
            </w:r>
            <w:r>
              <w:rPr>
                <w:rFonts w:hint="eastAsia" w:ascii="宋体" w:hAnsi="宋体" w:eastAsia="宋体"/>
                <w:bCs/>
                <w:color w:val="auto"/>
                <w:sz w:val="21"/>
                <w:szCs w:val="21"/>
              </w:rPr>
              <w:t>仓库防火安全管理规则</w:t>
            </w:r>
            <w:r>
              <w:rPr>
                <w:rFonts w:hint="eastAsia" w:ascii="宋体" w:hAnsi="宋体" w:eastAsia="宋体"/>
                <w:color w:val="auto"/>
                <w:sz w:val="21"/>
                <w:szCs w:val="21"/>
              </w:rPr>
              <w:t>》第五十二条</w:t>
            </w:r>
          </w:p>
        </w:tc>
        <w:tc>
          <w:tcPr>
            <w:tcW w:w="1415" w:type="pct"/>
            <w:vAlign w:val="center"/>
          </w:tcPr>
          <w:p>
            <w:pPr>
              <w:tabs>
                <w:tab w:val="left" w:pos="900"/>
              </w:tabs>
              <w:spacing w:line="360" w:lineRule="exact"/>
              <w:rPr>
                <w:rFonts w:ascii="宋体" w:hAnsi="宋体" w:eastAsia="宋体"/>
                <w:color w:val="auto"/>
                <w:sz w:val="21"/>
                <w:szCs w:val="21"/>
              </w:rPr>
            </w:pPr>
            <w:r>
              <w:rPr>
                <w:rFonts w:hint="eastAsia" w:ascii="宋体" w:hAnsi="宋体" w:eastAsia="宋体"/>
                <w:color w:val="auto"/>
                <w:sz w:val="21"/>
                <w:szCs w:val="21"/>
              </w:rPr>
              <w:t>消防器材设置在库房门口，周围没有堆放物品和杂物。</w:t>
            </w:r>
          </w:p>
        </w:tc>
        <w:tc>
          <w:tcPr>
            <w:tcW w:w="377"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89"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3.6</w:t>
            </w:r>
          </w:p>
        </w:tc>
        <w:tc>
          <w:tcPr>
            <w:tcW w:w="1773" w:type="pct"/>
            <w:vAlign w:val="center"/>
          </w:tcPr>
          <w:p>
            <w:pPr>
              <w:tabs>
                <w:tab w:val="left" w:pos="900"/>
              </w:tabs>
              <w:spacing w:line="360" w:lineRule="exact"/>
              <w:rPr>
                <w:rFonts w:ascii="宋体" w:hAnsi="宋体" w:eastAsia="宋体"/>
                <w:color w:val="auto"/>
                <w:sz w:val="21"/>
                <w:szCs w:val="21"/>
              </w:rPr>
            </w:pPr>
            <w:r>
              <w:rPr>
                <w:rFonts w:hint="eastAsia" w:ascii="宋体" w:hAnsi="宋体" w:eastAsia="宋体"/>
                <w:color w:val="auto"/>
                <w:sz w:val="21"/>
                <w:szCs w:val="21"/>
              </w:rPr>
              <w:t>仓库的消防设施、器材，应当由专人管理，负责检查、维修、保养、更换和添置，保证完好有效，严禁圈占、埋压和挪用。</w:t>
            </w:r>
          </w:p>
        </w:tc>
        <w:tc>
          <w:tcPr>
            <w:tcW w:w="1046" w:type="pct"/>
            <w:vAlign w:val="center"/>
          </w:tcPr>
          <w:p>
            <w:pPr>
              <w:tabs>
                <w:tab w:val="left" w:pos="900"/>
              </w:tabs>
              <w:spacing w:line="360" w:lineRule="exact"/>
              <w:rPr>
                <w:rFonts w:ascii="宋体" w:hAnsi="宋体" w:eastAsia="宋体"/>
                <w:color w:val="auto"/>
                <w:sz w:val="21"/>
                <w:szCs w:val="21"/>
              </w:rPr>
            </w:pPr>
            <w:r>
              <w:rPr>
                <w:rFonts w:hint="eastAsia" w:ascii="宋体" w:hAnsi="宋体" w:eastAsia="宋体"/>
                <w:color w:val="auto"/>
                <w:sz w:val="21"/>
                <w:szCs w:val="21"/>
              </w:rPr>
              <w:t>《</w:t>
            </w:r>
            <w:r>
              <w:rPr>
                <w:rFonts w:hint="eastAsia" w:ascii="宋体" w:hAnsi="宋体" w:eastAsia="宋体"/>
                <w:bCs/>
                <w:color w:val="auto"/>
                <w:sz w:val="21"/>
                <w:szCs w:val="21"/>
              </w:rPr>
              <w:t>仓库防火安全管理规则</w:t>
            </w:r>
            <w:r>
              <w:rPr>
                <w:rFonts w:hint="eastAsia" w:ascii="宋体" w:hAnsi="宋体" w:eastAsia="宋体"/>
                <w:color w:val="auto"/>
                <w:sz w:val="21"/>
                <w:szCs w:val="21"/>
              </w:rPr>
              <w:t>》第五十三条</w:t>
            </w:r>
          </w:p>
        </w:tc>
        <w:tc>
          <w:tcPr>
            <w:tcW w:w="1415" w:type="pct"/>
            <w:vAlign w:val="center"/>
          </w:tcPr>
          <w:p>
            <w:pPr>
              <w:tabs>
                <w:tab w:val="left" w:pos="900"/>
              </w:tabs>
              <w:spacing w:line="360" w:lineRule="exact"/>
              <w:rPr>
                <w:rFonts w:ascii="宋体" w:hAnsi="宋体" w:eastAsia="宋体"/>
                <w:color w:val="auto"/>
                <w:sz w:val="21"/>
                <w:szCs w:val="21"/>
              </w:rPr>
            </w:pPr>
            <w:r>
              <w:rPr>
                <w:rFonts w:hint="eastAsia" w:ascii="宋体" w:hAnsi="宋体" w:eastAsia="宋体"/>
                <w:color w:val="auto"/>
                <w:sz w:val="21"/>
                <w:szCs w:val="21"/>
              </w:rPr>
              <w:t>有专人负责定期检查、维护。</w:t>
            </w:r>
          </w:p>
        </w:tc>
        <w:tc>
          <w:tcPr>
            <w:tcW w:w="377"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89"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3.7</w:t>
            </w:r>
          </w:p>
        </w:tc>
        <w:tc>
          <w:tcPr>
            <w:tcW w:w="1773" w:type="pct"/>
            <w:vAlign w:val="center"/>
          </w:tcPr>
          <w:p>
            <w:pPr>
              <w:tabs>
                <w:tab w:val="left" w:pos="900"/>
              </w:tabs>
              <w:spacing w:line="360" w:lineRule="exact"/>
              <w:rPr>
                <w:rFonts w:ascii="宋体" w:hAnsi="宋体" w:eastAsia="宋体"/>
                <w:color w:val="auto"/>
                <w:sz w:val="21"/>
                <w:szCs w:val="21"/>
              </w:rPr>
            </w:pPr>
            <w:r>
              <w:rPr>
                <w:rFonts w:hint="eastAsia" w:ascii="宋体" w:hAnsi="宋体" w:eastAsia="宋体"/>
                <w:color w:val="auto"/>
                <w:sz w:val="21"/>
                <w:szCs w:val="21"/>
              </w:rPr>
              <w:t>爆炸危险环境电力装置的设计应按现行国家标准《爆炸危险环境电力装置设计规范》(GB50058)相关规定。</w:t>
            </w:r>
          </w:p>
        </w:tc>
        <w:tc>
          <w:tcPr>
            <w:tcW w:w="1046"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《建筑设计防火规范</w:t>
            </w:r>
            <w:r>
              <w:rPr>
                <w:rFonts w:hint="eastAsia" w:ascii="宋体" w:hAnsi="宋体" w:eastAsia="宋体"/>
                <w:color w:val="auto"/>
                <w:sz w:val="21"/>
                <w:szCs w:val="21"/>
                <w:lang w:eastAsia="zh-CN"/>
              </w:rPr>
              <w:t>（2018年版）</w:t>
            </w:r>
            <w:r>
              <w:rPr>
                <w:rFonts w:hint="eastAsia" w:ascii="宋体" w:hAnsi="宋体" w:eastAsia="宋体"/>
                <w:color w:val="auto"/>
                <w:sz w:val="21"/>
                <w:szCs w:val="21"/>
              </w:rPr>
              <w:t>》GB50016-2014</w:t>
            </w:r>
          </w:p>
          <w:p>
            <w:pPr>
              <w:topLinePunct/>
              <w:spacing w:line="360" w:lineRule="exact"/>
              <w:rPr>
                <w:rFonts w:ascii="宋体" w:hAnsi="宋体" w:eastAsia="宋体"/>
                <w:color w:val="auto"/>
                <w:sz w:val="21"/>
                <w:szCs w:val="21"/>
              </w:rPr>
            </w:pPr>
            <w:r>
              <w:rPr>
                <w:rFonts w:hint="eastAsia" w:ascii="宋体" w:hAnsi="宋体" w:eastAsia="宋体"/>
                <w:color w:val="auto"/>
                <w:sz w:val="21"/>
                <w:szCs w:val="21"/>
              </w:rPr>
              <w:t>)第11.2.6条</w:t>
            </w:r>
          </w:p>
        </w:tc>
        <w:tc>
          <w:tcPr>
            <w:tcW w:w="1415" w:type="pct"/>
            <w:vAlign w:val="center"/>
          </w:tcPr>
          <w:p>
            <w:pPr>
              <w:tabs>
                <w:tab w:val="left" w:pos="900"/>
              </w:tabs>
              <w:spacing w:line="360" w:lineRule="exact"/>
              <w:rPr>
                <w:rFonts w:ascii="宋体" w:hAnsi="宋体" w:eastAsia="宋体"/>
                <w:color w:val="auto"/>
                <w:sz w:val="21"/>
                <w:szCs w:val="21"/>
              </w:rPr>
            </w:pPr>
            <w:r>
              <w:rPr>
                <w:rFonts w:hint="eastAsia" w:ascii="宋体" w:hAnsi="宋体" w:eastAsia="宋体"/>
                <w:color w:val="auto"/>
                <w:sz w:val="21"/>
                <w:szCs w:val="21"/>
              </w:rPr>
              <w:t>仓库内电气设施满足防爆要求。</w:t>
            </w:r>
          </w:p>
        </w:tc>
        <w:tc>
          <w:tcPr>
            <w:tcW w:w="377"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89"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3.8</w:t>
            </w:r>
          </w:p>
        </w:tc>
        <w:tc>
          <w:tcPr>
            <w:tcW w:w="1773"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各种商品应码行列式货垛，做到牢固、整齐、美观，出入库方便，一般垛高不超过3m。堆垛间距：</w:t>
            </w:r>
          </w:p>
          <w:p>
            <w:pPr>
              <w:spacing w:line="360" w:lineRule="exact"/>
              <w:rPr>
                <w:rFonts w:ascii="宋体" w:hAnsi="宋体" w:eastAsia="宋体"/>
                <w:color w:val="auto"/>
                <w:sz w:val="21"/>
                <w:szCs w:val="21"/>
              </w:rPr>
            </w:pPr>
            <w:r>
              <w:rPr>
                <w:rFonts w:hint="eastAsia" w:ascii="宋体" w:hAnsi="宋体" w:eastAsia="宋体"/>
                <w:bCs/>
                <w:color w:val="auto"/>
                <w:sz w:val="21"/>
                <w:szCs w:val="21"/>
              </w:rPr>
              <w:t>a)</w:t>
            </w:r>
            <w:r>
              <w:rPr>
                <w:rFonts w:hint="eastAsia" w:ascii="宋体" w:hAnsi="宋体" w:eastAsia="宋体"/>
                <w:color w:val="auto"/>
                <w:sz w:val="21"/>
                <w:szCs w:val="21"/>
              </w:rPr>
              <w:t>主通道大于等于180cm；</w:t>
            </w:r>
          </w:p>
          <w:p>
            <w:pPr>
              <w:spacing w:line="360" w:lineRule="exact"/>
              <w:rPr>
                <w:rFonts w:ascii="宋体" w:hAnsi="宋体" w:eastAsia="宋体"/>
                <w:color w:val="auto"/>
                <w:sz w:val="21"/>
                <w:szCs w:val="21"/>
              </w:rPr>
            </w:pPr>
            <w:r>
              <w:rPr>
                <w:rFonts w:hint="eastAsia" w:ascii="宋体" w:hAnsi="宋体" w:eastAsia="宋体"/>
                <w:bCs/>
                <w:color w:val="auto"/>
                <w:sz w:val="21"/>
                <w:szCs w:val="21"/>
              </w:rPr>
              <w:t>b)</w:t>
            </w:r>
            <w:r>
              <w:rPr>
                <w:rFonts w:hint="eastAsia" w:ascii="宋体" w:hAnsi="宋体" w:eastAsia="宋体"/>
                <w:color w:val="auto"/>
                <w:sz w:val="21"/>
                <w:szCs w:val="21"/>
              </w:rPr>
              <w:t>支通道大于等于80cm；</w:t>
            </w:r>
          </w:p>
          <w:p>
            <w:pPr>
              <w:spacing w:line="360" w:lineRule="exact"/>
              <w:rPr>
                <w:rFonts w:ascii="宋体" w:hAnsi="宋体" w:eastAsia="宋体"/>
                <w:color w:val="auto"/>
                <w:sz w:val="21"/>
                <w:szCs w:val="21"/>
              </w:rPr>
            </w:pPr>
            <w:r>
              <w:rPr>
                <w:rFonts w:hint="eastAsia" w:ascii="宋体" w:hAnsi="宋体" w:eastAsia="宋体"/>
                <w:bCs/>
                <w:color w:val="auto"/>
                <w:sz w:val="21"/>
                <w:szCs w:val="21"/>
              </w:rPr>
              <w:t>c)</w:t>
            </w:r>
            <w:r>
              <w:rPr>
                <w:rFonts w:hint="eastAsia" w:ascii="宋体" w:hAnsi="宋体" w:eastAsia="宋体"/>
                <w:color w:val="auto"/>
                <w:sz w:val="21"/>
                <w:szCs w:val="21"/>
              </w:rPr>
              <w:t>墙距大于等于30cm；</w:t>
            </w:r>
          </w:p>
          <w:p>
            <w:pPr>
              <w:spacing w:line="360" w:lineRule="exact"/>
              <w:rPr>
                <w:rFonts w:ascii="宋体" w:hAnsi="宋体" w:eastAsia="宋体"/>
                <w:color w:val="auto"/>
                <w:sz w:val="21"/>
                <w:szCs w:val="21"/>
              </w:rPr>
            </w:pPr>
            <w:r>
              <w:rPr>
                <w:rFonts w:hint="eastAsia" w:ascii="宋体" w:hAnsi="宋体" w:eastAsia="宋体"/>
                <w:bCs/>
                <w:color w:val="auto"/>
                <w:sz w:val="21"/>
                <w:szCs w:val="21"/>
              </w:rPr>
              <w:t>d)</w:t>
            </w:r>
            <w:r>
              <w:rPr>
                <w:rFonts w:hint="eastAsia" w:ascii="宋体" w:hAnsi="宋体" w:eastAsia="宋体"/>
                <w:color w:val="auto"/>
                <w:sz w:val="21"/>
                <w:szCs w:val="21"/>
              </w:rPr>
              <w:t>柱距大于等于10cm；</w:t>
            </w:r>
          </w:p>
          <w:p>
            <w:pPr>
              <w:spacing w:line="360" w:lineRule="exact"/>
              <w:rPr>
                <w:rFonts w:ascii="宋体" w:hAnsi="宋体" w:eastAsia="宋体"/>
                <w:color w:val="auto"/>
                <w:sz w:val="21"/>
                <w:szCs w:val="21"/>
              </w:rPr>
            </w:pPr>
            <w:r>
              <w:rPr>
                <w:rFonts w:hint="eastAsia" w:ascii="宋体" w:hAnsi="宋体" w:eastAsia="宋体"/>
                <w:bCs/>
                <w:color w:val="auto"/>
                <w:sz w:val="21"/>
                <w:szCs w:val="21"/>
              </w:rPr>
              <w:t>e)</w:t>
            </w:r>
            <w:r>
              <w:rPr>
                <w:rFonts w:hint="eastAsia" w:ascii="宋体" w:hAnsi="宋体" w:eastAsia="宋体"/>
                <w:color w:val="auto"/>
                <w:sz w:val="21"/>
                <w:szCs w:val="21"/>
              </w:rPr>
              <w:t>垛距大于等于10cm；</w:t>
            </w:r>
          </w:p>
          <w:p>
            <w:pPr>
              <w:spacing w:line="360" w:lineRule="exact"/>
              <w:rPr>
                <w:rFonts w:ascii="宋体" w:hAnsi="宋体" w:eastAsia="宋体"/>
                <w:color w:val="auto"/>
                <w:sz w:val="21"/>
                <w:szCs w:val="21"/>
              </w:rPr>
            </w:pPr>
            <w:r>
              <w:rPr>
                <w:rFonts w:hint="eastAsia" w:ascii="宋体" w:hAnsi="宋体" w:eastAsia="宋体"/>
                <w:bCs/>
                <w:color w:val="auto"/>
                <w:sz w:val="21"/>
                <w:szCs w:val="21"/>
              </w:rPr>
              <w:t>f)</w:t>
            </w:r>
            <w:r>
              <w:rPr>
                <w:rFonts w:hint="eastAsia" w:ascii="宋体" w:hAnsi="宋体" w:eastAsia="宋体"/>
                <w:color w:val="auto"/>
                <w:sz w:val="21"/>
                <w:szCs w:val="21"/>
              </w:rPr>
              <w:t>顶距大于等于50cm</w:t>
            </w:r>
          </w:p>
        </w:tc>
        <w:tc>
          <w:tcPr>
            <w:tcW w:w="1046"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《易燃易爆性商品储存养护技术条件》第6.2条</w:t>
            </w:r>
          </w:p>
          <w:p>
            <w:pPr>
              <w:spacing w:line="360" w:lineRule="exact"/>
              <w:rPr>
                <w:rFonts w:ascii="宋体" w:hAnsi="宋体" w:eastAsia="宋体"/>
                <w:color w:val="auto"/>
                <w:sz w:val="21"/>
                <w:szCs w:val="21"/>
              </w:rPr>
            </w:pPr>
            <w:r>
              <w:rPr>
                <w:rFonts w:hint="eastAsia" w:ascii="宋体" w:hAnsi="宋体" w:eastAsia="宋体"/>
                <w:color w:val="auto"/>
                <w:sz w:val="21"/>
                <w:szCs w:val="21"/>
              </w:rPr>
              <w:t>《易燃易爆性商品储存养护技术条件》第6.1.3条</w:t>
            </w:r>
          </w:p>
        </w:tc>
        <w:tc>
          <w:tcPr>
            <w:tcW w:w="1415"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甲类仓库内物料摆放符合要求要求。</w:t>
            </w:r>
          </w:p>
        </w:tc>
        <w:tc>
          <w:tcPr>
            <w:tcW w:w="377"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89"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3.9</w:t>
            </w:r>
          </w:p>
        </w:tc>
        <w:tc>
          <w:tcPr>
            <w:tcW w:w="1773" w:type="pct"/>
            <w:vAlign w:val="center"/>
          </w:tcPr>
          <w:p>
            <w:pPr>
              <w:widowControl/>
              <w:spacing w:line="360" w:lineRule="exact"/>
              <w:rPr>
                <w:rFonts w:ascii="宋体" w:hAnsi="宋体" w:eastAsia="宋体"/>
                <w:color w:val="auto"/>
                <w:sz w:val="21"/>
                <w:szCs w:val="21"/>
              </w:rPr>
            </w:pPr>
            <w:r>
              <w:rPr>
                <w:rFonts w:hint="eastAsia" w:ascii="宋体" w:hAnsi="宋体" w:eastAsia="宋体"/>
                <w:color w:val="auto"/>
                <w:sz w:val="21"/>
                <w:szCs w:val="21"/>
              </w:rPr>
              <w:t>库房内设温湿度表(重点库可设自记温湿度计)，按规定时间观测和记录。</w:t>
            </w:r>
          </w:p>
        </w:tc>
        <w:tc>
          <w:tcPr>
            <w:tcW w:w="1046"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《易燃易爆性商品储存养护技术条件》第7.1.1条</w:t>
            </w:r>
          </w:p>
        </w:tc>
        <w:tc>
          <w:tcPr>
            <w:tcW w:w="1415"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甲类仓库设置了温湿度计，并按规定时间观察和记录。</w:t>
            </w:r>
          </w:p>
        </w:tc>
        <w:tc>
          <w:tcPr>
            <w:tcW w:w="377"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89"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3.10</w:t>
            </w:r>
          </w:p>
        </w:tc>
        <w:tc>
          <w:tcPr>
            <w:tcW w:w="1773" w:type="pct"/>
            <w:vAlign w:val="center"/>
          </w:tcPr>
          <w:p>
            <w:pPr>
              <w:widowControl/>
              <w:spacing w:line="360" w:lineRule="exact"/>
              <w:rPr>
                <w:rFonts w:ascii="宋体" w:hAnsi="宋体" w:eastAsia="宋体"/>
                <w:color w:val="auto"/>
                <w:sz w:val="21"/>
                <w:szCs w:val="21"/>
              </w:rPr>
            </w:pPr>
            <w:r>
              <w:rPr>
                <w:rFonts w:hint="eastAsia" w:ascii="宋体" w:hAnsi="宋体" w:eastAsia="宋体"/>
                <w:color w:val="auto"/>
                <w:sz w:val="21"/>
                <w:szCs w:val="21"/>
              </w:rPr>
              <w:t>库房内不应分、改装，开箱、开桶、验收和质量检查等需在库房外进行。</w:t>
            </w:r>
          </w:p>
        </w:tc>
        <w:tc>
          <w:tcPr>
            <w:tcW w:w="1046"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《易燃易爆性商品储存养护技术条件》第8.5条</w:t>
            </w:r>
          </w:p>
        </w:tc>
        <w:tc>
          <w:tcPr>
            <w:tcW w:w="1415"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甲类仓库内没有开桶、分装现象。</w:t>
            </w:r>
          </w:p>
        </w:tc>
        <w:tc>
          <w:tcPr>
            <w:tcW w:w="377"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89"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3.11</w:t>
            </w:r>
          </w:p>
        </w:tc>
        <w:tc>
          <w:tcPr>
            <w:tcW w:w="1773" w:type="pct"/>
            <w:vAlign w:val="center"/>
          </w:tcPr>
          <w:p>
            <w:pPr>
              <w:widowControl/>
              <w:spacing w:line="360" w:lineRule="exact"/>
              <w:rPr>
                <w:rFonts w:ascii="宋体" w:hAnsi="宋体" w:eastAsia="宋体"/>
                <w:color w:val="auto"/>
                <w:sz w:val="21"/>
                <w:szCs w:val="21"/>
              </w:rPr>
            </w:pPr>
            <w:r>
              <w:rPr>
                <w:rFonts w:hint="eastAsia" w:ascii="宋体" w:hAnsi="宋体" w:eastAsia="宋体"/>
                <w:color w:val="auto"/>
                <w:sz w:val="21"/>
                <w:szCs w:val="21"/>
              </w:rPr>
              <w:t>甲类仓库内应使用应使用不产生火花的铜制、合金制或其他工具。</w:t>
            </w:r>
          </w:p>
        </w:tc>
        <w:tc>
          <w:tcPr>
            <w:tcW w:w="1046" w:type="pct"/>
            <w:vAlign w:val="center"/>
          </w:tcPr>
          <w:p>
            <w:pPr>
              <w:topLinePunct/>
              <w:spacing w:line="360" w:lineRule="exact"/>
              <w:rPr>
                <w:rFonts w:ascii="宋体" w:hAnsi="宋体" w:eastAsia="宋体"/>
                <w:color w:val="auto"/>
                <w:sz w:val="21"/>
                <w:szCs w:val="21"/>
              </w:rPr>
            </w:pPr>
            <w:r>
              <w:rPr>
                <w:rFonts w:hint="eastAsia" w:ascii="宋体" w:hAnsi="宋体" w:eastAsia="宋体"/>
                <w:color w:val="auto"/>
                <w:sz w:val="21"/>
                <w:szCs w:val="21"/>
              </w:rPr>
              <w:t>《易燃易爆性商品储存养护技术条件》GB17914-2013第8.4条</w:t>
            </w:r>
          </w:p>
        </w:tc>
        <w:tc>
          <w:tcPr>
            <w:tcW w:w="1415"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甲类仓库使用不易产生火花的铜合金制工具。</w:t>
            </w:r>
          </w:p>
        </w:tc>
        <w:tc>
          <w:tcPr>
            <w:tcW w:w="377"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89"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3.12</w:t>
            </w:r>
          </w:p>
        </w:tc>
        <w:tc>
          <w:tcPr>
            <w:tcW w:w="1773" w:type="pct"/>
            <w:vAlign w:val="center"/>
          </w:tcPr>
          <w:p>
            <w:pPr>
              <w:widowControl/>
              <w:spacing w:line="360" w:lineRule="exact"/>
              <w:rPr>
                <w:rFonts w:ascii="宋体" w:hAnsi="宋体" w:eastAsia="宋体"/>
                <w:color w:val="auto"/>
                <w:sz w:val="21"/>
                <w:szCs w:val="21"/>
              </w:rPr>
            </w:pPr>
            <w:r>
              <w:rPr>
                <w:rFonts w:hint="eastAsia" w:ascii="宋体" w:hAnsi="宋体" w:eastAsia="宋体"/>
                <w:color w:val="auto"/>
                <w:sz w:val="21"/>
                <w:szCs w:val="21"/>
              </w:rPr>
              <w:t>各种商品不允许直接落地存放。根据库房地势高低，一般应垫15cm以上。遇湿易燃物品、易吸潮溶化和吸潮分解的商品应根据情况加大下垫高度。</w:t>
            </w:r>
          </w:p>
        </w:tc>
        <w:tc>
          <w:tcPr>
            <w:tcW w:w="1046"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《易燃易爆性商品储存养护技术条件》第6.1.2条</w:t>
            </w:r>
          </w:p>
        </w:tc>
        <w:tc>
          <w:tcPr>
            <w:tcW w:w="1415"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甲类仓库内存放物品均属铁桶包装。</w:t>
            </w:r>
          </w:p>
        </w:tc>
        <w:tc>
          <w:tcPr>
            <w:tcW w:w="377"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89" w:type="pct"/>
            <w:vAlign w:val="center"/>
          </w:tcPr>
          <w:p>
            <w:pPr>
              <w:tabs>
                <w:tab w:val="left" w:pos="900"/>
              </w:tabs>
              <w:spacing w:line="360" w:lineRule="exact"/>
              <w:jc w:val="center"/>
              <w:rPr>
                <w:rFonts w:ascii="宋体" w:hAnsi="宋体" w:eastAsia="宋体"/>
                <w:color w:val="auto"/>
                <w:sz w:val="21"/>
                <w:szCs w:val="21"/>
              </w:rPr>
            </w:pPr>
            <w:r>
              <w:rPr>
                <w:rFonts w:hint="eastAsia" w:ascii="宋体" w:hAnsi="宋体" w:eastAsia="宋体"/>
                <w:color w:val="auto"/>
                <w:sz w:val="21"/>
                <w:szCs w:val="21"/>
              </w:rPr>
              <w:t>3.13</w:t>
            </w:r>
          </w:p>
        </w:tc>
        <w:tc>
          <w:tcPr>
            <w:tcW w:w="1773" w:type="pct"/>
            <w:vAlign w:val="center"/>
          </w:tcPr>
          <w:p>
            <w:pPr>
              <w:widowControl/>
              <w:spacing w:line="360" w:lineRule="exact"/>
              <w:rPr>
                <w:rFonts w:ascii="宋体" w:hAnsi="宋体" w:eastAsia="宋体"/>
                <w:color w:val="auto"/>
                <w:sz w:val="21"/>
                <w:szCs w:val="21"/>
              </w:rPr>
            </w:pPr>
            <w:r>
              <w:rPr>
                <w:rFonts w:hint="eastAsia" w:ascii="宋体" w:hAnsi="宋体" w:eastAsia="宋体"/>
                <w:color w:val="auto"/>
                <w:sz w:val="21"/>
                <w:szCs w:val="21"/>
              </w:rPr>
              <w:t>库房内不准设置移动式照明灯具。照明灯具下方不准堆放物品，其垂直下方与储存物品水平间距不得小于零点五米。</w:t>
            </w:r>
          </w:p>
        </w:tc>
        <w:tc>
          <w:tcPr>
            <w:tcW w:w="1046" w:type="pct"/>
            <w:vAlign w:val="center"/>
          </w:tcPr>
          <w:p>
            <w:pPr>
              <w:topLinePunct/>
              <w:spacing w:line="360" w:lineRule="exact"/>
              <w:rPr>
                <w:rFonts w:ascii="宋体" w:hAnsi="宋体" w:eastAsia="宋体"/>
                <w:color w:val="auto"/>
                <w:sz w:val="21"/>
                <w:szCs w:val="21"/>
              </w:rPr>
            </w:pPr>
            <w:r>
              <w:rPr>
                <w:rFonts w:hint="eastAsia" w:ascii="宋体" w:hAnsi="宋体" w:eastAsia="宋体"/>
                <w:color w:val="auto"/>
                <w:sz w:val="21"/>
                <w:szCs w:val="21"/>
              </w:rPr>
              <w:t>《仓库防火安全管理规则》(公安部令第6号)第三十九条</w:t>
            </w:r>
          </w:p>
        </w:tc>
        <w:tc>
          <w:tcPr>
            <w:tcW w:w="1415"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甲类仓库照明灯具下方未堆放物品。</w:t>
            </w:r>
          </w:p>
        </w:tc>
        <w:tc>
          <w:tcPr>
            <w:tcW w:w="377"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合格</w:t>
            </w:r>
          </w:p>
        </w:tc>
      </w:tr>
    </w:tbl>
    <w:p>
      <w:pPr>
        <w:spacing w:line="560" w:lineRule="exact"/>
        <w:ind w:firstLine="425" w:firstLineChars="152"/>
        <w:rPr>
          <w:rFonts w:ascii="宋体" w:hAnsi="宋体" w:eastAsia="PMingLiU"/>
          <w:color w:val="auto"/>
          <w:sz w:val="28"/>
          <w:szCs w:val="28"/>
        </w:rPr>
      </w:pPr>
      <w:r>
        <w:rPr>
          <w:rFonts w:hint="eastAsia" w:ascii="宋体" w:hAnsi="宋体" w:eastAsia="宋体"/>
          <w:color w:val="auto"/>
          <w:sz w:val="28"/>
          <w:szCs w:val="28"/>
        </w:rPr>
        <w:t>通过对该企业危险化学品仓库检查可知，全部符合要求。</w:t>
      </w:r>
    </w:p>
    <w:p>
      <w:pPr>
        <w:spacing w:line="560" w:lineRule="exact"/>
        <w:ind w:firstLine="425" w:firstLineChars="152"/>
        <w:rPr>
          <w:rFonts w:ascii="宋体" w:hAnsi="宋体" w:eastAsia="PMingLiU"/>
          <w:color w:val="auto"/>
          <w:sz w:val="28"/>
          <w:szCs w:val="28"/>
        </w:rPr>
      </w:pPr>
    </w:p>
    <w:p>
      <w:pPr>
        <w:spacing w:line="560" w:lineRule="exact"/>
        <w:jc w:val="both"/>
        <w:outlineLvl w:val="2"/>
        <w:rPr>
          <w:rFonts w:ascii="宋体" w:hAnsi="宋体" w:eastAsia="宋体" w:cs="Times New Roman"/>
          <w:bCs/>
          <w:color w:val="auto"/>
          <w:kern w:val="2"/>
          <w:sz w:val="28"/>
          <w:szCs w:val="28"/>
          <w:lang w:val="en-US" w:eastAsia="zh-CN" w:bidi="ar-SA"/>
        </w:rPr>
      </w:pPr>
      <w:bookmarkStart w:id="200" w:name="bookmark139"/>
      <w:r>
        <w:rPr>
          <w:rFonts w:ascii="宋体" w:hAnsi="宋体" w:eastAsia="宋体" w:cs="Times New Roman"/>
          <w:bCs/>
          <w:color w:val="auto"/>
          <w:kern w:val="2"/>
          <w:sz w:val="28"/>
          <w:szCs w:val="28"/>
          <w:lang w:val="en-US" w:eastAsia="zh-CN" w:bidi="ar-SA"/>
        </w:rPr>
        <w:t>2.1.4主要建构物防火间距检查表</w:t>
      </w:r>
      <w:bookmarkEnd w:id="200"/>
    </w:p>
    <w:p>
      <w:pPr>
        <w:spacing w:line="560" w:lineRule="exact"/>
        <w:jc w:val="center"/>
        <w:rPr>
          <w:rFonts w:ascii="宋体" w:hAnsi="宋体" w:eastAsia="PMingLiU"/>
          <w:b/>
          <w:color w:val="auto"/>
        </w:rPr>
      </w:pPr>
      <w:r>
        <w:rPr>
          <w:rFonts w:hint="eastAsia" w:ascii="宋体" w:hAnsi="宋体" w:eastAsia="宋体"/>
          <w:b/>
          <w:color w:val="auto"/>
          <w:lang w:eastAsia="zh-CN"/>
        </w:rPr>
        <w:t>附</w:t>
      </w:r>
      <w:r>
        <w:rPr>
          <w:rFonts w:ascii="宋体" w:hAnsi="宋体" w:eastAsia="宋体"/>
          <w:b/>
          <w:color w:val="auto"/>
        </w:rPr>
        <w:t>表2-4厂内各建(构)筑物间距一览表</w:t>
      </w:r>
    </w:p>
    <w:tbl>
      <w:tblPr>
        <w:tblStyle w:val="45"/>
        <w:tblW w:w="5000" w:type="pct"/>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 w:type="dxa"/>
          <w:bottom w:w="0" w:type="dxa"/>
          <w:right w:w="10" w:type="dxa"/>
        </w:tblCellMar>
      </w:tblPr>
      <w:tblGrid>
        <w:gridCol w:w="664"/>
        <w:gridCol w:w="832"/>
        <w:gridCol w:w="807"/>
        <w:gridCol w:w="1104"/>
        <w:gridCol w:w="851"/>
        <w:gridCol w:w="632"/>
        <w:gridCol w:w="715"/>
        <w:gridCol w:w="2874"/>
        <w:gridCol w:w="719"/>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tblHeader/>
          <w:jc w:val="center"/>
        </w:trPr>
        <w:tc>
          <w:tcPr>
            <w:tcW w:w="664" w:type="dxa"/>
            <w:vMerge w:val="restart"/>
            <w:shd w:val="clear" w:color="auto" w:fill="FFFFFF"/>
            <w:vAlign w:val="center"/>
          </w:tcPr>
          <w:p>
            <w:pPr>
              <w:spacing w:line="360" w:lineRule="exact"/>
              <w:jc w:val="center"/>
              <w:rPr>
                <w:rFonts w:ascii="宋体" w:hAnsi="宋体" w:eastAsia="宋体"/>
                <w:b/>
                <w:color w:val="auto"/>
                <w:sz w:val="21"/>
                <w:szCs w:val="21"/>
              </w:rPr>
            </w:pPr>
            <w:bookmarkStart w:id="201" w:name="bookmark140"/>
            <w:r>
              <w:rPr>
                <w:rFonts w:ascii="宋体" w:hAnsi="宋体" w:eastAsia="宋体"/>
                <w:b/>
                <w:color w:val="auto"/>
                <w:sz w:val="21"/>
                <w:szCs w:val="21"/>
              </w:rPr>
              <w:t>序号</w:t>
            </w:r>
          </w:p>
        </w:tc>
        <w:tc>
          <w:tcPr>
            <w:tcW w:w="1639" w:type="dxa"/>
            <w:gridSpan w:val="2"/>
            <w:shd w:val="clear" w:color="auto" w:fill="FFFFFF"/>
            <w:vAlign w:val="center"/>
          </w:tcPr>
          <w:p>
            <w:pPr>
              <w:spacing w:line="360" w:lineRule="exact"/>
              <w:jc w:val="center"/>
              <w:rPr>
                <w:rFonts w:ascii="宋体" w:hAnsi="宋体" w:eastAsia="宋体"/>
                <w:b/>
                <w:color w:val="auto"/>
                <w:sz w:val="21"/>
                <w:szCs w:val="21"/>
              </w:rPr>
            </w:pPr>
            <w:r>
              <w:rPr>
                <w:rFonts w:ascii="宋体" w:hAnsi="宋体" w:eastAsia="宋体"/>
                <w:b/>
                <w:color w:val="auto"/>
                <w:sz w:val="21"/>
                <w:szCs w:val="21"/>
              </w:rPr>
              <w:t>建筑物</w:t>
            </w:r>
          </w:p>
        </w:tc>
        <w:tc>
          <w:tcPr>
            <w:tcW w:w="1955" w:type="dxa"/>
            <w:gridSpan w:val="2"/>
            <w:shd w:val="clear" w:color="auto" w:fill="FFFFFF"/>
            <w:vAlign w:val="center"/>
          </w:tcPr>
          <w:p>
            <w:pPr>
              <w:spacing w:line="360" w:lineRule="exact"/>
              <w:jc w:val="center"/>
              <w:rPr>
                <w:rFonts w:ascii="宋体" w:hAnsi="宋体" w:eastAsia="宋体"/>
                <w:b/>
                <w:color w:val="auto"/>
                <w:sz w:val="21"/>
                <w:szCs w:val="21"/>
              </w:rPr>
            </w:pPr>
            <w:r>
              <w:rPr>
                <w:rFonts w:ascii="宋体" w:hAnsi="宋体" w:eastAsia="宋体"/>
                <w:b/>
                <w:color w:val="auto"/>
                <w:sz w:val="21"/>
                <w:szCs w:val="21"/>
              </w:rPr>
              <w:t>相邻建筑物</w:t>
            </w:r>
          </w:p>
        </w:tc>
        <w:tc>
          <w:tcPr>
            <w:tcW w:w="4221" w:type="dxa"/>
            <w:gridSpan w:val="3"/>
            <w:shd w:val="clear" w:color="auto" w:fill="FFFFFF"/>
            <w:vAlign w:val="center"/>
          </w:tcPr>
          <w:p>
            <w:pPr>
              <w:spacing w:line="360" w:lineRule="exact"/>
              <w:jc w:val="center"/>
              <w:rPr>
                <w:rFonts w:ascii="宋体" w:hAnsi="宋体" w:eastAsia="宋体"/>
                <w:b/>
                <w:color w:val="auto"/>
                <w:sz w:val="21"/>
                <w:szCs w:val="21"/>
              </w:rPr>
            </w:pPr>
            <w:r>
              <w:rPr>
                <w:rFonts w:ascii="宋体" w:hAnsi="宋体" w:eastAsia="宋体"/>
                <w:b/>
                <w:color w:val="auto"/>
                <w:sz w:val="21"/>
                <w:szCs w:val="21"/>
              </w:rPr>
              <w:t>防火间距</w:t>
            </w:r>
          </w:p>
        </w:tc>
        <w:tc>
          <w:tcPr>
            <w:tcW w:w="719" w:type="dxa"/>
            <w:vMerge w:val="restart"/>
            <w:shd w:val="clear" w:color="auto" w:fill="FFFFFF"/>
            <w:vAlign w:val="center"/>
          </w:tcPr>
          <w:p>
            <w:pPr>
              <w:spacing w:line="360" w:lineRule="exact"/>
              <w:jc w:val="center"/>
              <w:rPr>
                <w:rFonts w:ascii="宋体" w:hAnsi="宋体" w:eastAsia="宋体"/>
                <w:b/>
                <w:color w:val="auto"/>
                <w:sz w:val="21"/>
                <w:szCs w:val="21"/>
              </w:rPr>
            </w:pPr>
            <w:r>
              <w:rPr>
                <w:rFonts w:ascii="宋体" w:hAnsi="宋体" w:eastAsia="宋体"/>
                <w:b/>
                <w:color w:val="auto"/>
                <w:sz w:val="21"/>
                <w:szCs w:val="21"/>
              </w:rPr>
              <w:t>是否</w:t>
            </w:r>
          </w:p>
          <w:p>
            <w:pPr>
              <w:spacing w:line="360" w:lineRule="exact"/>
              <w:jc w:val="center"/>
              <w:rPr>
                <w:rFonts w:ascii="宋体" w:hAnsi="宋体" w:eastAsia="宋体"/>
                <w:b/>
                <w:color w:val="auto"/>
                <w:sz w:val="21"/>
                <w:szCs w:val="21"/>
              </w:rPr>
            </w:pPr>
            <w:r>
              <w:rPr>
                <w:rFonts w:ascii="宋体" w:hAnsi="宋体" w:eastAsia="宋体"/>
                <w:b/>
                <w:color w:val="auto"/>
                <w:sz w:val="21"/>
                <w:szCs w:val="21"/>
              </w:rPr>
              <w:t>达标</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tblHeader/>
          <w:jc w:val="center"/>
        </w:trPr>
        <w:tc>
          <w:tcPr>
            <w:tcW w:w="664" w:type="dxa"/>
            <w:vMerge w:val="continue"/>
            <w:shd w:val="clear" w:color="auto" w:fill="FFFFFF"/>
            <w:vAlign w:val="center"/>
          </w:tcPr>
          <w:p>
            <w:pPr>
              <w:spacing w:line="360" w:lineRule="exact"/>
              <w:jc w:val="center"/>
              <w:rPr>
                <w:rFonts w:ascii="宋体" w:hAnsi="宋体" w:eastAsia="宋体"/>
                <w:b/>
                <w:color w:val="auto"/>
                <w:sz w:val="21"/>
                <w:szCs w:val="21"/>
              </w:rPr>
            </w:pPr>
          </w:p>
        </w:tc>
        <w:tc>
          <w:tcPr>
            <w:tcW w:w="832" w:type="dxa"/>
            <w:shd w:val="clear" w:color="auto" w:fill="FFFFFF"/>
            <w:vAlign w:val="center"/>
          </w:tcPr>
          <w:p>
            <w:pPr>
              <w:spacing w:line="360" w:lineRule="exact"/>
              <w:jc w:val="center"/>
              <w:rPr>
                <w:rFonts w:ascii="宋体" w:hAnsi="宋体" w:eastAsia="宋体"/>
                <w:b/>
                <w:color w:val="auto"/>
                <w:sz w:val="21"/>
                <w:szCs w:val="21"/>
              </w:rPr>
            </w:pPr>
            <w:r>
              <w:rPr>
                <w:rFonts w:ascii="宋体" w:hAnsi="宋体" w:eastAsia="宋体"/>
                <w:b/>
                <w:color w:val="auto"/>
                <w:sz w:val="21"/>
                <w:szCs w:val="21"/>
              </w:rPr>
              <w:t>名称</w:t>
            </w:r>
          </w:p>
        </w:tc>
        <w:tc>
          <w:tcPr>
            <w:tcW w:w="807" w:type="dxa"/>
            <w:shd w:val="clear" w:color="auto" w:fill="FFFFFF"/>
            <w:vAlign w:val="center"/>
          </w:tcPr>
          <w:p>
            <w:pPr>
              <w:spacing w:line="360" w:lineRule="exact"/>
              <w:jc w:val="center"/>
              <w:rPr>
                <w:rFonts w:ascii="宋体" w:hAnsi="宋体" w:eastAsia="宋体"/>
                <w:b/>
                <w:color w:val="auto"/>
                <w:sz w:val="21"/>
                <w:szCs w:val="21"/>
              </w:rPr>
            </w:pPr>
            <w:r>
              <w:rPr>
                <w:rFonts w:ascii="宋体" w:hAnsi="宋体" w:eastAsia="宋体"/>
                <w:b/>
                <w:color w:val="auto"/>
                <w:sz w:val="21"/>
                <w:szCs w:val="21"/>
              </w:rPr>
              <w:t>火灾危险</w:t>
            </w:r>
          </w:p>
        </w:tc>
        <w:tc>
          <w:tcPr>
            <w:tcW w:w="1104" w:type="dxa"/>
            <w:shd w:val="clear" w:color="auto" w:fill="FFFFFF"/>
            <w:vAlign w:val="center"/>
          </w:tcPr>
          <w:p>
            <w:pPr>
              <w:spacing w:line="360" w:lineRule="exact"/>
              <w:jc w:val="center"/>
              <w:rPr>
                <w:rFonts w:ascii="宋体" w:hAnsi="宋体" w:eastAsia="宋体"/>
                <w:b/>
                <w:color w:val="auto"/>
                <w:sz w:val="21"/>
                <w:szCs w:val="21"/>
              </w:rPr>
            </w:pPr>
            <w:r>
              <w:rPr>
                <w:rFonts w:ascii="宋体" w:hAnsi="宋体" w:eastAsia="宋体"/>
                <w:b/>
                <w:color w:val="auto"/>
                <w:sz w:val="21"/>
                <w:szCs w:val="21"/>
              </w:rPr>
              <w:t>名称</w:t>
            </w:r>
          </w:p>
        </w:tc>
        <w:tc>
          <w:tcPr>
            <w:tcW w:w="851" w:type="dxa"/>
            <w:shd w:val="clear" w:color="auto" w:fill="FFFFFF"/>
            <w:vAlign w:val="center"/>
          </w:tcPr>
          <w:p>
            <w:pPr>
              <w:spacing w:line="360" w:lineRule="exact"/>
              <w:jc w:val="center"/>
              <w:rPr>
                <w:rFonts w:ascii="宋体" w:hAnsi="宋体" w:eastAsia="宋体"/>
                <w:b/>
                <w:color w:val="auto"/>
                <w:sz w:val="21"/>
                <w:szCs w:val="21"/>
              </w:rPr>
            </w:pPr>
            <w:r>
              <w:rPr>
                <w:rFonts w:ascii="宋体" w:hAnsi="宋体" w:eastAsia="宋体"/>
                <w:b/>
                <w:color w:val="auto"/>
                <w:sz w:val="21"/>
                <w:szCs w:val="21"/>
              </w:rPr>
              <w:t>火灾危险</w:t>
            </w:r>
          </w:p>
        </w:tc>
        <w:tc>
          <w:tcPr>
            <w:tcW w:w="632" w:type="dxa"/>
            <w:shd w:val="clear" w:color="auto" w:fill="FFFFFF"/>
            <w:vAlign w:val="center"/>
          </w:tcPr>
          <w:p>
            <w:pPr>
              <w:spacing w:line="360" w:lineRule="exact"/>
              <w:jc w:val="center"/>
              <w:rPr>
                <w:rFonts w:ascii="宋体" w:hAnsi="宋体" w:eastAsia="宋体"/>
                <w:b/>
                <w:color w:val="auto"/>
                <w:sz w:val="21"/>
                <w:szCs w:val="21"/>
              </w:rPr>
            </w:pPr>
            <w:r>
              <w:rPr>
                <w:rFonts w:ascii="宋体" w:hAnsi="宋体" w:eastAsia="宋体"/>
                <w:b/>
                <w:color w:val="auto"/>
                <w:sz w:val="21"/>
                <w:szCs w:val="21"/>
              </w:rPr>
              <w:t>实测</w:t>
            </w:r>
          </w:p>
        </w:tc>
        <w:tc>
          <w:tcPr>
            <w:tcW w:w="715" w:type="dxa"/>
            <w:shd w:val="clear" w:color="auto" w:fill="FFFFFF"/>
            <w:vAlign w:val="center"/>
          </w:tcPr>
          <w:p>
            <w:pPr>
              <w:spacing w:line="360" w:lineRule="exact"/>
              <w:jc w:val="center"/>
              <w:rPr>
                <w:rFonts w:ascii="宋体" w:hAnsi="宋体" w:eastAsia="宋体"/>
                <w:b/>
                <w:color w:val="auto"/>
                <w:sz w:val="21"/>
                <w:szCs w:val="21"/>
              </w:rPr>
            </w:pPr>
            <w:r>
              <w:rPr>
                <w:rFonts w:ascii="宋体" w:hAnsi="宋体" w:eastAsia="宋体"/>
                <w:b/>
                <w:color w:val="auto"/>
                <w:sz w:val="21"/>
                <w:szCs w:val="21"/>
              </w:rPr>
              <w:t>标准</w:t>
            </w:r>
          </w:p>
        </w:tc>
        <w:tc>
          <w:tcPr>
            <w:tcW w:w="2874" w:type="dxa"/>
            <w:shd w:val="clear" w:color="auto" w:fill="FFFFFF"/>
            <w:vAlign w:val="center"/>
          </w:tcPr>
          <w:p>
            <w:pPr>
              <w:spacing w:line="360" w:lineRule="exact"/>
              <w:jc w:val="center"/>
              <w:rPr>
                <w:rFonts w:ascii="宋体" w:hAnsi="宋体" w:eastAsia="宋体"/>
                <w:b/>
                <w:color w:val="auto"/>
                <w:sz w:val="21"/>
                <w:szCs w:val="21"/>
              </w:rPr>
            </w:pPr>
            <w:r>
              <w:rPr>
                <w:rFonts w:ascii="宋体" w:hAnsi="宋体" w:eastAsia="宋体"/>
                <w:b/>
                <w:color w:val="auto"/>
                <w:sz w:val="21"/>
                <w:szCs w:val="21"/>
              </w:rPr>
              <w:t>依据</w:t>
            </w:r>
          </w:p>
        </w:tc>
        <w:tc>
          <w:tcPr>
            <w:tcW w:w="719" w:type="dxa"/>
            <w:vMerge w:val="continue"/>
            <w:shd w:val="clear" w:color="auto" w:fill="FFFFFF"/>
            <w:vAlign w:val="center"/>
          </w:tcPr>
          <w:p>
            <w:pPr>
              <w:spacing w:line="360" w:lineRule="exact"/>
              <w:jc w:val="center"/>
              <w:rPr>
                <w:rFonts w:ascii="宋体" w:hAnsi="宋体" w:eastAsia="宋体"/>
                <w:b/>
                <w:color w:val="auto"/>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475" w:hRule="atLeast"/>
          <w:jc w:val="center"/>
        </w:trPr>
        <w:tc>
          <w:tcPr>
            <w:tcW w:w="664" w:type="dxa"/>
            <w:vMerge w:val="restart"/>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1</w:t>
            </w:r>
          </w:p>
        </w:tc>
        <w:tc>
          <w:tcPr>
            <w:tcW w:w="832" w:type="dxa"/>
            <w:vMerge w:val="restart"/>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甲类</w:t>
            </w:r>
            <w:r>
              <w:rPr>
                <w:rFonts w:hint="eastAsia" w:ascii="宋体" w:hAnsi="宋体" w:eastAsia="宋体"/>
                <w:color w:val="auto"/>
                <w:sz w:val="21"/>
                <w:szCs w:val="21"/>
                <w:lang w:eastAsia="zh-CN"/>
              </w:rPr>
              <w:t>生产</w:t>
            </w:r>
            <w:r>
              <w:rPr>
                <w:rFonts w:ascii="宋体" w:hAnsi="宋体" w:eastAsia="宋体"/>
                <w:color w:val="auto"/>
                <w:sz w:val="21"/>
                <w:szCs w:val="21"/>
              </w:rPr>
              <w:t>车间</w:t>
            </w:r>
          </w:p>
        </w:tc>
        <w:tc>
          <w:tcPr>
            <w:tcW w:w="807" w:type="dxa"/>
            <w:vMerge w:val="restart"/>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甲</w:t>
            </w:r>
          </w:p>
        </w:tc>
        <w:tc>
          <w:tcPr>
            <w:tcW w:w="1104" w:type="dxa"/>
            <w:tcBorders>
              <w:bottom w:val="single" w:color="auto" w:sz="4" w:space="0"/>
            </w:tcBorders>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甲类仓库</w:t>
            </w:r>
          </w:p>
        </w:tc>
        <w:tc>
          <w:tcPr>
            <w:tcW w:w="851" w:type="dxa"/>
            <w:tcBorders>
              <w:bottom w:val="single" w:color="auto" w:sz="4" w:space="0"/>
            </w:tcBorders>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甲</w:t>
            </w:r>
          </w:p>
        </w:tc>
        <w:tc>
          <w:tcPr>
            <w:tcW w:w="632" w:type="dxa"/>
            <w:tcBorders>
              <w:bottom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15</w:t>
            </w:r>
          </w:p>
        </w:tc>
        <w:tc>
          <w:tcPr>
            <w:tcW w:w="715" w:type="dxa"/>
            <w:tcBorders>
              <w:bottom w:val="single" w:color="auto" w:sz="4" w:space="0"/>
            </w:tcBorders>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15</w:t>
            </w:r>
          </w:p>
        </w:tc>
        <w:tc>
          <w:tcPr>
            <w:tcW w:w="2874" w:type="dxa"/>
            <w:tcBorders>
              <w:bottom w:val="single" w:color="auto" w:sz="4" w:space="0"/>
            </w:tcBorders>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《建规》第3.5.1条</w:t>
            </w:r>
          </w:p>
        </w:tc>
        <w:tc>
          <w:tcPr>
            <w:tcW w:w="719" w:type="dxa"/>
            <w:tcBorders>
              <w:bottom w:val="single" w:color="auto" w:sz="4" w:space="0"/>
            </w:tcBorders>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是</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137" w:hRule="atLeast"/>
          <w:jc w:val="center"/>
        </w:trPr>
        <w:tc>
          <w:tcPr>
            <w:tcW w:w="664" w:type="dxa"/>
            <w:vMerge w:val="continue"/>
            <w:shd w:val="clear" w:color="auto" w:fill="FFFFFF"/>
            <w:vAlign w:val="center"/>
          </w:tcPr>
          <w:p>
            <w:pPr>
              <w:spacing w:line="360" w:lineRule="exact"/>
              <w:jc w:val="center"/>
              <w:rPr>
                <w:rFonts w:ascii="宋体" w:hAnsi="宋体" w:eastAsia="宋体"/>
                <w:color w:val="auto"/>
                <w:sz w:val="21"/>
                <w:szCs w:val="21"/>
              </w:rPr>
            </w:pPr>
          </w:p>
        </w:tc>
        <w:tc>
          <w:tcPr>
            <w:tcW w:w="832" w:type="dxa"/>
            <w:vMerge w:val="continue"/>
            <w:shd w:val="clear" w:color="auto" w:fill="FFFFFF"/>
            <w:vAlign w:val="center"/>
          </w:tcPr>
          <w:p>
            <w:pPr>
              <w:spacing w:line="360" w:lineRule="exact"/>
              <w:jc w:val="center"/>
              <w:rPr>
                <w:rFonts w:ascii="宋体" w:hAnsi="宋体" w:eastAsia="宋体"/>
                <w:color w:val="auto"/>
                <w:sz w:val="21"/>
                <w:szCs w:val="21"/>
              </w:rPr>
            </w:pPr>
          </w:p>
        </w:tc>
        <w:tc>
          <w:tcPr>
            <w:tcW w:w="807" w:type="dxa"/>
            <w:vMerge w:val="continue"/>
            <w:shd w:val="clear" w:color="auto" w:fill="FFFFFF"/>
            <w:vAlign w:val="center"/>
          </w:tcPr>
          <w:p>
            <w:pPr>
              <w:spacing w:line="360" w:lineRule="exact"/>
              <w:jc w:val="center"/>
              <w:rPr>
                <w:rFonts w:ascii="宋体" w:hAnsi="宋体" w:eastAsia="宋体"/>
                <w:color w:val="auto"/>
                <w:sz w:val="21"/>
                <w:szCs w:val="21"/>
                <w:lang w:eastAsia="zh-CN"/>
              </w:rPr>
            </w:pPr>
          </w:p>
        </w:tc>
        <w:tc>
          <w:tcPr>
            <w:tcW w:w="1104" w:type="dxa"/>
            <w:tcBorders>
              <w:top w:val="single" w:color="auto" w:sz="4" w:space="0"/>
              <w:bottom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办公楼</w:t>
            </w:r>
          </w:p>
        </w:tc>
        <w:tc>
          <w:tcPr>
            <w:tcW w:w="851" w:type="dxa"/>
            <w:tcBorders>
              <w:top w:val="single" w:color="auto" w:sz="4" w:space="0"/>
              <w:bottom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民建</w:t>
            </w:r>
          </w:p>
        </w:tc>
        <w:tc>
          <w:tcPr>
            <w:tcW w:w="632" w:type="dxa"/>
            <w:tcBorders>
              <w:top w:val="single" w:color="auto" w:sz="4" w:space="0"/>
              <w:bottom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70</w:t>
            </w:r>
          </w:p>
        </w:tc>
        <w:tc>
          <w:tcPr>
            <w:tcW w:w="715" w:type="dxa"/>
            <w:tcBorders>
              <w:top w:val="single" w:color="auto" w:sz="4" w:space="0"/>
              <w:bottom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25</w:t>
            </w:r>
          </w:p>
        </w:tc>
        <w:tc>
          <w:tcPr>
            <w:tcW w:w="2874" w:type="dxa"/>
            <w:tcBorders>
              <w:top w:val="single" w:color="auto" w:sz="4" w:space="0"/>
              <w:bottom w:val="single" w:color="auto" w:sz="4" w:space="0"/>
            </w:tcBorders>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《建规》第3.4.1条</w:t>
            </w:r>
          </w:p>
        </w:tc>
        <w:tc>
          <w:tcPr>
            <w:tcW w:w="719" w:type="dxa"/>
            <w:tcBorders>
              <w:top w:val="single" w:color="auto" w:sz="4" w:space="0"/>
              <w:bottom w:val="single" w:color="auto" w:sz="4" w:space="0"/>
            </w:tcBorders>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是</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237" w:hRule="atLeast"/>
          <w:jc w:val="center"/>
        </w:trPr>
        <w:tc>
          <w:tcPr>
            <w:tcW w:w="664" w:type="dxa"/>
            <w:vMerge w:val="continue"/>
            <w:shd w:val="clear" w:color="auto" w:fill="FFFFFF"/>
            <w:vAlign w:val="center"/>
          </w:tcPr>
          <w:p>
            <w:pPr>
              <w:spacing w:line="360" w:lineRule="exact"/>
              <w:jc w:val="center"/>
              <w:rPr>
                <w:rFonts w:ascii="宋体" w:hAnsi="宋体" w:eastAsia="宋体"/>
                <w:color w:val="auto"/>
                <w:sz w:val="21"/>
                <w:szCs w:val="21"/>
              </w:rPr>
            </w:pPr>
          </w:p>
        </w:tc>
        <w:tc>
          <w:tcPr>
            <w:tcW w:w="832" w:type="dxa"/>
            <w:vMerge w:val="continue"/>
            <w:shd w:val="clear" w:color="auto" w:fill="FFFFFF"/>
            <w:vAlign w:val="center"/>
          </w:tcPr>
          <w:p>
            <w:pPr>
              <w:spacing w:line="360" w:lineRule="exact"/>
              <w:jc w:val="center"/>
              <w:rPr>
                <w:rFonts w:ascii="宋体" w:hAnsi="宋体" w:eastAsia="宋体"/>
                <w:color w:val="auto"/>
                <w:sz w:val="21"/>
                <w:szCs w:val="21"/>
              </w:rPr>
            </w:pPr>
          </w:p>
        </w:tc>
        <w:tc>
          <w:tcPr>
            <w:tcW w:w="807" w:type="dxa"/>
            <w:vMerge w:val="continue"/>
            <w:shd w:val="clear" w:color="auto" w:fill="FFFFFF"/>
            <w:vAlign w:val="center"/>
          </w:tcPr>
          <w:p>
            <w:pPr>
              <w:spacing w:line="360" w:lineRule="exact"/>
              <w:jc w:val="center"/>
              <w:rPr>
                <w:rFonts w:ascii="宋体" w:hAnsi="宋体" w:eastAsia="宋体"/>
                <w:color w:val="auto"/>
                <w:sz w:val="21"/>
                <w:szCs w:val="21"/>
                <w:lang w:eastAsia="zh-CN"/>
              </w:rPr>
            </w:pPr>
          </w:p>
        </w:tc>
        <w:tc>
          <w:tcPr>
            <w:tcW w:w="1104" w:type="dxa"/>
            <w:tcBorders>
              <w:top w:val="single" w:color="auto" w:sz="4" w:space="0"/>
              <w:bottom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宿舍楼</w:t>
            </w:r>
          </w:p>
        </w:tc>
        <w:tc>
          <w:tcPr>
            <w:tcW w:w="851" w:type="dxa"/>
            <w:tcBorders>
              <w:top w:val="single" w:color="auto" w:sz="4" w:space="0"/>
              <w:bottom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民建</w:t>
            </w:r>
          </w:p>
        </w:tc>
        <w:tc>
          <w:tcPr>
            <w:tcW w:w="632" w:type="dxa"/>
            <w:tcBorders>
              <w:top w:val="single" w:color="auto" w:sz="4" w:space="0"/>
              <w:bottom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70</w:t>
            </w:r>
          </w:p>
        </w:tc>
        <w:tc>
          <w:tcPr>
            <w:tcW w:w="715" w:type="dxa"/>
            <w:tcBorders>
              <w:top w:val="single" w:color="auto" w:sz="4" w:space="0"/>
              <w:bottom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25</w:t>
            </w:r>
          </w:p>
        </w:tc>
        <w:tc>
          <w:tcPr>
            <w:tcW w:w="2874" w:type="dxa"/>
            <w:tcBorders>
              <w:top w:val="single" w:color="auto" w:sz="4" w:space="0"/>
              <w:bottom w:val="single" w:color="auto" w:sz="4" w:space="0"/>
            </w:tcBorders>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《建规》第3.4.1条</w:t>
            </w:r>
          </w:p>
        </w:tc>
        <w:tc>
          <w:tcPr>
            <w:tcW w:w="719" w:type="dxa"/>
            <w:tcBorders>
              <w:top w:val="single" w:color="auto" w:sz="4" w:space="0"/>
              <w:bottom w:val="single" w:color="auto" w:sz="4" w:space="0"/>
            </w:tcBorders>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是</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240" w:hRule="atLeast"/>
          <w:jc w:val="center"/>
        </w:trPr>
        <w:tc>
          <w:tcPr>
            <w:tcW w:w="664" w:type="dxa"/>
            <w:vMerge w:val="continue"/>
            <w:shd w:val="clear" w:color="auto" w:fill="FFFFFF"/>
            <w:vAlign w:val="center"/>
          </w:tcPr>
          <w:p>
            <w:pPr>
              <w:spacing w:line="360" w:lineRule="exact"/>
              <w:jc w:val="center"/>
              <w:rPr>
                <w:rFonts w:ascii="宋体" w:hAnsi="宋体" w:eastAsia="宋体"/>
                <w:color w:val="auto"/>
                <w:sz w:val="21"/>
                <w:szCs w:val="21"/>
              </w:rPr>
            </w:pPr>
          </w:p>
        </w:tc>
        <w:tc>
          <w:tcPr>
            <w:tcW w:w="832" w:type="dxa"/>
            <w:vMerge w:val="continue"/>
            <w:shd w:val="clear" w:color="auto" w:fill="FFFFFF"/>
            <w:vAlign w:val="center"/>
          </w:tcPr>
          <w:p>
            <w:pPr>
              <w:spacing w:line="360" w:lineRule="exact"/>
              <w:jc w:val="center"/>
              <w:rPr>
                <w:rFonts w:ascii="宋体" w:hAnsi="宋体" w:eastAsia="宋体"/>
                <w:color w:val="auto"/>
                <w:sz w:val="21"/>
                <w:szCs w:val="21"/>
              </w:rPr>
            </w:pPr>
          </w:p>
        </w:tc>
        <w:tc>
          <w:tcPr>
            <w:tcW w:w="807" w:type="dxa"/>
            <w:vMerge w:val="continue"/>
            <w:shd w:val="clear" w:color="auto" w:fill="FFFFFF"/>
            <w:vAlign w:val="center"/>
          </w:tcPr>
          <w:p>
            <w:pPr>
              <w:spacing w:line="360" w:lineRule="exact"/>
              <w:jc w:val="center"/>
              <w:rPr>
                <w:rFonts w:ascii="宋体" w:hAnsi="宋体" w:eastAsia="宋体"/>
                <w:color w:val="auto"/>
                <w:sz w:val="21"/>
                <w:szCs w:val="21"/>
                <w:lang w:eastAsia="zh-CN"/>
              </w:rPr>
            </w:pPr>
          </w:p>
        </w:tc>
        <w:tc>
          <w:tcPr>
            <w:tcW w:w="1104" w:type="dxa"/>
            <w:tcBorders>
              <w:top w:val="single" w:color="auto" w:sz="4" w:space="0"/>
              <w:bottom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配电房</w:t>
            </w:r>
          </w:p>
        </w:tc>
        <w:tc>
          <w:tcPr>
            <w:tcW w:w="851" w:type="dxa"/>
            <w:tcBorders>
              <w:top w:val="single" w:color="auto" w:sz="4" w:space="0"/>
              <w:bottom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丁</w:t>
            </w:r>
          </w:p>
        </w:tc>
        <w:tc>
          <w:tcPr>
            <w:tcW w:w="632" w:type="dxa"/>
            <w:tcBorders>
              <w:top w:val="single" w:color="auto" w:sz="4" w:space="0"/>
              <w:bottom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37</w:t>
            </w:r>
          </w:p>
        </w:tc>
        <w:tc>
          <w:tcPr>
            <w:tcW w:w="715" w:type="dxa"/>
            <w:tcBorders>
              <w:top w:val="single" w:color="auto" w:sz="4" w:space="0"/>
              <w:bottom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12</w:t>
            </w:r>
          </w:p>
        </w:tc>
        <w:tc>
          <w:tcPr>
            <w:tcW w:w="2874" w:type="dxa"/>
            <w:tcBorders>
              <w:top w:val="single" w:color="auto" w:sz="4" w:space="0"/>
              <w:bottom w:val="single" w:color="auto" w:sz="4" w:space="0"/>
            </w:tcBorders>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《建规》第3.4.1条</w:t>
            </w:r>
          </w:p>
        </w:tc>
        <w:tc>
          <w:tcPr>
            <w:tcW w:w="719" w:type="dxa"/>
            <w:tcBorders>
              <w:top w:val="single" w:color="auto" w:sz="4" w:space="0"/>
              <w:bottom w:val="single" w:color="auto" w:sz="4" w:space="0"/>
            </w:tcBorders>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是</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105" w:hRule="atLeast"/>
          <w:jc w:val="center"/>
        </w:trPr>
        <w:tc>
          <w:tcPr>
            <w:tcW w:w="664" w:type="dxa"/>
            <w:vMerge w:val="continue"/>
            <w:shd w:val="clear" w:color="auto" w:fill="FFFFFF"/>
            <w:vAlign w:val="center"/>
          </w:tcPr>
          <w:p>
            <w:pPr>
              <w:spacing w:line="360" w:lineRule="exact"/>
              <w:jc w:val="center"/>
              <w:rPr>
                <w:rFonts w:ascii="宋体" w:hAnsi="宋体" w:eastAsia="宋体"/>
                <w:color w:val="auto"/>
                <w:sz w:val="21"/>
                <w:szCs w:val="21"/>
              </w:rPr>
            </w:pPr>
          </w:p>
        </w:tc>
        <w:tc>
          <w:tcPr>
            <w:tcW w:w="832" w:type="dxa"/>
            <w:vMerge w:val="continue"/>
            <w:shd w:val="clear" w:color="auto" w:fill="FFFFFF"/>
            <w:vAlign w:val="center"/>
          </w:tcPr>
          <w:p>
            <w:pPr>
              <w:spacing w:line="360" w:lineRule="exact"/>
              <w:jc w:val="center"/>
              <w:rPr>
                <w:rFonts w:ascii="宋体" w:hAnsi="宋体" w:eastAsia="宋体"/>
                <w:color w:val="auto"/>
                <w:sz w:val="21"/>
                <w:szCs w:val="21"/>
              </w:rPr>
            </w:pPr>
          </w:p>
        </w:tc>
        <w:tc>
          <w:tcPr>
            <w:tcW w:w="807" w:type="dxa"/>
            <w:vMerge w:val="continue"/>
            <w:shd w:val="clear" w:color="auto" w:fill="FFFFFF"/>
            <w:vAlign w:val="center"/>
          </w:tcPr>
          <w:p>
            <w:pPr>
              <w:spacing w:line="360" w:lineRule="exact"/>
              <w:jc w:val="center"/>
              <w:rPr>
                <w:rFonts w:ascii="宋体" w:hAnsi="宋体" w:eastAsia="宋体"/>
                <w:color w:val="auto"/>
                <w:sz w:val="21"/>
                <w:szCs w:val="21"/>
                <w:lang w:eastAsia="zh-CN"/>
              </w:rPr>
            </w:pPr>
          </w:p>
        </w:tc>
        <w:tc>
          <w:tcPr>
            <w:tcW w:w="1104" w:type="dxa"/>
            <w:tcBorders>
              <w:top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围墙</w:t>
            </w:r>
          </w:p>
        </w:tc>
        <w:tc>
          <w:tcPr>
            <w:tcW w:w="851" w:type="dxa"/>
            <w:tcBorders>
              <w:top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w:t>
            </w:r>
          </w:p>
        </w:tc>
        <w:tc>
          <w:tcPr>
            <w:tcW w:w="632" w:type="dxa"/>
            <w:tcBorders>
              <w:top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12</w:t>
            </w:r>
          </w:p>
        </w:tc>
        <w:tc>
          <w:tcPr>
            <w:tcW w:w="715" w:type="dxa"/>
            <w:tcBorders>
              <w:top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5</w:t>
            </w:r>
          </w:p>
        </w:tc>
        <w:tc>
          <w:tcPr>
            <w:tcW w:w="2874" w:type="dxa"/>
            <w:tcBorders>
              <w:top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ascii="宋体" w:hAnsi="宋体" w:eastAsia="宋体"/>
                <w:color w:val="auto"/>
                <w:sz w:val="21"/>
                <w:szCs w:val="21"/>
              </w:rPr>
              <w:t>《建规》</w:t>
            </w:r>
            <w:r>
              <w:rPr>
                <w:rFonts w:hint="eastAsia" w:ascii="宋体" w:hAnsi="宋体" w:eastAsia="宋体"/>
                <w:color w:val="auto"/>
                <w:sz w:val="21"/>
                <w:szCs w:val="21"/>
                <w:lang w:eastAsia="zh-CN"/>
              </w:rPr>
              <w:t>第3.4.12</w:t>
            </w:r>
          </w:p>
        </w:tc>
        <w:tc>
          <w:tcPr>
            <w:tcW w:w="719" w:type="dxa"/>
            <w:tcBorders>
              <w:top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是</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664" w:type="dxa"/>
            <w:vMerge w:val="restart"/>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2</w:t>
            </w:r>
          </w:p>
        </w:tc>
        <w:tc>
          <w:tcPr>
            <w:tcW w:w="832" w:type="dxa"/>
            <w:vMerge w:val="restart"/>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甲类仓库</w:t>
            </w:r>
          </w:p>
        </w:tc>
        <w:tc>
          <w:tcPr>
            <w:tcW w:w="807" w:type="dxa"/>
            <w:vMerge w:val="restart"/>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甲</w:t>
            </w:r>
          </w:p>
        </w:tc>
        <w:tc>
          <w:tcPr>
            <w:tcW w:w="1104" w:type="dxa"/>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办公楼</w:t>
            </w:r>
          </w:p>
        </w:tc>
        <w:tc>
          <w:tcPr>
            <w:tcW w:w="851" w:type="dxa"/>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民建</w:t>
            </w:r>
          </w:p>
        </w:tc>
        <w:tc>
          <w:tcPr>
            <w:tcW w:w="632" w:type="dxa"/>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35</w:t>
            </w:r>
          </w:p>
        </w:tc>
        <w:tc>
          <w:tcPr>
            <w:tcW w:w="715" w:type="dxa"/>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30</w:t>
            </w:r>
          </w:p>
        </w:tc>
        <w:tc>
          <w:tcPr>
            <w:tcW w:w="2874" w:type="dxa"/>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《建规》第3.4.1条</w:t>
            </w:r>
          </w:p>
        </w:tc>
        <w:tc>
          <w:tcPr>
            <w:tcW w:w="719" w:type="dxa"/>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是</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49" w:hRule="atLeast"/>
          <w:jc w:val="center"/>
        </w:trPr>
        <w:tc>
          <w:tcPr>
            <w:tcW w:w="664" w:type="dxa"/>
            <w:vMerge w:val="continue"/>
            <w:shd w:val="clear" w:color="auto" w:fill="FFFFFF"/>
            <w:vAlign w:val="center"/>
          </w:tcPr>
          <w:p>
            <w:pPr>
              <w:spacing w:line="360" w:lineRule="exact"/>
              <w:jc w:val="center"/>
              <w:rPr>
                <w:rFonts w:ascii="宋体" w:hAnsi="宋体" w:eastAsia="宋体"/>
                <w:color w:val="auto"/>
                <w:sz w:val="21"/>
                <w:szCs w:val="21"/>
              </w:rPr>
            </w:pPr>
          </w:p>
        </w:tc>
        <w:tc>
          <w:tcPr>
            <w:tcW w:w="832" w:type="dxa"/>
            <w:vMerge w:val="continue"/>
            <w:shd w:val="clear" w:color="auto" w:fill="FFFFFF"/>
            <w:vAlign w:val="center"/>
          </w:tcPr>
          <w:p>
            <w:pPr>
              <w:spacing w:line="360" w:lineRule="exact"/>
              <w:jc w:val="center"/>
              <w:rPr>
                <w:rFonts w:ascii="宋体" w:hAnsi="宋体" w:eastAsia="宋体"/>
                <w:color w:val="auto"/>
                <w:sz w:val="21"/>
                <w:szCs w:val="21"/>
              </w:rPr>
            </w:pPr>
          </w:p>
        </w:tc>
        <w:tc>
          <w:tcPr>
            <w:tcW w:w="807" w:type="dxa"/>
            <w:vMerge w:val="continue"/>
            <w:shd w:val="clear" w:color="auto" w:fill="FFFFFF"/>
            <w:vAlign w:val="center"/>
          </w:tcPr>
          <w:p>
            <w:pPr>
              <w:spacing w:line="360" w:lineRule="exact"/>
              <w:jc w:val="center"/>
              <w:rPr>
                <w:rFonts w:ascii="宋体" w:hAnsi="宋体" w:eastAsia="宋体"/>
                <w:color w:val="auto"/>
                <w:sz w:val="21"/>
                <w:szCs w:val="21"/>
              </w:rPr>
            </w:pPr>
          </w:p>
        </w:tc>
        <w:tc>
          <w:tcPr>
            <w:tcW w:w="1104" w:type="dxa"/>
            <w:tcBorders>
              <w:bottom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宿舍楼</w:t>
            </w:r>
          </w:p>
        </w:tc>
        <w:tc>
          <w:tcPr>
            <w:tcW w:w="851" w:type="dxa"/>
            <w:tcBorders>
              <w:bottom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民建</w:t>
            </w:r>
          </w:p>
        </w:tc>
        <w:tc>
          <w:tcPr>
            <w:tcW w:w="632" w:type="dxa"/>
            <w:tcBorders>
              <w:bottom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35</w:t>
            </w:r>
          </w:p>
        </w:tc>
        <w:tc>
          <w:tcPr>
            <w:tcW w:w="715" w:type="dxa"/>
            <w:tcBorders>
              <w:bottom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30</w:t>
            </w:r>
          </w:p>
        </w:tc>
        <w:tc>
          <w:tcPr>
            <w:tcW w:w="2874" w:type="dxa"/>
            <w:tcBorders>
              <w:bottom w:val="single" w:color="auto" w:sz="4" w:space="0"/>
            </w:tcBorders>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《建规》第3.4.1条</w:t>
            </w:r>
          </w:p>
        </w:tc>
        <w:tc>
          <w:tcPr>
            <w:tcW w:w="719" w:type="dxa"/>
            <w:tcBorders>
              <w:bottom w:val="single" w:color="auto" w:sz="4" w:space="0"/>
            </w:tcBorders>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是</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195" w:hRule="atLeast"/>
          <w:jc w:val="center"/>
        </w:trPr>
        <w:tc>
          <w:tcPr>
            <w:tcW w:w="664" w:type="dxa"/>
            <w:vMerge w:val="continue"/>
            <w:shd w:val="clear" w:color="auto" w:fill="FFFFFF"/>
            <w:vAlign w:val="center"/>
          </w:tcPr>
          <w:p>
            <w:pPr>
              <w:spacing w:line="360" w:lineRule="exact"/>
              <w:jc w:val="center"/>
              <w:rPr>
                <w:rFonts w:ascii="宋体" w:hAnsi="宋体" w:eastAsia="宋体"/>
                <w:color w:val="auto"/>
                <w:sz w:val="21"/>
                <w:szCs w:val="21"/>
              </w:rPr>
            </w:pPr>
          </w:p>
        </w:tc>
        <w:tc>
          <w:tcPr>
            <w:tcW w:w="832" w:type="dxa"/>
            <w:vMerge w:val="continue"/>
            <w:shd w:val="clear" w:color="auto" w:fill="FFFFFF"/>
            <w:vAlign w:val="center"/>
          </w:tcPr>
          <w:p>
            <w:pPr>
              <w:spacing w:line="360" w:lineRule="exact"/>
              <w:jc w:val="center"/>
              <w:rPr>
                <w:rFonts w:ascii="宋体" w:hAnsi="宋体" w:eastAsia="宋体"/>
                <w:color w:val="auto"/>
                <w:sz w:val="21"/>
                <w:szCs w:val="21"/>
              </w:rPr>
            </w:pPr>
          </w:p>
        </w:tc>
        <w:tc>
          <w:tcPr>
            <w:tcW w:w="807" w:type="dxa"/>
            <w:vMerge w:val="continue"/>
            <w:shd w:val="clear" w:color="auto" w:fill="FFFFFF"/>
            <w:vAlign w:val="center"/>
          </w:tcPr>
          <w:p>
            <w:pPr>
              <w:spacing w:line="360" w:lineRule="exact"/>
              <w:jc w:val="center"/>
              <w:rPr>
                <w:rFonts w:ascii="宋体" w:hAnsi="宋体" w:eastAsia="宋体"/>
                <w:color w:val="auto"/>
                <w:sz w:val="21"/>
                <w:szCs w:val="21"/>
              </w:rPr>
            </w:pPr>
          </w:p>
        </w:tc>
        <w:tc>
          <w:tcPr>
            <w:tcW w:w="1104" w:type="dxa"/>
            <w:tcBorders>
              <w:top w:val="single" w:color="auto" w:sz="4" w:space="0"/>
              <w:bottom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配电房</w:t>
            </w:r>
          </w:p>
        </w:tc>
        <w:tc>
          <w:tcPr>
            <w:tcW w:w="851" w:type="dxa"/>
            <w:tcBorders>
              <w:top w:val="single" w:color="auto" w:sz="4" w:space="0"/>
              <w:bottom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丁</w:t>
            </w:r>
          </w:p>
        </w:tc>
        <w:tc>
          <w:tcPr>
            <w:tcW w:w="632" w:type="dxa"/>
            <w:tcBorders>
              <w:top w:val="single" w:color="auto" w:sz="4" w:space="0"/>
              <w:bottom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85</w:t>
            </w:r>
          </w:p>
        </w:tc>
        <w:tc>
          <w:tcPr>
            <w:tcW w:w="715" w:type="dxa"/>
            <w:tcBorders>
              <w:top w:val="single" w:color="auto" w:sz="4" w:space="0"/>
              <w:bottom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15</w:t>
            </w:r>
          </w:p>
        </w:tc>
        <w:tc>
          <w:tcPr>
            <w:tcW w:w="2874" w:type="dxa"/>
            <w:tcBorders>
              <w:top w:val="single" w:color="auto" w:sz="4" w:space="0"/>
              <w:bottom w:val="single" w:color="auto" w:sz="4" w:space="0"/>
            </w:tcBorders>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《建规》第3.4.1条</w:t>
            </w:r>
          </w:p>
        </w:tc>
        <w:tc>
          <w:tcPr>
            <w:tcW w:w="719" w:type="dxa"/>
            <w:tcBorders>
              <w:top w:val="single" w:color="auto" w:sz="4" w:space="0"/>
              <w:bottom w:val="single" w:color="auto" w:sz="4" w:space="0"/>
            </w:tcBorders>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是</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150" w:hRule="atLeast"/>
          <w:jc w:val="center"/>
        </w:trPr>
        <w:tc>
          <w:tcPr>
            <w:tcW w:w="664" w:type="dxa"/>
            <w:vMerge w:val="continue"/>
            <w:tcBorders>
              <w:bottom w:val="single" w:color="auto" w:sz="4" w:space="0"/>
            </w:tcBorders>
            <w:shd w:val="clear" w:color="auto" w:fill="FFFFFF"/>
            <w:vAlign w:val="center"/>
          </w:tcPr>
          <w:p>
            <w:pPr>
              <w:spacing w:line="360" w:lineRule="exact"/>
              <w:jc w:val="center"/>
              <w:rPr>
                <w:rFonts w:ascii="宋体" w:hAnsi="宋体" w:eastAsia="宋体"/>
                <w:color w:val="auto"/>
                <w:sz w:val="21"/>
                <w:szCs w:val="21"/>
              </w:rPr>
            </w:pPr>
          </w:p>
        </w:tc>
        <w:tc>
          <w:tcPr>
            <w:tcW w:w="832" w:type="dxa"/>
            <w:vMerge w:val="continue"/>
            <w:tcBorders>
              <w:bottom w:val="single" w:color="auto" w:sz="4" w:space="0"/>
            </w:tcBorders>
            <w:shd w:val="clear" w:color="auto" w:fill="FFFFFF"/>
            <w:vAlign w:val="center"/>
          </w:tcPr>
          <w:p>
            <w:pPr>
              <w:spacing w:line="360" w:lineRule="exact"/>
              <w:jc w:val="center"/>
              <w:rPr>
                <w:rFonts w:ascii="宋体" w:hAnsi="宋体" w:eastAsia="宋体"/>
                <w:color w:val="auto"/>
                <w:sz w:val="21"/>
                <w:szCs w:val="21"/>
              </w:rPr>
            </w:pPr>
          </w:p>
        </w:tc>
        <w:tc>
          <w:tcPr>
            <w:tcW w:w="807" w:type="dxa"/>
            <w:vMerge w:val="continue"/>
            <w:tcBorders>
              <w:bottom w:val="single" w:color="auto" w:sz="4" w:space="0"/>
            </w:tcBorders>
            <w:shd w:val="clear" w:color="auto" w:fill="FFFFFF"/>
            <w:vAlign w:val="center"/>
          </w:tcPr>
          <w:p>
            <w:pPr>
              <w:spacing w:line="360" w:lineRule="exact"/>
              <w:jc w:val="center"/>
              <w:rPr>
                <w:rFonts w:ascii="宋体" w:hAnsi="宋体" w:eastAsia="宋体"/>
                <w:color w:val="auto"/>
                <w:sz w:val="21"/>
                <w:szCs w:val="21"/>
              </w:rPr>
            </w:pPr>
          </w:p>
        </w:tc>
        <w:tc>
          <w:tcPr>
            <w:tcW w:w="1104" w:type="dxa"/>
            <w:tcBorders>
              <w:top w:val="single" w:color="auto" w:sz="4" w:space="0"/>
              <w:bottom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围墙</w:t>
            </w:r>
          </w:p>
        </w:tc>
        <w:tc>
          <w:tcPr>
            <w:tcW w:w="851" w:type="dxa"/>
            <w:tcBorders>
              <w:top w:val="single" w:color="auto" w:sz="4" w:space="0"/>
              <w:bottom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w:t>
            </w:r>
          </w:p>
        </w:tc>
        <w:tc>
          <w:tcPr>
            <w:tcW w:w="632" w:type="dxa"/>
            <w:tcBorders>
              <w:top w:val="single" w:color="auto" w:sz="4" w:space="0"/>
              <w:bottom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12</w:t>
            </w:r>
          </w:p>
        </w:tc>
        <w:tc>
          <w:tcPr>
            <w:tcW w:w="715" w:type="dxa"/>
            <w:tcBorders>
              <w:top w:val="single" w:color="auto" w:sz="4" w:space="0"/>
              <w:bottom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5</w:t>
            </w:r>
          </w:p>
        </w:tc>
        <w:tc>
          <w:tcPr>
            <w:tcW w:w="2874" w:type="dxa"/>
            <w:tcBorders>
              <w:top w:val="single" w:color="auto" w:sz="4" w:space="0"/>
              <w:bottom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ascii="宋体" w:hAnsi="宋体" w:eastAsia="宋体"/>
                <w:color w:val="auto"/>
                <w:sz w:val="21"/>
                <w:szCs w:val="21"/>
              </w:rPr>
              <w:t>《建规》</w:t>
            </w:r>
            <w:r>
              <w:rPr>
                <w:rFonts w:hint="eastAsia" w:ascii="宋体" w:hAnsi="宋体" w:eastAsia="宋体"/>
                <w:color w:val="auto"/>
                <w:sz w:val="21"/>
                <w:szCs w:val="21"/>
                <w:lang w:eastAsia="zh-CN"/>
              </w:rPr>
              <w:t>第3.4.12</w:t>
            </w:r>
          </w:p>
        </w:tc>
        <w:tc>
          <w:tcPr>
            <w:tcW w:w="719" w:type="dxa"/>
            <w:tcBorders>
              <w:top w:val="single" w:color="auto" w:sz="4" w:space="0"/>
              <w:bottom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是</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195" w:hRule="atLeast"/>
          <w:jc w:val="center"/>
        </w:trPr>
        <w:tc>
          <w:tcPr>
            <w:tcW w:w="664" w:type="dxa"/>
            <w:vMerge w:val="restart"/>
            <w:tcBorders>
              <w:top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3</w:t>
            </w:r>
          </w:p>
        </w:tc>
        <w:tc>
          <w:tcPr>
            <w:tcW w:w="832" w:type="dxa"/>
            <w:vMerge w:val="restart"/>
            <w:tcBorders>
              <w:top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办公楼</w:t>
            </w:r>
          </w:p>
        </w:tc>
        <w:tc>
          <w:tcPr>
            <w:tcW w:w="807" w:type="dxa"/>
            <w:vMerge w:val="restart"/>
            <w:tcBorders>
              <w:top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民建</w:t>
            </w:r>
          </w:p>
        </w:tc>
        <w:tc>
          <w:tcPr>
            <w:tcW w:w="1104" w:type="dxa"/>
            <w:tcBorders>
              <w:top w:val="single" w:color="auto" w:sz="4" w:space="0"/>
              <w:bottom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配电房</w:t>
            </w:r>
          </w:p>
        </w:tc>
        <w:tc>
          <w:tcPr>
            <w:tcW w:w="851" w:type="dxa"/>
            <w:tcBorders>
              <w:top w:val="single" w:color="auto" w:sz="4" w:space="0"/>
              <w:bottom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丁</w:t>
            </w:r>
          </w:p>
        </w:tc>
        <w:tc>
          <w:tcPr>
            <w:tcW w:w="632" w:type="dxa"/>
            <w:tcBorders>
              <w:top w:val="single" w:color="auto" w:sz="4" w:space="0"/>
              <w:bottom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&gt;100</w:t>
            </w:r>
          </w:p>
        </w:tc>
        <w:tc>
          <w:tcPr>
            <w:tcW w:w="715" w:type="dxa"/>
            <w:tcBorders>
              <w:top w:val="single" w:color="auto" w:sz="4" w:space="0"/>
              <w:bottom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10</w:t>
            </w:r>
          </w:p>
        </w:tc>
        <w:tc>
          <w:tcPr>
            <w:tcW w:w="2874" w:type="dxa"/>
            <w:tcBorders>
              <w:top w:val="single" w:color="auto" w:sz="4" w:space="0"/>
              <w:bottom w:val="single" w:color="auto" w:sz="4" w:space="0"/>
            </w:tcBorders>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《建规》第3.4.1条</w:t>
            </w:r>
          </w:p>
        </w:tc>
        <w:tc>
          <w:tcPr>
            <w:tcW w:w="719" w:type="dxa"/>
            <w:tcBorders>
              <w:top w:val="single" w:color="auto" w:sz="4" w:space="0"/>
              <w:bottom w:val="single" w:color="auto" w:sz="4" w:space="0"/>
            </w:tcBorders>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是</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150" w:hRule="atLeast"/>
          <w:jc w:val="center"/>
        </w:trPr>
        <w:tc>
          <w:tcPr>
            <w:tcW w:w="664" w:type="dxa"/>
            <w:vMerge w:val="continue"/>
            <w:tcBorders>
              <w:bottom w:val="single" w:color="auto" w:sz="4" w:space="0"/>
            </w:tcBorders>
            <w:shd w:val="clear" w:color="auto" w:fill="FFFFFF"/>
            <w:vAlign w:val="center"/>
          </w:tcPr>
          <w:p>
            <w:pPr>
              <w:spacing w:line="360" w:lineRule="exact"/>
              <w:jc w:val="center"/>
              <w:rPr>
                <w:rFonts w:ascii="宋体" w:hAnsi="宋体" w:eastAsia="宋体"/>
                <w:color w:val="auto"/>
                <w:sz w:val="21"/>
                <w:szCs w:val="21"/>
              </w:rPr>
            </w:pPr>
          </w:p>
        </w:tc>
        <w:tc>
          <w:tcPr>
            <w:tcW w:w="832" w:type="dxa"/>
            <w:vMerge w:val="continue"/>
            <w:tcBorders>
              <w:bottom w:val="single" w:color="auto" w:sz="4" w:space="0"/>
            </w:tcBorders>
            <w:shd w:val="clear" w:color="auto" w:fill="FFFFFF"/>
            <w:vAlign w:val="center"/>
          </w:tcPr>
          <w:p>
            <w:pPr>
              <w:spacing w:line="360" w:lineRule="exact"/>
              <w:jc w:val="center"/>
              <w:rPr>
                <w:rFonts w:ascii="宋体" w:hAnsi="宋体" w:eastAsia="宋体"/>
                <w:color w:val="auto"/>
                <w:sz w:val="21"/>
                <w:szCs w:val="21"/>
              </w:rPr>
            </w:pPr>
          </w:p>
        </w:tc>
        <w:tc>
          <w:tcPr>
            <w:tcW w:w="807" w:type="dxa"/>
            <w:vMerge w:val="continue"/>
            <w:tcBorders>
              <w:bottom w:val="single" w:color="auto" w:sz="4" w:space="0"/>
            </w:tcBorders>
            <w:shd w:val="clear" w:color="auto" w:fill="FFFFFF"/>
            <w:vAlign w:val="center"/>
          </w:tcPr>
          <w:p>
            <w:pPr>
              <w:spacing w:line="360" w:lineRule="exact"/>
              <w:jc w:val="center"/>
              <w:rPr>
                <w:rFonts w:ascii="宋体" w:hAnsi="宋体" w:eastAsia="宋体"/>
                <w:color w:val="auto"/>
                <w:sz w:val="21"/>
                <w:szCs w:val="21"/>
              </w:rPr>
            </w:pPr>
          </w:p>
        </w:tc>
        <w:tc>
          <w:tcPr>
            <w:tcW w:w="1104" w:type="dxa"/>
            <w:tcBorders>
              <w:top w:val="single" w:color="auto" w:sz="4" w:space="0"/>
              <w:bottom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围墙</w:t>
            </w:r>
          </w:p>
        </w:tc>
        <w:tc>
          <w:tcPr>
            <w:tcW w:w="851" w:type="dxa"/>
            <w:tcBorders>
              <w:top w:val="single" w:color="auto" w:sz="4" w:space="0"/>
              <w:bottom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w:t>
            </w:r>
          </w:p>
        </w:tc>
        <w:tc>
          <w:tcPr>
            <w:tcW w:w="632" w:type="dxa"/>
            <w:tcBorders>
              <w:top w:val="single" w:color="auto" w:sz="4" w:space="0"/>
              <w:bottom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5</w:t>
            </w:r>
          </w:p>
        </w:tc>
        <w:tc>
          <w:tcPr>
            <w:tcW w:w="715" w:type="dxa"/>
            <w:tcBorders>
              <w:top w:val="single" w:color="auto" w:sz="4" w:space="0"/>
              <w:bottom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5</w:t>
            </w:r>
          </w:p>
        </w:tc>
        <w:tc>
          <w:tcPr>
            <w:tcW w:w="2874" w:type="dxa"/>
            <w:tcBorders>
              <w:top w:val="single" w:color="auto" w:sz="4" w:space="0"/>
              <w:bottom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ascii="宋体" w:hAnsi="宋体" w:eastAsia="宋体"/>
                <w:color w:val="auto"/>
                <w:sz w:val="21"/>
                <w:szCs w:val="21"/>
              </w:rPr>
              <w:t>《建规》</w:t>
            </w:r>
            <w:r>
              <w:rPr>
                <w:rFonts w:hint="eastAsia" w:ascii="宋体" w:hAnsi="宋体" w:eastAsia="宋体"/>
                <w:color w:val="auto"/>
                <w:sz w:val="21"/>
                <w:szCs w:val="21"/>
                <w:lang w:eastAsia="zh-CN"/>
              </w:rPr>
              <w:t>第3.4.12</w:t>
            </w:r>
          </w:p>
        </w:tc>
        <w:tc>
          <w:tcPr>
            <w:tcW w:w="719" w:type="dxa"/>
            <w:tcBorders>
              <w:top w:val="single" w:color="auto" w:sz="4" w:space="0"/>
              <w:bottom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是</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105" w:hRule="atLeast"/>
          <w:jc w:val="center"/>
        </w:trPr>
        <w:tc>
          <w:tcPr>
            <w:tcW w:w="664" w:type="dxa"/>
            <w:vMerge w:val="restart"/>
            <w:tcBorders>
              <w:top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4</w:t>
            </w:r>
          </w:p>
        </w:tc>
        <w:tc>
          <w:tcPr>
            <w:tcW w:w="832" w:type="dxa"/>
            <w:vMerge w:val="restart"/>
            <w:tcBorders>
              <w:top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宿舍楼</w:t>
            </w:r>
          </w:p>
        </w:tc>
        <w:tc>
          <w:tcPr>
            <w:tcW w:w="807" w:type="dxa"/>
            <w:vMerge w:val="restart"/>
            <w:tcBorders>
              <w:top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民建</w:t>
            </w:r>
          </w:p>
        </w:tc>
        <w:tc>
          <w:tcPr>
            <w:tcW w:w="1104" w:type="dxa"/>
            <w:tcBorders>
              <w:top w:val="single" w:color="auto" w:sz="4" w:space="0"/>
              <w:bottom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配电房</w:t>
            </w:r>
          </w:p>
        </w:tc>
        <w:tc>
          <w:tcPr>
            <w:tcW w:w="851" w:type="dxa"/>
            <w:tcBorders>
              <w:top w:val="single" w:color="auto" w:sz="4" w:space="0"/>
              <w:bottom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丁</w:t>
            </w:r>
          </w:p>
        </w:tc>
        <w:tc>
          <w:tcPr>
            <w:tcW w:w="632" w:type="dxa"/>
            <w:tcBorders>
              <w:top w:val="single" w:color="auto" w:sz="4" w:space="0"/>
              <w:bottom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&gt;100</w:t>
            </w:r>
          </w:p>
        </w:tc>
        <w:tc>
          <w:tcPr>
            <w:tcW w:w="715" w:type="dxa"/>
            <w:tcBorders>
              <w:top w:val="single" w:color="auto" w:sz="4" w:space="0"/>
              <w:bottom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10</w:t>
            </w:r>
          </w:p>
        </w:tc>
        <w:tc>
          <w:tcPr>
            <w:tcW w:w="2874" w:type="dxa"/>
            <w:tcBorders>
              <w:top w:val="single" w:color="auto" w:sz="4" w:space="0"/>
              <w:bottom w:val="single" w:color="auto" w:sz="4" w:space="0"/>
            </w:tcBorders>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《建规》第3.4.1条</w:t>
            </w:r>
          </w:p>
        </w:tc>
        <w:tc>
          <w:tcPr>
            <w:tcW w:w="719" w:type="dxa"/>
            <w:tcBorders>
              <w:top w:val="single" w:color="auto" w:sz="4" w:space="0"/>
              <w:bottom w:val="single" w:color="auto" w:sz="4" w:space="0"/>
            </w:tcBorders>
            <w:shd w:val="clear" w:color="auto" w:fill="FFFFFF"/>
            <w:vAlign w:val="center"/>
          </w:tcPr>
          <w:p>
            <w:pPr>
              <w:spacing w:line="360" w:lineRule="exact"/>
              <w:jc w:val="center"/>
              <w:rPr>
                <w:rFonts w:ascii="宋体" w:hAnsi="宋体" w:eastAsia="宋体"/>
                <w:color w:val="auto"/>
                <w:sz w:val="21"/>
                <w:szCs w:val="21"/>
              </w:rPr>
            </w:pPr>
            <w:r>
              <w:rPr>
                <w:rFonts w:ascii="宋体" w:hAnsi="宋体" w:eastAsia="宋体"/>
                <w:color w:val="auto"/>
                <w:sz w:val="21"/>
                <w:szCs w:val="21"/>
              </w:rPr>
              <w:t>是</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240" w:hRule="atLeast"/>
          <w:jc w:val="center"/>
        </w:trPr>
        <w:tc>
          <w:tcPr>
            <w:tcW w:w="664" w:type="dxa"/>
            <w:vMerge w:val="continue"/>
            <w:shd w:val="clear" w:color="auto" w:fill="FFFFFF"/>
            <w:vAlign w:val="center"/>
          </w:tcPr>
          <w:p>
            <w:pPr>
              <w:spacing w:line="360" w:lineRule="exact"/>
              <w:jc w:val="center"/>
              <w:rPr>
                <w:rFonts w:ascii="宋体" w:hAnsi="宋体" w:eastAsia="宋体"/>
                <w:color w:val="auto"/>
                <w:sz w:val="21"/>
                <w:szCs w:val="21"/>
              </w:rPr>
            </w:pPr>
          </w:p>
        </w:tc>
        <w:tc>
          <w:tcPr>
            <w:tcW w:w="832" w:type="dxa"/>
            <w:vMerge w:val="continue"/>
            <w:shd w:val="clear" w:color="auto" w:fill="FFFFFF"/>
            <w:vAlign w:val="center"/>
          </w:tcPr>
          <w:p>
            <w:pPr>
              <w:spacing w:line="360" w:lineRule="exact"/>
              <w:jc w:val="center"/>
              <w:rPr>
                <w:rFonts w:ascii="宋体" w:hAnsi="宋体" w:eastAsia="宋体"/>
                <w:color w:val="auto"/>
                <w:sz w:val="21"/>
                <w:szCs w:val="21"/>
              </w:rPr>
            </w:pPr>
          </w:p>
        </w:tc>
        <w:tc>
          <w:tcPr>
            <w:tcW w:w="807" w:type="dxa"/>
            <w:vMerge w:val="continue"/>
            <w:shd w:val="clear" w:color="auto" w:fill="FFFFFF"/>
            <w:vAlign w:val="center"/>
          </w:tcPr>
          <w:p>
            <w:pPr>
              <w:spacing w:line="360" w:lineRule="exact"/>
              <w:jc w:val="center"/>
              <w:rPr>
                <w:rFonts w:ascii="宋体" w:hAnsi="宋体" w:eastAsia="宋体"/>
                <w:color w:val="auto"/>
                <w:sz w:val="21"/>
                <w:szCs w:val="21"/>
              </w:rPr>
            </w:pPr>
          </w:p>
        </w:tc>
        <w:tc>
          <w:tcPr>
            <w:tcW w:w="1104" w:type="dxa"/>
            <w:tcBorders>
              <w:top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围墙</w:t>
            </w:r>
          </w:p>
        </w:tc>
        <w:tc>
          <w:tcPr>
            <w:tcW w:w="851" w:type="dxa"/>
            <w:tcBorders>
              <w:top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w:t>
            </w:r>
          </w:p>
        </w:tc>
        <w:tc>
          <w:tcPr>
            <w:tcW w:w="632" w:type="dxa"/>
            <w:tcBorders>
              <w:top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5</w:t>
            </w:r>
          </w:p>
        </w:tc>
        <w:tc>
          <w:tcPr>
            <w:tcW w:w="715" w:type="dxa"/>
            <w:tcBorders>
              <w:top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5</w:t>
            </w:r>
          </w:p>
        </w:tc>
        <w:tc>
          <w:tcPr>
            <w:tcW w:w="2874" w:type="dxa"/>
            <w:tcBorders>
              <w:top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ascii="宋体" w:hAnsi="宋体" w:eastAsia="宋体"/>
                <w:color w:val="auto"/>
                <w:sz w:val="21"/>
                <w:szCs w:val="21"/>
              </w:rPr>
              <w:t>《建规》</w:t>
            </w:r>
            <w:r>
              <w:rPr>
                <w:rFonts w:hint="eastAsia" w:ascii="宋体" w:hAnsi="宋体" w:eastAsia="宋体"/>
                <w:color w:val="auto"/>
                <w:sz w:val="21"/>
                <w:szCs w:val="21"/>
                <w:lang w:eastAsia="zh-CN"/>
              </w:rPr>
              <w:t>第3.4.12</w:t>
            </w:r>
          </w:p>
        </w:tc>
        <w:tc>
          <w:tcPr>
            <w:tcW w:w="719" w:type="dxa"/>
            <w:tcBorders>
              <w:top w:val="single" w:color="auto" w:sz="4" w:space="0"/>
            </w:tcBorders>
            <w:shd w:val="clear" w:color="auto" w:fill="FFFFFF"/>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是</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 w:type="dxa"/>
            <w:bottom w:w="0" w:type="dxa"/>
            <w:right w:w="10" w:type="dxa"/>
          </w:tblCellMar>
        </w:tblPrEx>
        <w:trPr>
          <w:trHeight w:val="510" w:hRule="atLeast"/>
          <w:jc w:val="center"/>
        </w:trPr>
        <w:tc>
          <w:tcPr>
            <w:tcW w:w="9198" w:type="dxa"/>
            <w:gridSpan w:val="9"/>
            <w:shd w:val="clear" w:color="auto" w:fill="FFFFFF"/>
            <w:vAlign w:val="center"/>
          </w:tcPr>
          <w:p>
            <w:pPr>
              <w:spacing w:line="360" w:lineRule="exact"/>
              <w:rPr>
                <w:rFonts w:ascii="宋体" w:hAnsi="宋体" w:eastAsia="宋体"/>
                <w:color w:val="auto"/>
                <w:sz w:val="21"/>
                <w:szCs w:val="21"/>
              </w:rPr>
            </w:pPr>
            <w:r>
              <w:rPr>
                <w:rFonts w:ascii="宋体" w:hAnsi="宋体" w:eastAsia="宋体"/>
                <w:color w:val="auto"/>
                <w:sz w:val="21"/>
                <w:szCs w:val="21"/>
              </w:rPr>
              <w:t>注：</w:t>
            </w:r>
            <w:r>
              <w:rPr>
                <w:rFonts w:hint="eastAsia" w:ascii="宋体" w:hAnsi="宋体" w:eastAsia="宋体"/>
                <w:color w:val="auto"/>
                <w:sz w:val="21"/>
                <w:szCs w:val="21"/>
                <w:lang w:eastAsia="zh-CN"/>
              </w:rPr>
              <w:t>表中《建规》为</w:t>
            </w:r>
            <w:r>
              <w:rPr>
                <w:rFonts w:ascii="宋体" w:hAnsi="宋体" w:eastAsia="宋体"/>
                <w:color w:val="auto"/>
                <w:sz w:val="21"/>
                <w:szCs w:val="21"/>
              </w:rPr>
              <w:t>《建筑设计防火规范》(</w:t>
            </w:r>
            <w:r>
              <w:rPr>
                <w:rFonts w:ascii="宋体" w:hAnsi="宋体" w:eastAsia="宋体"/>
                <w:color w:val="auto"/>
                <w:sz w:val="21"/>
                <w:szCs w:val="21"/>
                <w:lang w:eastAsia="zh-CN"/>
              </w:rPr>
              <w:t>GB50016-2014</w:t>
            </w:r>
            <w:r>
              <w:rPr>
                <w:rFonts w:hint="eastAsia" w:ascii="宋体" w:hAnsi="宋体" w:eastAsia="宋体"/>
                <w:color w:val="auto"/>
                <w:sz w:val="21"/>
                <w:szCs w:val="21"/>
                <w:lang w:eastAsia="zh-CN"/>
              </w:rPr>
              <w:t>，2018年版</w:t>
            </w:r>
            <w:r>
              <w:rPr>
                <w:rFonts w:ascii="宋体" w:hAnsi="宋体" w:eastAsia="宋体"/>
                <w:color w:val="auto"/>
                <w:sz w:val="21"/>
                <w:szCs w:val="21"/>
              </w:rPr>
              <w:t>)</w:t>
            </w:r>
            <w:r>
              <w:rPr>
                <w:rFonts w:hint="eastAsia" w:ascii="宋体" w:hAnsi="宋体" w:eastAsia="宋体"/>
                <w:color w:val="auto"/>
                <w:sz w:val="21"/>
                <w:szCs w:val="21"/>
                <w:lang w:eastAsia="zh-CN"/>
              </w:rPr>
              <w:t>，</w:t>
            </w:r>
            <w:r>
              <w:rPr>
                <w:rFonts w:ascii="宋体" w:hAnsi="宋体" w:eastAsia="宋体"/>
                <w:color w:val="auto"/>
                <w:sz w:val="21"/>
                <w:szCs w:val="21"/>
              </w:rPr>
              <w:t>标准值均取自</w:t>
            </w:r>
            <w:r>
              <w:rPr>
                <w:rFonts w:hint="eastAsia" w:ascii="宋体" w:hAnsi="宋体" w:eastAsia="宋体"/>
                <w:color w:val="auto"/>
                <w:sz w:val="21"/>
                <w:szCs w:val="21"/>
                <w:lang w:eastAsia="zh-CN"/>
              </w:rPr>
              <w:t>该规范</w:t>
            </w:r>
            <w:r>
              <w:rPr>
                <w:rFonts w:ascii="宋体" w:hAnsi="宋体" w:eastAsia="宋体"/>
                <w:color w:val="auto"/>
                <w:sz w:val="21"/>
                <w:szCs w:val="21"/>
              </w:rPr>
              <w:t>。</w:t>
            </w:r>
          </w:p>
          <w:p>
            <w:pPr>
              <w:spacing w:line="360" w:lineRule="exact"/>
              <w:rPr>
                <w:rFonts w:ascii="宋体" w:hAnsi="宋体" w:eastAsia="宋体"/>
                <w:color w:val="auto"/>
                <w:sz w:val="21"/>
                <w:szCs w:val="21"/>
              </w:rPr>
            </w:pPr>
            <w:r>
              <w:rPr>
                <w:rFonts w:ascii="宋体" w:hAnsi="宋体" w:eastAsia="宋体"/>
                <w:color w:val="auto"/>
                <w:sz w:val="21"/>
                <w:szCs w:val="21"/>
              </w:rPr>
              <w:t>结论：厂区内各建(构)筑物之间的防火间距满足规范要求。</w:t>
            </w:r>
          </w:p>
        </w:tc>
      </w:tr>
    </w:tbl>
    <w:p>
      <w:pPr>
        <w:spacing w:line="560" w:lineRule="exact"/>
        <w:jc w:val="both"/>
        <w:outlineLvl w:val="2"/>
        <w:rPr>
          <w:rFonts w:ascii="宋体" w:hAnsi="宋体" w:eastAsia="宋体" w:cs="Times New Roman"/>
          <w:bCs/>
          <w:color w:val="auto"/>
          <w:kern w:val="2"/>
          <w:sz w:val="28"/>
          <w:szCs w:val="28"/>
          <w:lang w:val="en-US" w:bidi="ar-SA"/>
        </w:rPr>
      </w:pPr>
    </w:p>
    <w:p>
      <w:pPr>
        <w:spacing w:line="560" w:lineRule="exact"/>
        <w:jc w:val="both"/>
        <w:outlineLvl w:val="2"/>
        <w:rPr>
          <w:rFonts w:ascii="宋体" w:hAnsi="宋体" w:eastAsia="宋体" w:cs="Times New Roman"/>
          <w:bCs/>
          <w:color w:val="auto"/>
          <w:kern w:val="2"/>
          <w:sz w:val="28"/>
          <w:szCs w:val="28"/>
          <w:lang w:val="en-US" w:eastAsia="zh-CN" w:bidi="ar-SA"/>
        </w:rPr>
      </w:pPr>
      <w:r>
        <w:rPr>
          <w:rFonts w:ascii="宋体" w:hAnsi="宋体" w:eastAsia="宋体" w:cs="Times New Roman"/>
          <w:bCs/>
          <w:color w:val="auto"/>
          <w:kern w:val="2"/>
          <w:sz w:val="28"/>
          <w:szCs w:val="28"/>
          <w:lang w:val="en-US" w:eastAsia="zh-CN" w:bidi="ar-SA"/>
        </w:rPr>
        <w:t>2.1.5安全生产许可条件</w:t>
      </w:r>
      <w:bookmarkEnd w:id="201"/>
    </w:p>
    <w:p>
      <w:pPr>
        <w:spacing w:line="560" w:lineRule="exact"/>
        <w:ind w:firstLine="425" w:firstLineChars="152"/>
        <w:rPr>
          <w:rFonts w:ascii="宋体" w:hAnsi="宋体" w:eastAsia="宋体"/>
          <w:color w:val="auto"/>
          <w:sz w:val="28"/>
          <w:szCs w:val="28"/>
          <w:lang w:eastAsia="zh-CN"/>
        </w:rPr>
      </w:pPr>
      <w:r>
        <w:rPr>
          <w:rFonts w:ascii="宋体" w:hAnsi="宋体" w:eastAsia="宋体"/>
          <w:color w:val="auto"/>
          <w:sz w:val="28"/>
          <w:szCs w:val="28"/>
          <w:lang w:eastAsia="zh-CN"/>
        </w:rPr>
        <w:t>根据《危险化学品生产企业安全生产许可证实施办法》(安监总局令第41号，安监总局令第79号修改)，对企业安全生产许可条件进行逐项检查，检查结果见附表2-5。</w:t>
      </w:r>
    </w:p>
    <w:p>
      <w:pPr>
        <w:spacing w:line="560" w:lineRule="exact"/>
        <w:jc w:val="center"/>
        <w:rPr>
          <w:rFonts w:ascii="宋体" w:hAnsi="宋体" w:eastAsia="PMingLiU"/>
          <w:b/>
          <w:color w:val="auto"/>
        </w:rPr>
      </w:pPr>
      <w:r>
        <w:rPr>
          <w:rFonts w:ascii="宋体" w:hAnsi="宋体" w:eastAsia="宋体"/>
          <w:b/>
          <w:color w:val="auto"/>
        </w:rPr>
        <w:t>附表2-5安全生产许可条件检查表</w:t>
      </w:r>
    </w:p>
    <w:tbl>
      <w:tblPr>
        <w:tblStyle w:val="45"/>
        <w:tblW w:w="5000" w:type="pct"/>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731"/>
        <w:gridCol w:w="3678"/>
        <w:gridCol w:w="2214"/>
        <w:gridCol w:w="2037"/>
        <w:gridCol w:w="734"/>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tblHeader/>
          <w:jc w:val="center"/>
        </w:trPr>
        <w:tc>
          <w:tcPr>
            <w:tcW w:w="389" w:type="pct"/>
            <w:vAlign w:val="center"/>
          </w:tcPr>
          <w:p>
            <w:pPr>
              <w:spacing w:line="360" w:lineRule="exact"/>
              <w:jc w:val="center"/>
              <w:rPr>
                <w:rFonts w:ascii="宋体" w:hAnsi="宋体" w:eastAsia="宋体"/>
                <w:b/>
                <w:color w:val="auto"/>
                <w:sz w:val="21"/>
                <w:szCs w:val="21"/>
              </w:rPr>
            </w:pPr>
            <w:r>
              <w:rPr>
                <w:rFonts w:hint="eastAsia" w:ascii="宋体" w:hAnsi="宋体" w:eastAsia="宋体"/>
                <w:b/>
                <w:color w:val="auto"/>
                <w:sz w:val="21"/>
                <w:szCs w:val="21"/>
              </w:rPr>
              <w:t>序号</w:t>
            </w:r>
          </w:p>
        </w:tc>
        <w:tc>
          <w:tcPr>
            <w:tcW w:w="1957" w:type="pct"/>
            <w:vAlign w:val="center"/>
          </w:tcPr>
          <w:p>
            <w:pPr>
              <w:spacing w:line="360" w:lineRule="exact"/>
              <w:jc w:val="center"/>
              <w:rPr>
                <w:rFonts w:ascii="宋体" w:hAnsi="宋体" w:eastAsia="宋体"/>
                <w:b/>
                <w:color w:val="auto"/>
                <w:sz w:val="21"/>
                <w:szCs w:val="21"/>
              </w:rPr>
            </w:pPr>
            <w:r>
              <w:rPr>
                <w:rFonts w:hint="eastAsia" w:ascii="宋体" w:hAnsi="宋体" w:eastAsia="宋体"/>
                <w:b/>
                <w:color w:val="auto"/>
                <w:sz w:val="21"/>
                <w:szCs w:val="21"/>
              </w:rPr>
              <w:t>检查项目及内容</w:t>
            </w:r>
          </w:p>
        </w:tc>
        <w:tc>
          <w:tcPr>
            <w:tcW w:w="1178" w:type="pct"/>
            <w:vAlign w:val="center"/>
          </w:tcPr>
          <w:p>
            <w:pPr>
              <w:spacing w:line="360" w:lineRule="exact"/>
              <w:jc w:val="center"/>
              <w:rPr>
                <w:rFonts w:ascii="宋体" w:hAnsi="宋体" w:eastAsia="宋体"/>
                <w:b/>
                <w:color w:val="auto"/>
                <w:sz w:val="21"/>
                <w:szCs w:val="21"/>
              </w:rPr>
            </w:pPr>
            <w:r>
              <w:rPr>
                <w:rFonts w:hint="eastAsia" w:ascii="宋体" w:hAnsi="宋体" w:eastAsia="宋体"/>
                <w:b/>
                <w:color w:val="auto"/>
                <w:sz w:val="21"/>
                <w:szCs w:val="21"/>
              </w:rPr>
              <w:t>依据</w:t>
            </w:r>
          </w:p>
        </w:tc>
        <w:tc>
          <w:tcPr>
            <w:tcW w:w="1084" w:type="pct"/>
            <w:vAlign w:val="center"/>
          </w:tcPr>
          <w:p>
            <w:pPr>
              <w:spacing w:line="360" w:lineRule="exact"/>
              <w:jc w:val="center"/>
              <w:rPr>
                <w:rFonts w:ascii="宋体" w:hAnsi="宋体" w:eastAsia="宋体"/>
                <w:b/>
                <w:color w:val="auto"/>
                <w:sz w:val="21"/>
                <w:szCs w:val="21"/>
              </w:rPr>
            </w:pPr>
            <w:r>
              <w:rPr>
                <w:rFonts w:hint="eastAsia" w:ascii="宋体" w:hAnsi="宋体" w:eastAsia="宋体"/>
                <w:b/>
                <w:color w:val="auto"/>
                <w:sz w:val="21"/>
                <w:szCs w:val="21"/>
              </w:rPr>
              <w:t>实际情况</w:t>
            </w:r>
          </w:p>
        </w:tc>
        <w:tc>
          <w:tcPr>
            <w:tcW w:w="390" w:type="pct"/>
            <w:vAlign w:val="center"/>
          </w:tcPr>
          <w:p>
            <w:pPr>
              <w:spacing w:line="360" w:lineRule="exact"/>
              <w:jc w:val="center"/>
              <w:rPr>
                <w:rFonts w:ascii="宋体" w:hAnsi="宋体" w:eastAsia="宋体"/>
                <w:b/>
                <w:color w:val="auto"/>
                <w:sz w:val="21"/>
                <w:szCs w:val="21"/>
              </w:rPr>
            </w:pPr>
            <w:r>
              <w:rPr>
                <w:rFonts w:hint="eastAsia" w:ascii="宋体" w:hAnsi="宋体" w:eastAsia="宋体"/>
                <w:b/>
                <w:color w:val="auto"/>
                <w:sz w:val="21"/>
                <w:szCs w:val="21"/>
              </w:rPr>
              <w:t>备注</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89"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1</w:t>
            </w:r>
          </w:p>
        </w:tc>
        <w:tc>
          <w:tcPr>
            <w:tcW w:w="1957"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企业选址布局、规划设计以及与重要场所、设施、区域的距离应当符合下列要求：</w:t>
            </w:r>
          </w:p>
          <w:p>
            <w:pPr>
              <w:spacing w:line="360" w:lineRule="exact"/>
              <w:rPr>
                <w:rFonts w:ascii="宋体" w:hAnsi="宋体" w:eastAsia="宋体"/>
                <w:color w:val="auto"/>
                <w:sz w:val="21"/>
                <w:szCs w:val="21"/>
              </w:rPr>
            </w:pPr>
            <w:r>
              <w:rPr>
                <w:rFonts w:hint="eastAsia" w:ascii="宋体" w:hAnsi="宋体" w:eastAsia="宋体"/>
                <w:color w:val="auto"/>
                <w:sz w:val="21"/>
                <w:szCs w:val="21"/>
              </w:rPr>
              <w:t>(一)国家产业政策；当地县级以上(含县级)人民政府的规划和布局；新设立企业建在地方人民政府规划的专门用于危险化学品生产、储存的区域内；</w:t>
            </w:r>
          </w:p>
          <w:p>
            <w:pPr>
              <w:spacing w:line="360" w:lineRule="exact"/>
              <w:rPr>
                <w:rFonts w:ascii="宋体" w:hAnsi="宋体" w:eastAsia="宋体"/>
                <w:color w:val="auto"/>
                <w:sz w:val="21"/>
                <w:szCs w:val="21"/>
              </w:rPr>
            </w:pPr>
            <w:r>
              <w:rPr>
                <w:rFonts w:hint="eastAsia" w:ascii="宋体" w:hAnsi="宋体" w:eastAsia="宋体"/>
                <w:color w:val="auto"/>
                <w:sz w:val="21"/>
                <w:szCs w:val="21"/>
              </w:rPr>
              <w:t>(二)危险化学品生产装置或者储存危险化学品数量构成重大危险源的储存设施，与《危险化学品安全管理条例》第十九条第一款规定的八类场所、设施、区域的距离符合有关法律、法规、规章和国家标准或者行业标准的规定；</w:t>
            </w:r>
          </w:p>
          <w:p>
            <w:pPr>
              <w:spacing w:line="360" w:lineRule="exact"/>
              <w:rPr>
                <w:rFonts w:ascii="宋体" w:hAnsi="宋体" w:eastAsia="宋体"/>
                <w:color w:val="auto"/>
                <w:sz w:val="21"/>
                <w:szCs w:val="21"/>
              </w:rPr>
            </w:pPr>
            <w:r>
              <w:rPr>
                <w:rFonts w:hint="eastAsia" w:ascii="宋体" w:hAnsi="宋体" w:eastAsia="宋体"/>
                <w:color w:val="auto"/>
                <w:sz w:val="21"/>
                <w:szCs w:val="21"/>
              </w:rPr>
              <w:t>(三)总体布局符合《化工企业总图运输设计规范》(GB50489)、《工业企业总平面设计规范》(GB50187)、《建筑设计防火规范</w:t>
            </w:r>
            <w:r>
              <w:rPr>
                <w:rFonts w:hint="eastAsia" w:ascii="宋体" w:hAnsi="宋体" w:eastAsia="宋体"/>
                <w:color w:val="auto"/>
                <w:sz w:val="21"/>
                <w:szCs w:val="21"/>
                <w:lang w:eastAsia="zh-CN"/>
              </w:rPr>
              <w:t>（2018年版）</w:t>
            </w:r>
            <w:r>
              <w:rPr>
                <w:rFonts w:hint="eastAsia" w:ascii="宋体" w:hAnsi="宋体" w:eastAsia="宋体"/>
                <w:color w:val="auto"/>
                <w:sz w:val="21"/>
                <w:szCs w:val="21"/>
              </w:rPr>
              <w:t>》GB50016-2014</w:t>
            </w:r>
          </w:p>
          <w:p>
            <w:pPr>
              <w:spacing w:line="360" w:lineRule="exact"/>
              <w:rPr>
                <w:rFonts w:ascii="宋体" w:hAnsi="宋体" w:eastAsia="宋体"/>
                <w:color w:val="auto"/>
                <w:sz w:val="21"/>
                <w:szCs w:val="21"/>
              </w:rPr>
            </w:pPr>
            <w:r>
              <w:rPr>
                <w:rFonts w:hint="eastAsia" w:ascii="宋体" w:hAnsi="宋体" w:eastAsia="宋体"/>
                <w:color w:val="auto"/>
                <w:sz w:val="21"/>
                <w:szCs w:val="21"/>
              </w:rPr>
              <w:t>等标准的要求。</w:t>
            </w:r>
          </w:p>
        </w:tc>
        <w:tc>
          <w:tcPr>
            <w:tcW w:w="0" w:type="auto"/>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《危险化学品生产企业安全生产许可证实施办法》(国家安全生产监督管理局令第41号，国家安全生产监督管理总局令第79号修改)第八条</w:t>
            </w:r>
          </w:p>
        </w:tc>
        <w:tc>
          <w:tcPr>
            <w:tcW w:w="1084"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有广东省建设项目选址意见书。该企业危险化学品不构成重大危险源；该企业总体布局符合《工业企业总平面设计规范》(GB50187)、《建筑设计防火规范</w:t>
            </w:r>
            <w:r>
              <w:rPr>
                <w:rFonts w:hint="eastAsia" w:ascii="宋体" w:hAnsi="宋体" w:eastAsia="宋体"/>
                <w:color w:val="auto"/>
                <w:sz w:val="21"/>
                <w:szCs w:val="21"/>
                <w:lang w:eastAsia="zh-CN"/>
              </w:rPr>
              <w:t>（2018年版）</w:t>
            </w:r>
            <w:r>
              <w:rPr>
                <w:rFonts w:hint="eastAsia" w:ascii="宋体" w:hAnsi="宋体" w:eastAsia="宋体"/>
                <w:color w:val="auto"/>
                <w:sz w:val="21"/>
                <w:szCs w:val="21"/>
              </w:rPr>
              <w:t>》GB50016-2014</w:t>
            </w:r>
          </w:p>
          <w:p>
            <w:pPr>
              <w:spacing w:line="360" w:lineRule="exact"/>
              <w:rPr>
                <w:rFonts w:ascii="宋体" w:hAnsi="宋体" w:eastAsia="宋体"/>
                <w:color w:val="auto"/>
                <w:sz w:val="21"/>
                <w:szCs w:val="21"/>
              </w:rPr>
            </w:pPr>
            <w:r>
              <w:rPr>
                <w:rFonts w:hint="eastAsia" w:ascii="宋体" w:hAnsi="宋体" w:eastAsia="宋体"/>
                <w:color w:val="auto"/>
                <w:sz w:val="21"/>
                <w:szCs w:val="21"/>
              </w:rPr>
              <w:t>等标准的要求。</w:t>
            </w:r>
          </w:p>
        </w:tc>
        <w:tc>
          <w:tcPr>
            <w:tcW w:w="390"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符合</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89"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2</w:t>
            </w:r>
          </w:p>
        </w:tc>
        <w:tc>
          <w:tcPr>
            <w:tcW w:w="1957"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新建、改建、扩建建设项目经具备国家规定资质的单位设计、制造和施工建设；涉及危险化工工艺、重点监管危险化学品的装置，由具有综合甲级资质或者化工石化专业甲级设计资质的化工石化设计单位设计。</w:t>
            </w:r>
          </w:p>
        </w:tc>
        <w:tc>
          <w:tcPr>
            <w:tcW w:w="1178"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《危险化学品生产企业安全生产许可证实施办法》(国家安全生产监督管理局令第41号，国家安全生产监督管理总局令第79号修改)第九条</w:t>
            </w:r>
          </w:p>
        </w:tc>
        <w:tc>
          <w:tcPr>
            <w:tcW w:w="1084"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非新建、改建、扩建建设项目。</w:t>
            </w:r>
          </w:p>
        </w:tc>
        <w:tc>
          <w:tcPr>
            <w:tcW w:w="390"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符合</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89"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3</w:t>
            </w:r>
          </w:p>
        </w:tc>
        <w:tc>
          <w:tcPr>
            <w:tcW w:w="1957"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不得采用国家明令淘汰、禁止使用和危及安全生产的工艺、设备；新开发的危险化学品生产工艺必须在小试、中试、工业化试验的基础上逐步放大到工业化生产；国内首次使用的化工工艺，必须经过省级人民政府有关部门组织的安全可靠性论证</w:t>
            </w:r>
          </w:p>
        </w:tc>
        <w:tc>
          <w:tcPr>
            <w:tcW w:w="1178"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《危险化学品生产企业安全生产许可证实施办法》(国家安全生产监督管理局令第41号，国家安全生产监督管理总局令第79号修改)第九条</w:t>
            </w:r>
          </w:p>
        </w:tc>
        <w:tc>
          <w:tcPr>
            <w:tcW w:w="1084"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非国家明令淘汰、禁止使用和危及安全生产的工艺、设备，也不是新开发的危险化学品。</w:t>
            </w:r>
          </w:p>
        </w:tc>
        <w:tc>
          <w:tcPr>
            <w:tcW w:w="390"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符合</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89"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4</w:t>
            </w:r>
          </w:p>
        </w:tc>
        <w:tc>
          <w:tcPr>
            <w:tcW w:w="1957"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涉及危险化工工艺、重点监管危险化学品的装置装设自动化控制系统；涉及危险化工工艺的大型化工装置装设紧急停车系统；涉及易燃易爆、有毒有害气体化学品的场所装设易燃易爆、有毒有害介质泄漏报警等安全设施；</w:t>
            </w:r>
          </w:p>
        </w:tc>
        <w:tc>
          <w:tcPr>
            <w:tcW w:w="1178"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《危险化学品生产企业安全生产许可证实施办法》(国家安全生产监督管理局令第41号，国家安全生产监督管理总局令第79号修改)第九条</w:t>
            </w:r>
          </w:p>
        </w:tc>
        <w:tc>
          <w:tcPr>
            <w:tcW w:w="1084"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不涉及危险工艺，甲类车间、甲类仓库均设置有可燃气体检测报警装置。</w:t>
            </w:r>
          </w:p>
        </w:tc>
        <w:tc>
          <w:tcPr>
            <w:tcW w:w="390"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符合</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89"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5</w:t>
            </w:r>
          </w:p>
        </w:tc>
        <w:tc>
          <w:tcPr>
            <w:tcW w:w="1957"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生产区与非生产区分开设置，并符合国家标准或者行业标准规定的距离。</w:t>
            </w:r>
          </w:p>
        </w:tc>
        <w:tc>
          <w:tcPr>
            <w:tcW w:w="1178"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《危险化学品生产企业安全生产许可证实施办法》第九条</w:t>
            </w:r>
          </w:p>
        </w:tc>
        <w:tc>
          <w:tcPr>
            <w:tcW w:w="1084"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生产区和非生产区分开布置，生产区与非生产区的安全间距符合规范要求。</w:t>
            </w:r>
          </w:p>
        </w:tc>
        <w:tc>
          <w:tcPr>
            <w:tcW w:w="390"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符合</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89"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6</w:t>
            </w:r>
          </w:p>
        </w:tc>
        <w:tc>
          <w:tcPr>
            <w:tcW w:w="1957"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危险化学品生产装置和储存设施之间及其与建(构)筑物之间的距离符合有关标准规范的规定。</w:t>
            </w:r>
          </w:p>
        </w:tc>
        <w:tc>
          <w:tcPr>
            <w:tcW w:w="1178"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《危险化学品生产企业安全生产许可证实施办法》第九条</w:t>
            </w:r>
          </w:p>
        </w:tc>
        <w:tc>
          <w:tcPr>
            <w:tcW w:w="1084"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危险化学品生产装置和储存设施之间及其与建(构)筑物之间的距离符合规范的规定，详见本报告附件2.1.4节“主要建构物防火间距检查表”。</w:t>
            </w:r>
          </w:p>
        </w:tc>
        <w:tc>
          <w:tcPr>
            <w:tcW w:w="390"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符合</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89"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7</w:t>
            </w:r>
          </w:p>
        </w:tc>
        <w:tc>
          <w:tcPr>
            <w:tcW w:w="1957"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企业应当有相应的职业危害防护设施，并为从业人员配备符合国家标准或者行业标准的劳动防护用品。</w:t>
            </w:r>
          </w:p>
        </w:tc>
        <w:tc>
          <w:tcPr>
            <w:tcW w:w="1178"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《危险化学品生产企业安全生产许可证实施办法》第十条</w:t>
            </w:r>
          </w:p>
        </w:tc>
        <w:tc>
          <w:tcPr>
            <w:tcW w:w="1084"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企业为作业人员配备有劳动防护用品。</w:t>
            </w:r>
          </w:p>
        </w:tc>
        <w:tc>
          <w:tcPr>
            <w:tcW w:w="390"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符合</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89"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8</w:t>
            </w:r>
          </w:p>
        </w:tc>
        <w:tc>
          <w:tcPr>
            <w:tcW w:w="1957"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企业应当依据《危险化学品重大危险源辨识》(GB18218)，对本企业的生产、储存和使用装置、设施或者场所进行重大危险源辨识。</w:t>
            </w:r>
          </w:p>
        </w:tc>
        <w:tc>
          <w:tcPr>
            <w:tcW w:w="1178"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《危险化学品生产企业安全生产许可证实施办法》第十一条</w:t>
            </w:r>
          </w:p>
        </w:tc>
        <w:tc>
          <w:tcPr>
            <w:tcW w:w="1084"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经辨识，该企业危险化学品、设备设施均不构成重大危险源。</w:t>
            </w:r>
          </w:p>
        </w:tc>
        <w:tc>
          <w:tcPr>
            <w:tcW w:w="390"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符合</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89"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9</w:t>
            </w:r>
          </w:p>
        </w:tc>
        <w:tc>
          <w:tcPr>
            <w:tcW w:w="1957"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企业应当依法设置安全生产管理机构，配备专职安全生产管理人员。配备的专职安全生产管理人员必须能够满足安全生产的需要。</w:t>
            </w:r>
          </w:p>
        </w:tc>
        <w:tc>
          <w:tcPr>
            <w:tcW w:w="1178"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《危险化学品生产企业安全生产许可证实施办法》第十二条</w:t>
            </w:r>
          </w:p>
        </w:tc>
        <w:tc>
          <w:tcPr>
            <w:tcW w:w="1084"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设置有安全管理机构，配备有专职安全管理人员，配备的安全管理人员能够满足生产需要。</w:t>
            </w:r>
          </w:p>
        </w:tc>
        <w:tc>
          <w:tcPr>
            <w:tcW w:w="390"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符合</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89"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10</w:t>
            </w:r>
          </w:p>
        </w:tc>
        <w:tc>
          <w:tcPr>
            <w:tcW w:w="1957"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企业应当根据化工工艺、装置、设施等实际情况，制定完善主要安全生产规章制度(19个制度)。</w:t>
            </w:r>
          </w:p>
        </w:tc>
        <w:tc>
          <w:tcPr>
            <w:tcW w:w="1178"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《危险化学品生产企业安全生产许可证实施办法》第十四条</w:t>
            </w:r>
          </w:p>
        </w:tc>
        <w:tc>
          <w:tcPr>
            <w:tcW w:w="1084"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制定有较为完善的安全管理制度。</w:t>
            </w:r>
          </w:p>
        </w:tc>
        <w:tc>
          <w:tcPr>
            <w:tcW w:w="390"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89"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11</w:t>
            </w:r>
          </w:p>
        </w:tc>
        <w:tc>
          <w:tcPr>
            <w:tcW w:w="1957"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企业应当根据危险化学品的生产工艺、技术、设备特点和原辅料、产品的危险性编制岗位操作安全规程。</w:t>
            </w:r>
          </w:p>
        </w:tc>
        <w:tc>
          <w:tcPr>
            <w:tcW w:w="1178"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《危险化学品生产企业安全生产许可证实施办法》第十五条</w:t>
            </w:r>
          </w:p>
        </w:tc>
        <w:tc>
          <w:tcPr>
            <w:tcW w:w="1084"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企业制定有各种操作规程，涵盖所有岗位。</w:t>
            </w:r>
          </w:p>
        </w:tc>
        <w:tc>
          <w:tcPr>
            <w:tcW w:w="390"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89"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12</w:t>
            </w:r>
          </w:p>
        </w:tc>
        <w:tc>
          <w:tcPr>
            <w:tcW w:w="1957"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企业应当根据危险化学品的生产工艺、技术、设备特点和原辅料、产品的危险性编制岗位操作安全规程。</w:t>
            </w:r>
          </w:p>
        </w:tc>
        <w:tc>
          <w:tcPr>
            <w:tcW w:w="1178"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《危险化学品生产企业安全生产许可证实施办法》第十五条</w:t>
            </w:r>
          </w:p>
        </w:tc>
        <w:tc>
          <w:tcPr>
            <w:tcW w:w="1084"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企业制定有各种操作规程，涵盖所有岗位。</w:t>
            </w:r>
          </w:p>
        </w:tc>
        <w:tc>
          <w:tcPr>
            <w:tcW w:w="390"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89"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13</w:t>
            </w:r>
          </w:p>
        </w:tc>
        <w:tc>
          <w:tcPr>
            <w:tcW w:w="1957"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企业主要负责人、分管安全负责人和安全生产管理人员必须具备与其从事的生产经营活动相适应的安全生产知识和管理能力，依法参加安全生产培训，并经考核合格，取得安全资格证书。</w:t>
            </w:r>
          </w:p>
          <w:p>
            <w:pPr>
              <w:spacing w:line="360" w:lineRule="exact"/>
              <w:rPr>
                <w:rFonts w:ascii="宋体" w:hAnsi="宋体" w:eastAsia="宋体"/>
                <w:color w:val="auto"/>
                <w:sz w:val="21"/>
                <w:szCs w:val="21"/>
              </w:rPr>
            </w:pPr>
            <w:r>
              <w:rPr>
                <w:rFonts w:hint="eastAsia" w:ascii="宋体" w:hAnsi="宋体" w:eastAsia="宋体"/>
                <w:color w:val="auto"/>
                <w:sz w:val="21"/>
                <w:szCs w:val="21"/>
              </w:rPr>
              <w:t>企业分管安全负责人、分管生产负责人、分管技术负责人应当具有一定的化工专业知识或者相应的专业学历，专职安全生产管理人员应当具备国民教育化工化学类(或安全工程)中等职业教育以上学历或者化工化学类中级以上专业技术职称，或者具备危险物品安全类注册安全工程师资格。</w:t>
            </w:r>
          </w:p>
          <w:p>
            <w:pPr>
              <w:spacing w:line="360" w:lineRule="exact"/>
              <w:rPr>
                <w:rFonts w:ascii="宋体" w:hAnsi="宋体" w:eastAsia="宋体"/>
                <w:color w:val="auto"/>
                <w:sz w:val="21"/>
                <w:szCs w:val="21"/>
              </w:rPr>
            </w:pPr>
            <w:r>
              <w:rPr>
                <w:rFonts w:hint="eastAsia" w:ascii="宋体" w:hAnsi="宋体" w:eastAsia="宋体"/>
                <w:color w:val="auto"/>
                <w:sz w:val="21"/>
                <w:szCs w:val="21"/>
              </w:rPr>
              <w:t>特种作业人员应当依照《特种作业人员安全技术培训考核管理规定》，经专门的安全技术培训并考核合格，取得特种作业操作证书。</w:t>
            </w:r>
          </w:p>
        </w:tc>
        <w:tc>
          <w:tcPr>
            <w:tcW w:w="1178"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《危险化学品生产企业安全生产许可证实施办法》第十六条</w:t>
            </w:r>
          </w:p>
        </w:tc>
        <w:tc>
          <w:tcPr>
            <w:tcW w:w="1084"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主要负责人和安全管理人员经</w:t>
            </w:r>
            <w:r>
              <w:rPr>
                <w:rFonts w:hint="eastAsia" w:ascii="宋体" w:hAnsi="宋体" w:eastAsia="宋体"/>
                <w:color w:val="auto"/>
                <w:sz w:val="21"/>
                <w:szCs w:val="21"/>
                <w:lang w:eastAsia="zh-CN"/>
              </w:rPr>
              <w:t>东莞市安全生产监督管理局</w:t>
            </w:r>
            <w:r>
              <w:rPr>
                <w:rFonts w:hint="eastAsia" w:ascii="宋体" w:hAnsi="宋体" w:eastAsia="宋体"/>
                <w:color w:val="auto"/>
                <w:sz w:val="21"/>
                <w:szCs w:val="21"/>
              </w:rPr>
              <w:t>培训合格；专职安全生产管理人员具备注册安全工程师资格。</w:t>
            </w:r>
          </w:p>
        </w:tc>
        <w:tc>
          <w:tcPr>
            <w:tcW w:w="390"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89"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14</w:t>
            </w:r>
          </w:p>
        </w:tc>
        <w:tc>
          <w:tcPr>
            <w:tcW w:w="1957"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企业应当按照国家规定提取与安全生产有关的费用，并保证安全生产所必须的资金投入。</w:t>
            </w:r>
          </w:p>
        </w:tc>
        <w:tc>
          <w:tcPr>
            <w:tcW w:w="1178"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《危险化学品生产企业安全生产许可证实施办法》第十七条</w:t>
            </w:r>
          </w:p>
        </w:tc>
        <w:tc>
          <w:tcPr>
            <w:tcW w:w="1084"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企业每年都会预提安全专项费用，专门用于安全投入，安全投入能够满足生产需要。</w:t>
            </w:r>
          </w:p>
        </w:tc>
        <w:tc>
          <w:tcPr>
            <w:tcW w:w="390"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89"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15</w:t>
            </w:r>
          </w:p>
        </w:tc>
        <w:tc>
          <w:tcPr>
            <w:tcW w:w="1957"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企业应当依法参加工伤保险，为从业人员缴纳保险费。</w:t>
            </w:r>
          </w:p>
        </w:tc>
        <w:tc>
          <w:tcPr>
            <w:tcW w:w="1178"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《危险化学品生产企业安全生产许可证实施办法》第十八条</w:t>
            </w:r>
          </w:p>
        </w:tc>
        <w:tc>
          <w:tcPr>
            <w:tcW w:w="1084"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企业为从业人员缴纳工伤保险。</w:t>
            </w:r>
          </w:p>
        </w:tc>
        <w:tc>
          <w:tcPr>
            <w:tcW w:w="390"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89"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16</w:t>
            </w:r>
          </w:p>
        </w:tc>
        <w:tc>
          <w:tcPr>
            <w:tcW w:w="1957"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企业应当依法委托具备国家规定资质的安全评价机构进行安全评价，并按照安全评价报告的意见对存在的安全生产问题进行整改。</w:t>
            </w:r>
          </w:p>
        </w:tc>
        <w:tc>
          <w:tcPr>
            <w:tcW w:w="1178"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《危险化学品生产企业安全生产许可证实施办法》第十九条</w:t>
            </w:r>
          </w:p>
        </w:tc>
        <w:tc>
          <w:tcPr>
            <w:tcW w:w="1084"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委托有资质的中介机构进行评价，对评价报告中所提出的问题，投入资金进行整改。</w:t>
            </w:r>
          </w:p>
        </w:tc>
        <w:tc>
          <w:tcPr>
            <w:tcW w:w="390"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89"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17</w:t>
            </w:r>
          </w:p>
        </w:tc>
        <w:tc>
          <w:tcPr>
            <w:tcW w:w="1957"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企业应当依法进行危险化学品登记，为用户提供化学品安全技术说明书，并在危险化学品包装(包括外包装件)上粘贴或者拴挂与包装内危险化学品相符的化学品安全标签。</w:t>
            </w:r>
          </w:p>
        </w:tc>
        <w:tc>
          <w:tcPr>
            <w:tcW w:w="1178"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《危险化学品生产企业安全生产许可证实施办法》第二十条</w:t>
            </w:r>
          </w:p>
        </w:tc>
        <w:tc>
          <w:tcPr>
            <w:tcW w:w="1084"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企业按照规定进行了危险化学品登记，为用户提供化学品安全技术说明书，外包装上有与包装内危险化学品相符的化学品安全标签。</w:t>
            </w:r>
          </w:p>
        </w:tc>
        <w:tc>
          <w:tcPr>
            <w:tcW w:w="390"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89"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18</w:t>
            </w:r>
          </w:p>
        </w:tc>
        <w:tc>
          <w:tcPr>
            <w:tcW w:w="1957"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企业应当符合下列应急管理要求：</w:t>
            </w:r>
          </w:p>
          <w:p>
            <w:pPr>
              <w:spacing w:line="360" w:lineRule="exact"/>
              <w:rPr>
                <w:rFonts w:ascii="宋体" w:hAnsi="宋体" w:eastAsia="宋体"/>
                <w:color w:val="auto"/>
                <w:sz w:val="21"/>
                <w:szCs w:val="21"/>
              </w:rPr>
            </w:pPr>
            <w:r>
              <w:rPr>
                <w:rFonts w:hint="eastAsia" w:ascii="宋体" w:hAnsi="宋体" w:eastAsia="宋体"/>
                <w:color w:val="auto"/>
                <w:sz w:val="21"/>
                <w:szCs w:val="21"/>
              </w:rPr>
              <w:t>(一)按照国家有关规定编制危险化学品事故应急预案并报有关部门备案；</w:t>
            </w:r>
          </w:p>
          <w:p>
            <w:pPr>
              <w:spacing w:line="360" w:lineRule="exact"/>
              <w:rPr>
                <w:rFonts w:ascii="宋体" w:hAnsi="宋体" w:eastAsia="宋体"/>
                <w:color w:val="auto"/>
                <w:sz w:val="21"/>
                <w:szCs w:val="21"/>
              </w:rPr>
            </w:pPr>
            <w:r>
              <w:rPr>
                <w:rFonts w:hint="eastAsia" w:ascii="宋体" w:hAnsi="宋体" w:eastAsia="宋体"/>
                <w:color w:val="auto"/>
                <w:sz w:val="21"/>
                <w:szCs w:val="21"/>
              </w:rPr>
              <w:t>(二)建立应急救援组织或者明确应急救援人员，配备必要的应急救援器材、设备设施，并定期进行演练。</w:t>
            </w:r>
          </w:p>
        </w:tc>
        <w:tc>
          <w:tcPr>
            <w:tcW w:w="1178"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《危险化学品生产企业安全生产许可证实施办法》第二十一条</w:t>
            </w:r>
          </w:p>
        </w:tc>
        <w:tc>
          <w:tcPr>
            <w:tcW w:w="1084"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企业按照有关标准编制了事故应急预案，并报市安监局备案，取得了备案证明。</w:t>
            </w:r>
          </w:p>
        </w:tc>
        <w:tc>
          <w:tcPr>
            <w:tcW w:w="390"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89"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19</w:t>
            </w:r>
          </w:p>
        </w:tc>
        <w:tc>
          <w:tcPr>
            <w:tcW w:w="1957"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企业除符合本章规定的安全生产条件，还应当符合有关法律、行政法规和国家标准或者行业标准规定的其他安全生产条件。</w:t>
            </w:r>
          </w:p>
        </w:tc>
        <w:tc>
          <w:tcPr>
            <w:tcW w:w="1178"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《危险化学品生产企业安全生产许可证实施办法》第二十二条</w:t>
            </w:r>
          </w:p>
        </w:tc>
        <w:tc>
          <w:tcPr>
            <w:tcW w:w="1084"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企业</w:t>
            </w:r>
            <w:r>
              <w:rPr>
                <w:rFonts w:hint="eastAsia" w:ascii="宋体" w:hAnsi="宋体" w:eastAsia="宋体"/>
                <w:color w:val="auto"/>
                <w:sz w:val="21"/>
                <w:szCs w:val="21"/>
                <w:lang w:eastAsia="zh-CN"/>
              </w:rPr>
              <w:t>能</w:t>
            </w:r>
            <w:r>
              <w:rPr>
                <w:rFonts w:hint="eastAsia" w:ascii="宋体" w:hAnsi="宋体" w:eastAsia="宋体"/>
                <w:color w:val="auto"/>
                <w:sz w:val="21"/>
                <w:szCs w:val="21"/>
              </w:rPr>
              <w:t>满足《实施办法》及其它法律法规规定的生产条件</w:t>
            </w:r>
          </w:p>
        </w:tc>
        <w:tc>
          <w:tcPr>
            <w:tcW w:w="390"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89"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20</w:t>
            </w:r>
          </w:p>
        </w:tc>
        <w:tc>
          <w:tcPr>
            <w:tcW w:w="1957"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生产、储存危险化学品的车间、仓库是否与员工宿舍在同一座建筑物内，且与员工宿舍是否保持符合规定的安全距离。</w:t>
            </w:r>
          </w:p>
        </w:tc>
        <w:tc>
          <w:tcPr>
            <w:tcW w:w="1178"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《危险化学品生产企业安全生产许可证审查书》</w:t>
            </w:r>
          </w:p>
        </w:tc>
        <w:tc>
          <w:tcPr>
            <w:tcW w:w="1084"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生产区与非生产区区分开，甲类仓库与临时办公区安全间距符合规范要求。</w:t>
            </w:r>
          </w:p>
        </w:tc>
        <w:tc>
          <w:tcPr>
            <w:tcW w:w="390"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89"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21</w:t>
            </w:r>
          </w:p>
        </w:tc>
        <w:tc>
          <w:tcPr>
            <w:tcW w:w="1957"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危险化学品生产装置和储存设施的周边防护距离是否符合有关法律、法规、规章和标准的规定。</w:t>
            </w:r>
          </w:p>
        </w:tc>
        <w:tc>
          <w:tcPr>
            <w:tcW w:w="1178"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《危险化学品生产企业安全生产许可证审查书》</w:t>
            </w:r>
          </w:p>
        </w:tc>
        <w:tc>
          <w:tcPr>
            <w:tcW w:w="1084"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危险化学品生产装置、储存设施和周边防护距离符合现行《建筑设计防火规范》相关标准。</w:t>
            </w:r>
          </w:p>
        </w:tc>
        <w:tc>
          <w:tcPr>
            <w:tcW w:w="390"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89"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22</w:t>
            </w:r>
          </w:p>
        </w:tc>
        <w:tc>
          <w:tcPr>
            <w:tcW w:w="1957"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进行消防设计的建筑工程是否经过公安消防机构验收合格。</w:t>
            </w:r>
          </w:p>
        </w:tc>
        <w:tc>
          <w:tcPr>
            <w:tcW w:w="1178"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《危险化学品生产企业安全生产许可证审查书》</w:t>
            </w:r>
          </w:p>
        </w:tc>
        <w:tc>
          <w:tcPr>
            <w:tcW w:w="1084"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有《建筑工程消防验收意见书》。</w:t>
            </w:r>
          </w:p>
        </w:tc>
        <w:tc>
          <w:tcPr>
            <w:tcW w:w="390"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89"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23</w:t>
            </w:r>
          </w:p>
        </w:tc>
        <w:tc>
          <w:tcPr>
            <w:tcW w:w="1957"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有无相应的职业危害防护设施和为从业人员配备符合有关国家标准或者行业标准规定的劳动防护用品。</w:t>
            </w:r>
          </w:p>
        </w:tc>
        <w:tc>
          <w:tcPr>
            <w:tcW w:w="1178"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《危险化学品生产企业安全生产许可证审查书》</w:t>
            </w:r>
          </w:p>
        </w:tc>
        <w:tc>
          <w:tcPr>
            <w:tcW w:w="1084"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为从业人员配备了符合要求的劳动防护用品，如工作服、防毒口罩、防毒面罩等。</w:t>
            </w:r>
          </w:p>
        </w:tc>
        <w:tc>
          <w:tcPr>
            <w:tcW w:w="390"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89"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24</w:t>
            </w:r>
          </w:p>
        </w:tc>
        <w:tc>
          <w:tcPr>
            <w:tcW w:w="1957"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对其可能发生的生产安全事故，是否配备必要的应急救援器材、设备。</w:t>
            </w:r>
          </w:p>
        </w:tc>
        <w:tc>
          <w:tcPr>
            <w:tcW w:w="1178"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《危险化学品生产企业安全生产许可证审查书》</w:t>
            </w:r>
          </w:p>
        </w:tc>
        <w:tc>
          <w:tcPr>
            <w:tcW w:w="1084"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针对可能发生的火灾、爆炸、中毒事故，配备有相应的应急救援器材、设备。</w:t>
            </w:r>
          </w:p>
        </w:tc>
        <w:tc>
          <w:tcPr>
            <w:tcW w:w="390" w:type="pct"/>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合格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89" w:type="pct"/>
            <w:vAlign w:val="center"/>
          </w:tcPr>
          <w:p>
            <w:pPr>
              <w:spacing w:line="360" w:lineRule="exact"/>
              <w:jc w:val="center"/>
              <w:rPr>
                <w:rFonts w:hint="eastAsia" w:ascii="宋体" w:hAnsi="宋体" w:eastAsia="宋体"/>
                <w:color w:val="auto"/>
                <w:sz w:val="21"/>
                <w:szCs w:val="21"/>
                <w:lang w:val="en-US" w:eastAsia="zh-CN"/>
              </w:rPr>
            </w:pPr>
            <w:r>
              <w:rPr>
                <w:rFonts w:hint="eastAsia" w:ascii="宋体" w:hAnsi="宋体" w:eastAsia="宋体"/>
                <w:color w:val="auto"/>
                <w:sz w:val="21"/>
                <w:szCs w:val="21"/>
              </w:rPr>
              <w:t>2</w:t>
            </w:r>
            <w:r>
              <w:rPr>
                <w:rFonts w:hint="eastAsia" w:ascii="宋体" w:hAnsi="宋体" w:eastAsia="宋体"/>
                <w:color w:val="auto"/>
                <w:sz w:val="21"/>
                <w:szCs w:val="21"/>
                <w:lang w:val="en-US" w:eastAsia="zh-CN"/>
              </w:rPr>
              <w:t>5</w:t>
            </w:r>
          </w:p>
        </w:tc>
        <w:tc>
          <w:tcPr>
            <w:tcW w:w="1957"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危险化学品生产企业应在厂(库)区主大门内的醒目显要处设置“厂(库)区总平面布置图”图中划标生产区和非生产区，标注厂房、仓库、罐区等设施的功能用途及火灾危险性，以及应急救援设备(设施)位置、疏散线路等情况；还应严格按照《安全标志及其使用导则》和《常用危险化学品安全周知卡编制导则》等要求，组织技术人员制作“危险化学品安全周知牌(卡)”，并在易燃、易爆、有毒有害等作业场所醒目位置悬挂或张贴。</w:t>
            </w:r>
          </w:p>
        </w:tc>
        <w:tc>
          <w:tcPr>
            <w:tcW w:w="1178" w:type="pct"/>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《关于规范危险化学品生产、储存企业作业场所安全标志标识的通知》(粤安监管三〔2011〕50号)</w:t>
            </w:r>
          </w:p>
        </w:tc>
        <w:tc>
          <w:tcPr>
            <w:tcW w:w="1084" w:type="pct"/>
            <w:vAlign w:val="center"/>
          </w:tcPr>
          <w:p>
            <w:pPr>
              <w:spacing w:line="360" w:lineRule="exact"/>
              <w:rPr>
                <w:rFonts w:ascii="宋体" w:hAnsi="宋体" w:eastAsia="宋体"/>
                <w:color w:val="auto"/>
                <w:sz w:val="21"/>
                <w:szCs w:val="21"/>
                <w:lang w:eastAsia="zh-CN"/>
              </w:rPr>
            </w:pPr>
            <w:r>
              <w:rPr>
                <w:rFonts w:hint="eastAsia" w:ascii="宋体" w:hAnsi="宋体" w:eastAsia="宋体"/>
                <w:color w:val="auto"/>
                <w:sz w:val="21"/>
                <w:szCs w:val="21"/>
              </w:rPr>
              <w:t>该企业有按照《通知》要求在主大门内的醒目、显要处设置“厂区总平面布置图”</w:t>
            </w:r>
            <w:r>
              <w:rPr>
                <w:rFonts w:hint="eastAsia" w:ascii="宋体" w:hAnsi="宋体" w:eastAsia="宋体"/>
                <w:color w:val="auto"/>
                <w:sz w:val="21"/>
                <w:szCs w:val="21"/>
                <w:lang w:eastAsia="zh-CN"/>
              </w:rPr>
              <w:t>。</w:t>
            </w:r>
            <w:r>
              <w:rPr>
                <w:rFonts w:hint="eastAsia" w:ascii="宋体" w:hAnsi="宋体" w:eastAsia="宋体"/>
                <w:color w:val="auto"/>
                <w:sz w:val="21"/>
                <w:szCs w:val="21"/>
              </w:rPr>
              <w:t>甲类车间、甲类仓库等作业场所</w:t>
            </w:r>
            <w:r>
              <w:rPr>
                <w:rFonts w:hint="eastAsia" w:ascii="宋体" w:hAnsi="宋体" w:eastAsia="宋体"/>
                <w:color w:val="auto"/>
                <w:sz w:val="21"/>
                <w:szCs w:val="21"/>
                <w:lang w:eastAsia="zh-CN"/>
              </w:rPr>
              <w:t>内安全周知卡不足。</w:t>
            </w:r>
          </w:p>
        </w:tc>
        <w:tc>
          <w:tcPr>
            <w:tcW w:w="390" w:type="pct"/>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不合格</w:t>
            </w:r>
          </w:p>
        </w:tc>
      </w:tr>
    </w:tbl>
    <w:p>
      <w:pPr>
        <w:spacing w:line="560" w:lineRule="exact"/>
        <w:ind w:firstLine="425" w:firstLineChars="152"/>
        <w:rPr>
          <w:rFonts w:ascii="宋体" w:hAnsi="宋体" w:eastAsia="宋体"/>
          <w:color w:val="auto"/>
          <w:sz w:val="28"/>
          <w:szCs w:val="28"/>
          <w:lang w:eastAsia="zh-CN"/>
        </w:rPr>
      </w:pPr>
      <w:r>
        <w:rPr>
          <w:rFonts w:hint="eastAsia" w:ascii="宋体" w:hAnsi="宋体" w:eastAsia="宋体"/>
          <w:color w:val="auto"/>
          <w:sz w:val="28"/>
          <w:szCs w:val="28"/>
          <w:lang w:eastAsia="zh-CN"/>
        </w:rPr>
        <w:t>根据《危险化学品生产企业安全生产许可证审查书》(国家安全生产监督管理局“安监管危化字”[2004]110号)、《危险化学品生产企业安全生产许可证实施办法》(国家安全生产监督管理局令第41号，国家安全生产监督管理总局令第79号修改)，对企业安全生产许可条件进行逐项检查，其中有1项不符合项，其余均符合要求。不符合项具体为：</w:t>
      </w:r>
    </w:p>
    <w:p>
      <w:pPr>
        <w:spacing w:line="560" w:lineRule="exact"/>
        <w:ind w:firstLine="425" w:firstLineChars="152"/>
        <w:rPr>
          <w:rFonts w:ascii="宋体" w:hAnsi="宋体" w:eastAsia="宋体"/>
          <w:color w:val="auto"/>
          <w:sz w:val="28"/>
          <w:szCs w:val="28"/>
          <w:lang w:eastAsia="zh-CN"/>
        </w:rPr>
      </w:pPr>
      <w:r>
        <w:rPr>
          <w:rFonts w:hint="eastAsia" w:ascii="宋体" w:hAnsi="宋体" w:eastAsia="宋体"/>
          <w:color w:val="auto"/>
          <w:sz w:val="28"/>
          <w:szCs w:val="28"/>
          <w:lang w:eastAsia="zh-CN"/>
        </w:rPr>
        <w:t>1）甲类车间、甲类仓库等作业场所内安全周知卡不足。</w:t>
      </w:r>
    </w:p>
    <w:p>
      <w:pPr>
        <w:spacing w:line="560" w:lineRule="exact"/>
        <w:ind w:firstLine="425" w:firstLineChars="152"/>
        <w:rPr>
          <w:rFonts w:ascii="宋体" w:hAnsi="宋体" w:eastAsia="宋体"/>
          <w:color w:val="auto"/>
          <w:sz w:val="28"/>
          <w:szCs w:val="28"/>
          <w:lang w:eastAsia="zh-CN"/>
        </w:rPr>
      </w:pPr>
      <w:r>
        <w:rPr>
          <w:rFonts w:hint="eastAsia" w:ascii="宋体" w:hAnsi="宋体" w:eastAsia="宋体"/>
          <w:color w:val="auto"/>
          <w:sz w:val="28"/>
          <w:szCs w:val="28"/>
          <w:lang w:eastAsia="zh-CN"/>
        </w:rPr>
        <w:t>该公司根据整改建议进行了整改，整改后符合要求。</w:t>
      </w:r>
    </w:p>
    <w:p>
      <w:pPr>
        <w:spacing w:line="560" w:lineRule="exact"/>
        <w:jc w:val="both"/>
        <w:outlineLvl w:val="2"/>
        <w:rPr>
          <w:rFonts w:ascii="宋体" w:hAnsi="宋体" w:eastAsia="宋体" w:cs="Times New Roman"/>
          <w:bCs/>
          <w:color w:val="auto"/>
          <w:kern w:val="2"/>
          <w:sz w:val="28"/>
          <w:szCs w:val="28"/>
          <w:lang w:val="en-US" w:eastAsia="zh-CN" w:bidi="ar-SA"/>
        </w:rPr>
      </w:pPr>
      <w:r>
        <w:rPr>
          <w:rFonts w:ascii="宋体" w:hAnsi="宋体" w:eastAsia="宋体" w:cs="Times New Roman"/>
          <w:bCs/>
          <w:color w:val="auto"/>
          <w:kern w:val="2"/>
          <w:sz w:val="28"/>
          <w:szCs w:val="28"/>
          <w:lang w:val="en-US" w:eastAsia="zh-CN" w:bidi="ar-SA"/>
        </w:rPr>
        <w:t>2.1.</w:t>
      </w:r>
      <w:r>
        <w:rPr>
          <w:rFonts w:hint="eastAsia" w:ascii="宋体" w:hAnsi="宋体" w:eastAsia="宋体" w:cs="Times New Roman"/>
          <w:bCs/>
          <w:color w:val="auto"/>
          <w:kern w:val="2"/>
          <w:sz w:val="28"/>
          <w:szCs w:val="28"/>
          <w:lang w:val="en-US" w:eastAsia="zh-CN" w:bidi="ar-SA"/>
        </w:rPr>
        <w:t>7重大生产安全事故隐患判定标准（试行）符合性检查表</w:t>
      </w:r>
    </w:p>
    <w:p>
      <w:pPr>
        <w:pStyle w:val="19"/>
        <w:spacing w:line="480" w:lineRule="exact"/>
        <w:rPr>
          <w:rFonts w:cs="宋体"/>
          <w:color w:val="auto"/>
          <w:szCs w:val="28"/>
          <w:lang w:eastAsia="zh-CN"/>
        </w:rPr>
      </w:pPr>
      <w:r>
        <w:rPr>
          <w:rFonts w:hint="eastAsia" w:cs="宋体"/>
          <w:color w:val="auto"/>
          <w:szCs w:val="28"/>
        </w:rPr>
        <w:t>根据《化工和危险化学品生产经营单位重大生产安全事故隐患判定标准（试行）》（安监总管三[2017]121号）内容编制检查表，进行分析评价，其结果如下。</w:t>
      </w:r>
    </w:p>
    <w:p>
      <w:pPr>
        <w:spacing w:line="560" w:lineRule="exact"/>
        <w:jc w:val="center"/>
        <w:rPr>
          <w:rFonts w:ascii="宋体" w:hAnsi="宋体" w:eastAsia="PMingLiU"/>
          <w:b/>
          <w:color w:val="auto"/>
          <w:lang w:eastAsia="zh-CN"/>
        </w:rPr>
      </w:pPr>
      <w:r>
        <w:rPr>
          <w:rFonts w:ascii="宋体" w:hAnsi="宋体" w:eastAsia="宋体"/>
          <w:b/>
          <w:color w:val="auto"/>
        </w:rPr>
        <w:t>附表2-</w:t>
      </w:r>
      <w:r>
        <w:rPr>
          <w:rFonts w:hint="eastAsia" w:ascii="宋体" w:hAnsi="宋体" w:eastAsia="宋体"/>
          <w:b/>
          <w:color w:val="auto"/>
          <w:lang w:eastAsia="zh-CN"/>
        </w:rPr>
        <w:t>6重大生产安全事故隐患判定</w:t>
      </w:r>
      <w:r>
        <w:rPr>
          <w:rFonts w:ascii="宋体" w:hAnsi="宋体" w:eastAsia="宋体"/>
          <w:b/>
          <w:color w:val="auto"/>
        </w:rPr>
        <w:t>检查表</w:t>
      </w:r>
    </w:p>
    <w:tbl>
      <w:tblPr>
        <w:tblStyle w:val="45"/>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88"/>
        <w:gridCol w:w="4386"/>
        <w:gridCol w:w="3060"/>
        <w:gridCol w:w="97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blHeader/>
          <w:jc w:val="center"/>
        </w:trPr>
        <w:tc>
          <w:tcPr>
            <w:tcW w:w="788" w:type="dxa"/>
            <w:tcBorders>
              <w:top w:val="single" w:color="auto" w:sz="4" w:space="0"/>
              <w:left w:val="single" w:color="auto" w:sz="4" w:space="0"/>
              <w:bottom w:val="single" w:color="auto" w:sz="4" w:space="0"/>
              <w:right w:val="single" w:color="auto" w:sz="4" w:space="0"/>
            </w:tcBorders>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序号</w:t>
            </w:r>
          </w:p>
        </w:tc>
        <w:tc>
          <w:tcPr>
            <w:tcW w:w="4386"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检查内容</w:t>
            </w:r>
          </w:p>
        </w:tc>
        <w:tc>
          <w:tcPr>
            <w:tcW w:w="3060"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检查情况</w:t>
            </w:r>
          </w:p>
        </w:tc>
        <w:tc>
          <w:tcPr>
            <w:tcW w:w="972"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结果</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788" w:type="dxa"/>
            <w:tcBorders>
              <w:top w:val="single" w:color="auto" w:sz="4" w:space="0"/>
              <w:left w:val="single" w:color="auto" w:sz="4" w:space="0"/>
              <w:bottom w:val="single" w:color="auto" w:sz="4" w:space="0"/>
              <w:right w:val="single" w:color="auto" w:sz="4" w:space="0"/>
            </w:tcBorders>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1</w:t>
            </w:r>
          </w:p>
        </w:tc>
        <w:tc>
          <w:tcPr>
            <w:tcW w:w="4386"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2"/>
              <w:adjustRightInd w:val="0"/>
              <w:snapToGrid w:val="0"/>
              <w:rPr>
                <w:rFonts w:ascii="宋体" w:hAnsi="宋体" w:cs="宋体"/>
                <w:color w:val="auto"/>
                <w:sz w:val="21"/>
                <w:szCs w:val="21"/>
              </w:rPr>
            </w:pPr>
            <w:r>
              <w:rPr>
                <w:rFonts w:hint="eastAsia" w:ascii="宋体" w:hAnsi="宋体" w:cs="宋体"/>
                <w:color w:val="auto"/>
                <w:sz w:val="21"/>
                <w:szCs w:val="21"/>
              </w:rPr>
              <w:t>危险化学品生产、经营单位主要负责人和安全生产管理人员未依法经考核合格。</w:t>
            </w:r>
          </w:p>
        </w:tc>
        <w:tc>
          <w:tcPr>
            <w:tcW w:w="3060"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2"/>
              <w:adjustRightInd w:val="0"/>
              <w:snapToGrid w:val="0"/>
              <w:rPr>
                <w:rFonts w:ascii="宋体" w:hAnsi="宋体" w:cs="宋体"/>
                <w:color w:val="auto"/>
                <w:sz w:val="21"/>
                <w:szCs w:val="21"/>
              </w:rPr>
            </w:pPr>
            <w:r>
              <w:rPr>
                <w:rFonts w:hint="eastAsia" w:ascii="宋体" w:hAnsi="宋体" w:cs="宋体"/>
                <w:color w:val="auto"/>
                <w:sz w:val="21"/>
                <w:szCs w:val="21"/>
              </w:rPr>
              <w:t>主要负责人和安全生产管理人员均依法经考核合格。</w:t>
            </w:r>
          </w:p>
        </w:tc>
        <w:tc>
          <w:tcPr>
            <w:tcW w:w="972"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788" w:type="dxa"/>
            <w:tcBorders>
              <w:top w:val="single" w:color="auto" w:sz="4" w:space="0"/>
              <w:left w:val="single" w:color="auto" w:sz="4" w:space="0"/>
              <w:bottom w:val="single" w:color="auto" w:sz="4" w:space="0"/>
              <w:right w:val="single" w:color="auto" w:sz="4" w:space="0"/>
            </w:tcBorders>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2</w:t>
            </w:r>
          </w:p>
        </w:tc>
        <w:tc>
          <w:tcPr>
            <w:tcW w:w="4386"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2"/>
              <w:adjustRightInd w:val="0"/>
              <w:snapToGrid w:val="0"/>
              <w:rPr>
                <w:rFonts w:ascii="宋体" w:hAnsi="宋体" w:cs="宋体"/>
                <w:color w:val="auto"/>
                <w:sz w:val="21"/>
                <w:szCs w:val="21"/>
              </w:rPr>
            </w:pPr>
            <w:r>
              <w:rPr>
                <w:rFonts w:hint="eastAsia" w:ascii="宋体" w:hAnsi="宋体" w:cs="宋体"/>
                <w:color w:val="auto"/>
                <w:sz w:val="21"/>
                <w:szCs w:val="21"/>
              </w:rPr>
              <w:t>特种作业人员未持证上岗。</w:t>
            </w:r>
          </w:p>
        </w:tc>
        <w:tc>
          <w:tcPr>
            <w:tcW w:w="3060"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2"/>
              <w:adjustRightInd w:val="0"/>
              <w:snapToGrid w:val="0"/>
              <w:rPr>
                <w:rFonts w:ascii="宋体" w:hAnsi="宋体" w:cs="宋体"/>
                <w:color w:val="auto"/>
                <w:sz w:val="21"/>
                <w:szCs w:val="21"/>
              </w:rPr>
            </w:pPr>
            <w:r>
              <w:rPr>
                <w:rFonts w:hint="eastAsia" w:ascii="宋体" w:hAnsi="宋体" w:cs="宋体"/>
                <w:color w:val="auto"/>
                <w:sz w:val="21"/>
                <w:szCs w:val="21"/>
              </w:rPr>
              <w:t>特种作业人员持证上岗。</w:t>
            </w:r>
          </w:p>
        </w:tc>
        <w:tc>
          <w:tcPr>
            <w:tcW w:w="972"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55" w:hRule="atLeast"/>
          <w:jc w:val="center"/>
        </w:trPr>
        <w:tc>
          <w:tcPr>
            <w:tcW w:w="788" w:type="dxa"/>
            <w:tcBorders>
              <w:top w:val="single" w:color="auto" w:sz="4" w:space="0"/>
              <w:left w:val="single" w:color="auto" w:sz="4" w:space="0"/>
              <w:bottom w:val="single" w:color="auto" w:sz="4" w:space="0"/>
              <w:right w:val="single" w:color="auto" w:sz="4" w:space="0"/>
            </w:tcBorders>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3</w:t>
            </w:r>
          </w:p>
        </w:tc>
        <w:tc>
          <w:tcPr>
            <w:tcW w:w="4386"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2"/>
              <w:adjustRightInd w:val="0"/>
              <w:snapToGrid w:val="0"/>
              <w:rPr>
                <w:rFonts w:ascii="宋体" w:hAnsi="宋体" w:cs="宋体"/>
                <w:color w:val="auto"/>
                <w:sz w:val="21"/>
                <w:szCs w:val="21"/>
              </w:rPr>
            </w:pPr>
            <w:r>
              <w:rPr>
                <w:rFonts w:hint="eastAsia" w:ascii="宋体" w:hAnsi="宋体" w:cs="宋体"/>
                <w:color w:val="auto"/>
                <w:sz w:val="21"/>
                <w:szCs w:val="21"/>
              </w:rPr>
              <w:t>涉及“两重点一重大”的生产装置、储存设施外部安全防护距离不符合国家标准要求。</w:t>
            </w:r>
          </w:p>
        </w:tc>
        <w:tc>
          <w:tcPr>
            <w:tcW w:w="3060"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2"/>
              <w:adjustRightInd w:val="0"/>
              <w:snapToGrid w:val="0"/>
              <w:rPr>
                <w:rFonts w:ascii="宋体" w:hAnsi="宋体" w:cs="宋体"/>
                <w:color w:val="auto"/>
                <w:sz w:val="21"/>
                <w:szCs w:val="21"/>
              </w:rPr>
            </w:pPr>
            <w:r>
              <w:rPr>
                <w:rFonts w:hint="eastAsia" w:ascii="宋体" w:hAnsi="宋体" w:cs="宋体"/>
                <w:color w:val="auto"/>
                <w:sz w:val="21"/>
                <w:szCs w:val="21"/>
              </w:rPr>
              <w:t>生产装置、储存设施外部安全防护距离符合国家标准要求。</w:t>
            </w:r>
          </w:p>
        </w:tc>
        <w:tc>
          <w:tcPr>
            <w:tcW w:w="972"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788" w:type="dxa"/>
            <w:tcBorders>
              <w:top w:val="single" w:color="auto" w:sz="4" w:space="0"/>
              <w:left w:val="single" w:color="auto" w:sz="4" w:space="0"/>
              <w:bottom w:val="single" w:color="auto" w:sz="4" w:space="0"/>
              <w:right w:val="single" w:color="auto" w:sz="4" w:space="0"/>
            </w:tcBorders>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4</w:t>
            </w:r>
          </w:p>
        </w:tc>
        <w:tc>
          <w:tcPr>
            <w:tcW w:w="4386"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2"/>
              <w:adjustRightInd w:val="0"/>
              <w:snapToGrid w:val="0"/>
              <w:rPr>
                <w:rFonts w:ascii="宋体" w:hAnsi="宋体" w:cs="宋体"/>
                <w:color w:val="auto"/>
                <w:sz w:val="21"/>
                <w:szCs w:val="21"/>
              </w:rPr>
            </w:pPr>
            <w:r>
              <w:rPr>
                <w:rFonts w:hint="eastAsia" w:ascii="宋体" w:hAnsi="宋体" w:cs="宋体"/>
                <w:color w:val="auto"/>
                <w:sz w:val="21"/>
                <w:szCs w:val="21"/>
              </w:rPr>
              <w:t>涉及重点监管危险化工工艺的装置未实现自动化控制，系统未实现紧急停车功能，装备的自动化控制系统、紧急停车系统未投入使用。</w:t>
            </w:r>
          </w:p>
        </w:tc>
        <w:tc>
          <w:tcPr>
            <w:tcW w:w="3060"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2"/>
              <w:adjustRightInd w:val="0"/>
              <w:snapToGrid w:val="0"/>
              <w:rPr>
                <w:rFonts w:ascii="宋体" w:hAnsi="宋体" w:cs="宋体"/>
                <w:color w:val="auto"/>
                <w:sz w:val="21"/>
                <w:szCs w:val="21"/>
              </w:rPr>
            </w:pPr>
            <w:r>
              <w:rPr>
                <w:rFonts w:hint="eastAsia" w:ascii="宋体" w:hAnsi="宋体" w:cs="宋体"/>
                <w:color w:val="auto"/>
                <w:sz w:val="21"/>
                <w:szCs w:val="21"/>
              </w:rPr>
              <w:t>没有重点监管危险化工工艺</w:t>
            </w:r>
          </w:p>
        </w:tc>
        <w:tc>
          <w:tcPr>
            <w:tcW w:w="972"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788" w:type="dxa"/>
            <w:tcBorders>
              <w:top w:val="single" w:color="auto" w:sz="4" w:space="0"/>
              <w:left w:val="single" w:color="auto" w:sz="4" w:space="0"/>
              <w:bottom w:val="single" w:color="auto" w:sz="4" w:space="0"/>
              <w:right w:val="single" w:color="auto" w:sz="4" w:space="0"/>
            </w:tcBorders>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5</w:t>
            </w:r>
          </w:p>
        </w:tc>
        <w:tc>
          <w:tcPr>
            <w:tcW w:w="4386"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2"/>
              <w:adjustRightInd w:val="0"/>
              <w:snapToGrid w:val="0"/>
              <w:rPr>
                <w:rFonts w:ascii="宋体" w:hAnsi="宋体" w:cs="宋体"/>
                <w:color w:val="auto"/>
                <w:sz w:val="21"/>
                <w:szCs w:val="21"/>
              </w:rPr>
            </w:pPr>
            <w:r>
              <w:rPr>
                <w:rFonts w:hint="eastAsia" w:ascii="宋体" w:hAnsi="宋体" w:cs="宋体"/>
                <w:color w:val="auto"/>
                <w:sz w:val="21"/>
                <w:szCs w:val="21"/>
              </w:rPr>
              <w:t>构成一级、二级重大危险源的危险化学品罐区未实现紧急切断功能；涉及毒性气体、液化气体、剧毒液体的一级、二级重大危险源的危险化学品罐区未配备独立的安全仪表系统。</w:t>
            </w:r>
          </w:p>
        </w:tc>
        <w:tc>
          <w:tcPr>
            <w:tcW w:w="3060"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2"/>
              <w:adjustRightInd w:val="0"/>
              <w:snapToGrid w:val="0"/>
              <w:rPr>
                <w:rFonts w:ascii="宋体" w:hAnsi="宋体" w:cs="宋体"/>
                <w:color w:val="auto"/>
                <w:sz w:val="21"/>
                <w:szCs w:val="21"/>
              </w:rPr>
            </w:pPr>
            <w:r>
              <w:rPr>
                <w:rFonts w:hint="eastAsia" w:ascii="宋体" w:hAnsi="宋体" w:cs="宋体"/>
                <w:color w:val="auto"/>
                <w:sz w:val="21"/>
                <w:szCs w:val="21"/>
              </w:rPr>
              <w:t>未构成重大危险源，无此项</w:t>
            </w:r>
          </w:p>
        </w:tc>
        <w:tc>
          <w:tcPr>
            <w:tcW w:w="972"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788" w:type="dxa"/>
            <w:tcBorders>
              <w:top w:val="single" w:color="auto" w:sz="4" w:space="0"/>
              <w:left w:val="single" w:color="auto" w:sz="4" w:space="0"/>
              <w:bottom w:val="single" w:color="auto" w:sz="4" w:space="0"/>
              <w:right w:val="single" w:color="auto" w:sz="4" w:space="0"/>
            </w:tcBorders>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6</w:t>
            </w:r>
          </w:p>
        </w:tc>
        <w:tc>
          <w:tcPr>
            <w:tcW w:w="4386"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2"/>
              <w:adjustRightInd w:val="0"/>
              <w:snapToGrid w:val="0"/>
              <w:rPr>
                <w:rFonts w:ascii="宋体" w:hAnsi="宋体" w:cs="宋体"/>
                <w:color w:val="auto"/>
                <w:sz w:val="21"/>
                <w:szCs w:val="21"/>
              </w:rPr>
            </w:pPr>
            <w:r>
              <w:rPr>
                <w:rFonts w:hint="eastAsia" w:ascii="宋体" w:hAnsi="宋体" w:cs="宋体"/>
                <w:color w:val="auto"/>
                <w:sz w:val="21"/>
                <w:szCs w:val="21"/>
              </w:rPr>
              <w:t>全压力式液化烃储罐未按国家标准设置注水措施。</w:t>
            </w:r>
          </w:p>
        </w:tc>
        <w:tc>
          <w:tcPr>
            <w:tcW w:w="3060"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2"/>
              <w:adjustRightInd w:val="0"/>
              <w:snapToGrid w:val="0"/>
              <w:rPr>
                <w:rFonts w:ascii="宋体" w:hAnsi="宋体" w:cs="宋体"/>
                <w:color w:val="auto"/>
                <w:sz w:val="21"/>
                <w:szCs w:val="21"/>
              </w:rPr>
            </w:pPr>
            <w:r>
              <w:rPr>
                <w:rFonts w:hint="eastAsia" w:ascii="宋体" w:hAnsi="宋体" w:cs="宋体"/>
                <w:color w:val="auto"/>
                <w:sz w:val="21"/>
                <w:szCs w:val="21"/>
              </w:rPr>
              <w:t>无此项</w:t>
            </w:r>
          </w:p>
        </w:tc>
        <w:tc>
          <w:tcPr>
            <w:tcW w:w="972"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788" w:type="dxa"/>
            <w:tcBorders>
              <w:top w:val="single" w:color="auto" w:sz="4" w:space="0"/>
              <w:left w:val="single" w:color="auto" w:sz="4" w:space="0"/>
              <w:bottom w:val="single" w:color="auto" w:sz="4" w:space="0"/>
              <w:right w:val="single" w:color="auto" w:sz="4" w:space="0"/>
            </w:tcBorders>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7</w:t>
            </w:r>
          </w:p>
        </w:tc>
        <w:tc>
          <w:tcPr>
            <w:tcW w:w="4386"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2"/>
              <w:adjustRightInd w:val="0"/>
              <w:snapToGrid w:val="0"/>
              <w:rPr>
                <w:rFonts w:ascii="宋体" w:hAnsi="宋体" w:cs="宋体"/>
                <w:color w:val="auto"/>
                <w:sz w:val="21"/>
                <w:szCs w:val="21"/>
              </w:rPr>
            </w:pPr>
            <w:r>
              <w:rPr>
                <w:rFonts w:hint="eastAsia" w:ascii="宋体" w:hAnsi="宋体" w:cs="宋体"/>
                <w:color w:val="auto"/>
                <w:sz w:val="21"/>
                <w:szCs w:val="21"/>
              </w:rPr>
              <w:t>液化烃、液氨、液氯等易燃易爆、有毒有害液化气体的充装未使用万向管道充装系统。</w:t>
            </w:r>
          </w:p>
        </w:tc>
        <w:tc>
          <w:tcPr>
            <w:tcW w:w="3060"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2"/>
              <w:adjustRightInd w:val="0"/>
              <w:snapToGrid w:val="0"/>
              <w:rPr>
                <w:rFonts w:ascii="宋体" w:hAnsi="宋体" w:cs="宋体"/>
                <w:color w:val="auto"/>
                <w:sz w:val="21"/>
                <w:szCs w:val="21"/>
              </w:rPr>
            </w:pPr>
            <w:r>
              <w:rPr>
                <w:rFonts w:hint="eastAsia" w:ascii="宋体" w:hAnsi="宋体" w:cs="宋体"/>
                <w:color w:val="auto"/>
                <w:sz w:val="21"/>
                <w:szCs w:val="21"/>
              </w:rPr>
              <w:t>无此项</w:t>
            </w:r>
          </w:p>
        </w:tc>
        <w:tc>
          <w:tcPr>
            <w:tcW w:w="972"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788" w:type="dxa"/>
            <w:tcBorders>
              <w:top w:val="single" w:color="auto" w:sz="4" w:space="0"/>
              <w:left w:val="single" w:color="auto" w:sz="4" w:space="0"/>
              <w:bottom w:val="single" w:color="auto" w:sz="4" w:space="0"/>
              <w:right w:val="single" w:color="auto" w:sz="4" w:space="0"/>
            </w:tcBorders>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8</w:t>
            </w:r>
          </w:p>
        </w:tc>
        <w:tc>
          <w:tcPr>
            <w:tcW w:w="4386"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2"/>
              <w:adjustRightInd w:val="0"/>
              <w:snapToGrid w:val="0"/>
              <w:rPr>
                <w:rFonts w:ascii="宋体" w:hAnsi="宋体" w:cs="宋体"/>
                <w:color w:val="auto"/>
                <w:sz w:val="21"/>
                <w:szCs w:val="21"/>
              </w:rPr>
            </w:pPr>
            <w:r>
              <w:rPr>
                <w:rFonts w:hint="eastAsia" w:ascii="宋体" w:hAnsi="宋体" w:cs="宋体"/>
                <w:color w:val="auto"/>
                <w:sz w:val="21"/>
                <w:szCs w:val="21"/>
              </w:rPr>
              <w:t>光气、氯气等剧毒气体及硫化氢气体管道穿越除厂区（包括化工园区、工业园区）外的公共区域。</w:t>
            </w:r>
          </w:p>
        </w:tc>
        <w:tc>
          <w:tcPr>
            <w:tcW w:w="3060"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2"/>
              <w:adjustRightInd w:val="0"/>
              <w:snapToGrid w:val="0"/>
              <w:rPr>
                <w:rFonts w:ascii="宋体" w:hAnsi="宋体" w:cs="宋体"/>
                <w:color w:val="auto"/>
                <w:sz w:val="21"/>
                <w:szCs w:val="21"/>
              </w:rPr>
            </w:pPr>
            <w:r>
              <w:rPr>
                <w:rFonts w:hint="eastAsia" w:ascii="宋体" w:hAnsi="宋体" w:cs="宋体"/>
                <w:color w:val="auto"/>
                <w:sz w:val="21"/>
                <w:szCs w:val="21"/>
              </w:rPr>
              <w:t>无此项</w:t>
            </w:r>
          </w:p>
        </w:tc>
        <w:tc>
          <w:tcPr>
            <w:tcW w:w="972"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788" w:type="dxa"/>
            <w:tcBorders>
              <w:top w:val="single" w:color="auto" w:sz="4" w:space="0"/>
              <w:left w:val="single" w:color="auto" w:sz="4" w:space="0"/>
              <w:bottom w:val="single" w:color="auto" w:sz="4" w:space="0"/>
              <w:right w:val="single" w:color="auto" w:sz="4" w:space="0"/>
            </w:tcBorders>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9</w:t>
            </w:r>
          </w:p>
        </w:tc>
        <w:tc>
          <w:tcPr>
            <w:tcW w:w="4386"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2"/>
              <w:adjustRightInd w:val="0"/>
              <w:snapToGrid w:val="0"/>
              <w:rPr>
                <w:rFonts w:ascii="宋体" w:hAnsi="宋体" w:cs="宋体"/>
                <w:color w:val="auto"/>
                <w:sz w:val="21"/>
                <w:szCs w:val="21"/>
              </w:rPr>
            </w:pPr>
            <w:r>
              <w:rPr>
                <w:rFonts w:hint="eastAsia" w:ascii="宋体" w:hAnsi="宋体" w:cs="宋体"/>
                <w:color w:val="auto"/>
                <w:sz w:val="21"/>
                <w:szCs w:val="21"/>
              </w:rPr>
              <w:t>地区架空电力线路穿越生产区且不符合国家标准要求。</w:t>
            </w:r>
          </w:p>
        </w:tc>
        <w:tc>
          <w:tcPr>
            <w:tcW w:w="3060"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2"/>
              <w:adjustRightInd w:val="0"/>
              <w:snapToGrid w:val="0"/>
              <w:rPr>
                <w:rFonts w:ascii="宋体" w:hAnsi="宋体" w:cs="宋体"/>
                <w:color w:val="auto"/>
                <w:sz w:val="21"/>
                <w:szCs w:val="21"/>
              </w:rPr>
            </w:pPr>
            <w:r>
              <w:rPr>
                <w:rFonts w:hint="eastAsia" w:ascii="宋体" w:hAnsi="宋体" w:cs="宋体"/>
                <w:color w:val="auto"/>
                <w:sz w:val="21"/>
                <w:szCs w:val="21"/>
              </w:rPr>
              <w:t>无架空电力线路穿越生产区</w:t>
            </w:r>
          </w:p>
        </w:tc>
        <w:tc>
          <w:tcPr>
            <w:tcW w:w="972"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788" w:type="dxa"/>
            <w:tcBorders>
              <w:top w:val="single" w:color="auto" w:sz="4" w:space="0"/>
              <w:left w:val="single" w:color="auto" w:sz="4" w:space="0"/>
              <w:bottom w:val="single" w:color="auto" w:sz="4" w:space="0"/>
              <w:right w:val="single" w:color="auto" w:sz="4" w:space="0"/>
            </w:tcBorders>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10</w:t>
            </w:r>
          </w:p>
        </w:tc>
        <w:tc>
          <w:tcPr>
            <w:tcW w:w="4386"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2"/>
              <w:adjustRightInd w:val="0"/>
              <w:snapToGrid w:val="0"/>
              <w:rPr>
                <w:rFonts w:ascii="宋体" w:hAnsi="宋体" w:cs="宋体"/>
                <w:color w:val="auto"/>
                <w:sz w:val="21"/>
                <w:szCs w:val="21"/>
              </w:rPr>
            </w:pPr>
            <w:r>
              <w:rPr>
                <w:rFonts w:hint="eastAsia" w:ascii="宋体" w:hAnsi="宋体" w:cs="宋体"/>
                <w:color w:val="auto"/>
                <w:sz w:val="21"/>
                <w:szCs w:val="21"/>
              </w:rPr>
              <w:t>在役化工装置未经正规设计且未进行安全设计诊断。</w:t>
            </w:r>
          </w:p>
        </w:tc>
        <w:tc>
          <w:tcPr>
            <w:tcW w:w="3060"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2"/>
              <w:adjustRightInd w:val="0"/>
              <w:snapToGrid w:val="0"/>
              <w:rPr>
                <w:rFonts w:ascii="宋体" w:hAnsi="宋体" w:cs="宋体"/>
                <w:color w:val="auto"/>
                <w:sz w:val="21"/>
                <w:szCs w:val="21"/>
              </w:rPr>
            </w:pPr>
            <w:r>
              <w:rPr>
                <w:rFonts w:hint="eastAsia" w:ascii="宋体" w:hAnsi="宋体" w:cs="宋体"/>
                <w:color w:val="auto"/>
                <w:sz w:val="21"/>
                <w:szCs w:val="21"/>
              </w:rPr>
              <w:t>经正规设计且进行安全设计。</w:t>
            </w:r>
          </w:p>
        </w:tc>
        <w:tc>
          <w:tcPr>
            <w:tcW w:w="972"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788" w:type="dxa"/>
            <w:tcBorders>
              <w:top w:val="single" w:color="auto" w:sz="4" w:space="0"/>
              <w:left w:val="single" w:color="auto" w:sz="4" w:space="0"/>
              <w:bottom w:val="single" w:color="auto" w:sz="4" w:space="0"/>
              <w:right w:val="single" w:color="auto" w:sz="4" w:space="0"/>
            </w:tcBorders>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11</w:t>
            </w:r>
          </w:p>
        </w:tc>
        <w:tc>
          <w:tcPr>
            <w:tcW w:w="4386"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2"/>
              <w:adjustRightInd w:val="0"/>
              <w:snapToGrid w:val="0"/>
              <w:rPr>
                <w:rFonts w:ascii="宋体" w:hAnsi="宋体" w:cs="宋体"/>
                <w:color w:val="auto"/>
                <w:sz w:val="21"/>
                <w:szCs w:val="21"/>
              </w:rPr>
            </w:pPr>
            <w:r>
              <w:rPr>
                <w:rFonts w:hint="eastAsia" w:ascii="宋体" w:hAnsi="宋体" w:cs="宋体"/>
                <w:color w:val="auto"/>
                <w:sz w:val="21"/>
                <w:szCs w:val="21"/>
              </w:rPr>
              <w:t>使用淘汰落后安全技术工艺、设备目录列出的工艺、设备。</w:t>
            </w:r>
          </w:p>
        </w:tc>
        <w:tc>
          <w:tcPr>
            <w:tcW w:w="3060"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2"/>
              <w:adjustRightInd w:val="0"/>
              <w:snapToGrid w:val="0"/>
              <w:rPr>
                <w:rFonts w:ascii="宋体" w:hAnsi="宋体" w:cs="宋体"/>
                <w:color w:val="auto"/>
                <w:sz w:val="21"/>
                <w:szCs w:val="21"/>
              </w:rPr>
            </w:pPr>
            <w:r>
              <w:rPr>
                <w:rFonts w:hint="eastAsia" w:ascii="宋体" w:hAnsi="宋体" w:cs="宋体"/>
                <w:color w:val="auto"/>
                <w:sz w:val="21"/>
                <w:szCs w:val="21"/>
              </w:rPr>
              <w:t>未使用淘汰落后的工艺、设备。</w:t>
            </w:r>
          </w:p>
        </w:tc>
        <w:tc>
          <w:tcPr>
            <w:tcW w:w="972"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788" w:type="dxa"/>
            <w:tcBorders>
              <w:top w:val="single" w:color="auto" w:sz="4" w:space="0"/>
              <w:left w:val="single" w:color="auto" w:sz="4" w:space="0"/>
              <w:bottom w:val="single" w:color="auto" w:sz="4" w:space="0"/>
              <w:right w:val="single" w:color="auto" w:sz="4" w:space="0"/>
            </w:tcBorders>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12</w:t>
            </w:r>
          </w:p>
        </w:tc>
        <w:tc>
          <w:tcPr>
            <w:tcW w:w="4386"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2"/>
              <w:adjustRightInd w:val="0"/>
              <w:snapToGrid w:val="0"/>
              <w:rPr>
                <w:rFonts w:ascii="宋体" w:hAnsi="宋体" w:cs="宋体"/>
                <w:color w:val="auto"/>
                <w:sz w:val="21"/>
                <w:szCs w:val="21"/>
              </w:rPr>
            </w:pPr>
            <w:r>
              <w:rPr>
                <w:rFonts w:hint="eastAsia" w:ascii="宋体" w:hAnsi="宋体" w:cs="宋体"/>
                <w:color w:val="auto"/>
                <w:sz w:val="21"/>
                <w:szCs w:val="21"/>
              </w:rPr>
              <w:t>涉及可燃和有毒有害气体泄漏的场所未按国家标准设置检测报警装置，爆炸危险场所未按国家标准安装使用防爆电气设备。</w:t>
            </w:r>
          </w:p>
        </w:tc>
        <w:tc>
          <w:tcPr>
            <w:tcW w:w="3060"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2"/>
              <w:adjustRightInd w:val="0"/>
              <w:snapToGrid w:val="0"/>
              <w:rPr>
                <w:rFonts w:ascii="宋体" w:hAnsi="宋体" w:cs="宋体"/>
                <w:color w:val="auto"/>
                <w:sz w:val="21"/>
                <w:szCs w:val="21"/>
              </w:rPr>
            </w:pPr>
            <w:r>
              <w:rPr>
                <w:rFonts w:hint="eastAsia" w:ascii="宋体" w:hAnsi="宋体" w:cs="宋体"/>
                <w:color w:val="auto"/>
                <w:sz w:val="21"/>
                <w:szCs w:val="21"/>
              </w:rPr>
              <w:t>按国家标准设置检测报警装置，爆炸危险场所按国家标准安装使用防爆电气设备。</w:t>
            </w:r>
          </w:p>
        </w:tc>
        <w:tc>
          <w:tcPr>
            <w:tcW w:w="972"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788" w:type="dxa"/>
            <w:tcBorders>
              <w:top w:val="single" w:color="auto" w:sz="4" w:space="0"/>
              <w:left w:val="single" w:color="auto" w:sz="4" w:space="0"/>
              <w:bottom w:val="single" w:color="auto" w:sz="4" w:space="0"/>
              <w:right w:val="single" w:color="auto" w:sz="4" w:space="0"/>
            </w:tcBorders>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13</w:t>
            </w:r>
          </w:p>
        </w:tc>
        <w:tc>
          <w:tcPr>
            <w:tcW w:w="4386"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2"/>
              <w:adjustRightInd w:val="0"/>
              <w:snapToGrid w:val="0"/>
              <w:rPr>
                <w:rFonts w:ascii="宋体" w:hAnsi="宋体" w:cs="宋体"/>
                <w:color w:val="auto"/>
                <w:sz w:val="21"/>
                <w:szCs w:val="21"/>
              </w:rPr>
            </w:pPr>
            <w:r>
              <w:rPr>
                <w:rFonts w:hint="eastAsia" w:ascii="宋体" w:hAnsi="宋体" w:cs="宋体"/>
                <w:color w:val="auto"/>
                <w:sz w:val="21"/>
                <w:szCs w:val="21"/>
              </w:rPr>
              <w:t>控制室或机柜间面向具有火灾、爆炸危险性装置一侧不满足国家标准关于防火防爆的要求。</w:t>
            </w:r>
          </w:p>
        </w:tc>
        <w:tc>
          <w:tcPr>
            <w:tcW w:w="3060"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2"/>
              <w:adjustRightInd w:val="0"/>
              <w:snapToGrid w:val="0"/>
              <w:rPr>
                <w:rFonts w:ascii="宋体" w:hAnsi="宋体" w:cs="宋体"/>
                <w:color w:val="auto"/>
                <w:sz w:val="21"/>
                <w:szCs w:val="21"/>
              </w:rPr>
            </w:pPr>
            <w:r>
              <w:rPr>
                <w:rFonts w:hint="eastAsia" w:ascii="宋体" w:hAnsi="宋体" w:cs="宋体"/>
                <w:color w:val="auto"/>
                <w:sz w:val="21"/>
                <w:szCs w:val="21"/>
              </w:rPr>
              <w:t>满足国家标准关于防火防爆的要求。</w:t>
            </w:r>
          </w:p>
        </w:tc>
        <w:tc>
          <w:tcPr>
            <w:tcW w:w="972"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788" w:type="dxa"/>
            <w:tcBorders>
              <w:top w:val="single" w:color="auto" w:sz="4" w:space="0"/>
              <w:left w:val="single" w:color="auto" w:sz="4" w:space="0"/>
              <w:bottom w:val="single" w:color="auto" w:sz="4" w:space="0"/>
              <w:right w:val="single" w:color="auto" w:sz="4" w:space="0"/>
            </w:tcBorders>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14</w:t>
            </w:r>
          </w:p>
        </w:tc>
        <w:tc>
          <w:tcPr>
            <w:tcW w:w="4386"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2"/>
              <w:adjustRightInd w:val="0"/>
              <w:snapToGrid w:val="0"/>
              <w:rPr>
                <w:rFonts w:ascii="宋体" w:hAnsi="宋体" w:cs="宋体"/>
                <w:color w:val="auto"/>
                <w:sz w:val="21"/>
                <w:szCs w:val="21"/>
              </w:rPr>
            </w:pPr>
            <w:r>
              <w:rPr>
                <w:rFonts w:hint="eastAsia" w:ascii="宋体" w:hAnsi="宋体" w:cs="宋体"/>
                <w:color w:val="auto"/>
                <w:sz w:val="21"/>
                <w:szCs w:val="21"/>
              </w:rPr>
              <w:t>化工生产装置未按国家标准要求设置双重电源供电，自动化控制系统未设置不间断电源。</w:t>
            </w:r>
          </w:p>
        </w:tc>
        <w:tc>
          <w:tcPr>
            <w:tcW w:w="3060"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2"/>
              <w:adjustRightInd w:val="0"/>
              <w:snapToGrid w:val="0"/>
              <w:rPr>
                <w:rFonts w:ascii="宋体" w:hAnsi="宋体" w:cs="宋体"/>
                <w:color w:val="auto"/>
                <w:sz w:val="21"/>
                <w:szCs w:val="21"/>
              </w:rPr>
            </w:pPr>
            <w:r>
              <w:rPr>
                <w:rFonts w:hint="eastAsia" w:ascii="宋体" w:hAnsi="宋体" w:cs="宋体"/>
                <w:color w:val="auto"/>
                <w:sz w:val="21"/>
                <w:szCs w:val="21"/>
              </w:rPr>
              <w:t>按国家标准要求设置电源供电，不存在自动化控制系统。</w:t>
            </w:r>
          </w:p>
        </w:tc>
        <w:tc>
          <w:tcPr>
            <w:tcW w:w="972"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788" w:type="dxa"/>
            <w:tcBorders>
              <w:top w:val="single" w:color="auto" w:sz="4" w:space="0"/>
              <w:left w:val="single" w:color="auto" w:sz="4" w:space="0"/>
              <w:bottom w:val="single" w:color="auto" w:sz="4" w:space="0"/>
              <w:right w:val="single" w:color="auto" w:sz="4" w:space="0"/>
            </w:tcBorders>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15</w:t>
            </w:r>
          </w:p>
        </w:tc>
        <w:tc>
          <w:tcPr>
            <w:tcW w:w="4386"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2"/>
              <w:adjustRightInd w:val="0"/>
              <w:snapToGrid w:val="0"/>
              <w:rPr>
                <w:rFonts w:ascii="宋体" w:hAnsi="宋体" w:cs="宋体"/>
                <w:color w:val="auto"/>
                <w:sz w:val="21"/>
                <w:szCs w:val="21"/>
              </w:rPr>
            </w:pPr>
            <w:r>
              <w:rPr>
                <w:rFonts w:hint="eastAsia" w:ascii="宋体" w:hAnsi="宋体" w:cs="宋体"/>
                <w:color w:val="auto"/>
                <w:sz w:val="21"/>
                <w:szCs w:val="21"/>
              </w:rPr>
              <w:t>安全阀、爆破片等安全附件未正常投用。</w:t>
            </w:r>
          </w:p>
        </w:tc>
        <w:tc>
          <w:tcPr>
            <w:tcW w:w="3060"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2"/>
              <w:adjustRightInd w:val="0"/>
              <w:snapToGrid w:val="0"/>
              <w:rPr>
                <w:rFonts w:ascii="宋体" w:hAnsi="宋体" w:cs="宋体"/>
                <w:color w:val="auto"/>
                <w:sz w:val="21"/>
                <w:szCs w:val="21"/>
              </w:rPr>
            </w:pPr>
            <w:r>
              <w:rPr>
                <w:rFonts w:hint="eastAsia" w:ascii="宋体" w:hAnsi="宋体" w:cs="宋体"/>
                <w:color w:val="auto"/>
                <w:sz w:val="21"/>
                <w:szCs w:val="21"/>
              </w:rPr>
              <w:t>无此项</w:t>
            </w:r>
          </w:p>
        </w:tc>
        <w:tc>
          <w:tcPr>
            <w:tcW w:w="972"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788" w:type="dxa"/>
            <w:tcBorders>
              <w:top w:val="single" w:color="auto" w:sz="4" w:space="0"/>
              <w:left w:val="single" w:color="auto" w:sz="4" w:space="0"/>
              <w:bottom w:val="single" w:color="auto" w:sz="4" w:space="0"/>
              <w:right w:val="single" w:color="auto" w:sz="4" w:space="0"/>
            </w:tcBorders>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16</w:t>
            </w:r>
          </w:p>
        </w:tc>
        <w:tc>
          <w:tcPr>
            <w:tcW w:w="4386"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2"/>
              <w:adjustRightInd w:val="0"/>
              <w:snapToGrid w:val="0"/>
              <w:rPr>
                <w:rFonts w:ascii="宋体" w:hAnsi="宋体" w:cs="宋体"/>
                <w:color w:val="auto"/>
                <w:sz w:val="21"/>
                <w:szCs w:val="21"/>
              </w:rPr>
            </w:pPr>
            <w:r>
              <w:rPr>
                <w:rFonts w:hint="eastAsia" w:ascii="宋体" w:hAnsi="宋体" w:cs="宋体"/>
                <w:color w:val="auto"/>
                <w:sz w:val="21"/>
                <w:szCs w:val="21"/>
              </w:rPr>
              <w:t>未建立与岗位相匹配的全员安全生产责任制或者未制定实施生产安全事故隐患排查治理制度。</w:t>
            </w:r>
          </w:p>
        </w:tc>
        <w:tc>
          <w:tcPr>
            <w:tcW w:w="3060"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2"/>
              <w:adjustRightInd w:val="0"/>
              <w:snapToGrid w:val="0"/>
              <w:rPr>
                <w:rFonts w:ascii="宋体" w:hAnsi="宋体" w:cs="宋体"/>
                <w:color w:val="auto"/>
                <w:sz w:val="21"/>
                <w:szCs w:val="21"/>
              </w:rPr>
            </w:pPr>
            <w:r>
              <w:rPr>
                <w:rFonts w:hint="eastAsia" w:ascii="宋体" w:hAnsi="宋体" w:cs="宋体"/>
                <w:color w:val="auto"/>
                <w:sz w:val="21"/>
                <w:szCs w:val="21"/>
              </w:rPr>
              <w:t>已建立相关责任制和管理制度</w:t>
            </w:r>
          </w:p>
        </w:tc>
        <w:tc>
          <w:tcPr>
            <w:tcW w:w="972"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788" w:type="dxa"/>
            <w:tcBorders>
              <w:top w:val="single" w:color="auto" w:sz="4" w:space="0"/>
              <w:left w:val="single" w:color="auto" w:sz="4" w:space="0"/>
              <w:bottom w:val="single" w:color="auto" w:sz="4" w:space="0"/>
              <w:right w:val="single" w:color="auto" w:sz="4" w:space="0"/>
            </w:tcBorders>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17</w:t>
            </w:r>
          </w:p>
        </w:tc>
        <w:tc>
          <w:tcPr>
            <w:tcW w:w="4386"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2"/>
              <w:adjustRightInd w:val="0"/>
              <w:snapToGrid w:val="0"/>
              <w:rPr>
                <w:rFonts w:ascii="宋体" w:hAnsi="宋体" w:cs="宋体"/>
                <w:color w:val="auto"/>
                <w:sz w:val="21"/>
                <w:szCs w:val="21"/>
              </w:rPr>
            </w:pPr>
            <w:r>
              <w:rPr>
                <w:rFonts w:hint="eastAsia" w:ascii="宋体" w:hAnsi="宋体" w:cs="宋体"/>
                <w:color w:val="auto"/>
                <w:sz w:val="21"/>
                <w:szCs w:val="21"/>
              </w:rPr>
              <w:t>未制定操作规程和工艺控制指标。</w:t>
            </w:r>
          </w:p>
        </w:tc>
        <w:tc>
          <w:tcPr>
            <w:tcW w:w="3060"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2"/>
              <w:adjustRightInd w:val="0"/>
              <w:snapToGrid w:val="0"/>
              <w:rPr>
                <w:rFonts w:ascii="宋体" w:hAnsi="宋体" w:cs="宋体"/>
                <w:color w:val="auto"/>
                <w:sz w:val="21"/>
                <w:szCs w:val="21"/>
              </w:rPr>
            </w:pPr>
            <w:r>
              <w:rPr>
                <w:rFonts w:hint="eastAsia" w:ascii="宋体" w:hAnsi="宋体" w:cs="宋体"/>
                <w:color w:val="auto"/>
                <w:sz w:val="21"/>
                <w:szCs w:val="21"/>
              </w:rPr>
              <w:t>已制定操作规程和工艺控制指标</w:t>
            </w:r>
          </w:p>
        </w:tc>
        <w:tc>
          <w:tcPr>
            <w:tcW w:w="972"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788" w:type="dxa"/>
            <w:tcBorders>
              <w:top w:val="single" w:color="auto" w:sz="4" w:space="0"/>
              <w:left w:val="single" w:color="auto" w:sz="4" w:space="0"/>
              <w:bottom w:val="single" w:color="auto" w:sz="4" w:space="0"/>
              <w:right w:val="single" w:color="auto" w:sz="4" w:space="0"/>
            </w:tcBorders>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18</w:t>
            </w:r>
          </w:p>
        </w:tc>
        <w:tc>
          <w:tcPr>
            <w:tcW w:w="4386"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2"/>
              <w:adjustRightInd w:val="0"/>
              <w:snapToGrid w:val="0"/>
              <w:rPr>
                <w:rFonts w:ascii="宋体" w:hAnsi="宋体" w:cs="宋体"/>
                <w:color w:val="auto"/>
                <w:sz w:val="21"/>
                <w:szCs w:val="21"/>
              </w:rPr>
            </w:pPr>
            <w:r>
              <w:rPr>
                <w:rFonts w:hint="eastAsia" w:ascii="宋体" w:hAnsi="宋体" w:cs="宋体"/>
                <w:color w:val="auto"/>
                <w:sz w:val="21"/>
                <w:szCs w:val="21"/>
              </w:rPr>
              <w:t>未按照国家标准制定动火、进入受限空间等特殊作业管理制度，或者制度未有效执行。</w:t>
            </w:r>
          </w:p>
        </w:tc>
        <w:tc>
          <w:tcPr>
            <w:tcW w:w="3060"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2"/>
              <w:adjustRightInd w:val="0"/>
              <w:snapToGrid w:val="0"/>
              <w:rPr>
                <w:rFonts w:ascii="宋体" w:hAnsi="宋体" w:cs="宋体"/>
                <w:color w:val="auto"/>
                <w:sz w:val="21"/>
                <w:szCs w:val="21"/>
              </w:rPr>
            </w:pPr>
            <w:r>
              <w:rPr>
                <w:rFonts w:hint="eastAsia" w:ascii="宋体" w:hAnsi="宋体" w:cs="宋体"/>
                <w:color w:val="auto"/>
                <w:sz w:val="21"/>
                <w:szCs w:val="21"/>
              </w:rPr>
              <w:t>制定有特殊作业管理制度，未发现违章作业。</w:t>
            </w:r>
          </w:p>
        </w:tc>
        <w:tc>
          <w:tcPr>
            <w:tcW w:w="972"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788" w:type="dxa"/>
            <w:tcBorders>
              <w:top w:val="single" w:color="auto" w:sz="4" w:space="0"/>
              <w:left w:val="single" w:color="auto" w:sz="4" w:space="0"/>
              <w:bottom w:val="single" w:color="auto" w:sz="4" w:space="0"/>
              <w:right w:val="single" w:color="auto" w:sz="4" w:space="0"/>
            </w:tcBorders>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19</w:t>
            </w:r>
          </w:p>
        </w:tc>
        <w:tc>
          <w:tcPr>
            <w:tcW w:w="4386"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2"/>
              <w:adjustRightInd w:val="0"/>
              <w:snapToGrid w:val="0"/>
              <w:rPr>
                <w:rFonts w:ascii="宋体" w:hAnsi="宋体" w:cs="宋体"/>
                <w:color w:val="auto"/>
                <w:sz w:val="21"/>
                <w:szCs w:val="21"/>
              </w:rPr>
            </w:pPr>
            <w:r>
              <w:rPr>
                <w:rFonts w:hint="eastAsia" w:ascii="宋体" w:hAnsi="宋体" w:cs="宋体"/>
                <w:color w:val="auto"/>
                <w:sz w:val="21"/>
                <w:szCs w:val="21"/>
              </w:rPr>
              <w:t>新开发的危险化学品生产工艺未经小试、中试、工业化试验直接进行工业化生产；国内首次使用的化工工艺未经过省级人民政府有关部门组织的安全可靠性论证；新建装置未制定试生产方案投料开车；精细化工企业未按规范性文件要求开展反应安全风险评估。</w:t>
            </w:r>
          </w:p>
        </w:tc>
        <w:tc>
          <w:tcPr>
            <w:tcW w:w="3060"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2"/>
              <w:adjustRightInd w:val="0"/>
              <w:snapToGrid w:val="0"/>
              <w:rPr>
                <w:rFonts w:ascii="宋体" w:hAnsi="宋体" w:cs="宋体"/>
                <w:color w:val="auto"/>
                <w:sz w:val="21"/>
                <w:szCs w:val="21"/>
              </w:rPr>
            </w:pPr>
            <w:r>
              <w:rPr>
                <w:rFonts w:hint="eastAsia" w:ascii="宋体" w:hAnsi="宋体" w:cs="宋体"/>
                <w:color w:val="auto"/>
                <w:sz w:val="21"/>
                <w:szCs w:val="21"/>
              </w:rPr>
              <w:t>无此项</w:t>
            </w:r>
          </w:p>
        </w:tc>
        <w:tc>
          <w:tcPr>
            <w:tcW w:w="972"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788" w:type="dxa"/>
            <w:tcBorders>
              <w:top w:val="single" w:color="auto" w:sz="4" w:space="0"/>
              <w:left w:val="single" w:color="auto" w:sz="4" w:space="0"/>
              <w:bottom w:val="single" w:color="auto" w:sz="4" w:space="0"/>
              <w:right w:val="single" w:color="auto" w:sz="4" w:space="0"/>
            </w:tcBorders>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20</w:t>
            </w:r>
          </w:p>
        </w:tc>
        <w:tc>
          <w:tcPr>
            <w:tcW w:w="4386"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2"/>
              <w:adjustRightInd w:val="0"/>
              <w:snapToGrid w:val="0"/>
              <w:rPr>
                <w:rFonts w:ascii="宋体" w:hAnsi="宋体" w:cs="宋体"/>
                <w:color w:val="auto"/>
                <w:sz w:val="21"/>
                <w:szCs w:val="21"/>
              </w:rPr>
            </w:pPr>
            <w:r>
              <w:rPr>
                <w:rFonts w:hint="eastAsia" w:ascii="宋体" w:hAnsi="宋体" w:cs="宋体"/>
                <w:color w:val="auto"/>
                <w:sz w:val="21"/>
                <w:szCs w:val="21"/>
              </w:rPr>
              <w:t>未按国家标准分区分类储存危险化学品，超量、超品种储存危险化学品，相互禁配物质混放混存。</w:t>
            </w:r>
          </w:p>
        </w:tc>
        <w:tc>
          <w:tcPr>
            <w:tcW w:w="3060"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2"/>
              <w:adjustRightInd w:val="0"/>
              <w:snapToGrid w:val="0"/>
              <w:rPr>
                <w:rFonts w:ascii="宋体" w:hAnsi="宋体" w:cs="宋体"/>
                <w:color w:val="auto"/>
                <w:sz w:val="21"/>
                <w:szCs w:val="21"/>
              </w:rPr>
            </w:pPr>
            <w:r>
              <w:rPr>
                <w:rFonts w:hint="eastAsia" w:ascii="宋体" w:hAnsi="宋体" w:cs="宋体"/>
                <w:color w:val="auto"/>
                <w:sz w:val="21"/>
                <w:szCs w:val="21"/>
              </w:rPr>
              <w:t>按国家标准储存危险化学品，未超量、超品种储存。</w:t>
            </w:r>
          </w:p>
        </w:tc>
        <w:tc>
          <w:tcPr>
            <w:tcW w:w="972" w:type="dxa"/>
            <w:tcBorders>
              <w:top w:val="single" w:color="auto" w:sz="4" w:space="0"/>
              <w:left w:val="single" w:color="auto" w:sz="4" w:space="0"/>
              <w:bottom w:val="single" w:color="auto" w:sz="4" w:space="0"/>
              <w:right w:val="single" w:color="auto" w:sz="4" w:space="0"/>
            </w:tcBorders>
            <w:tcMar>
              <w:top w:w="57" w:type="dxa"/>
              <w:left w:w="28" w:type="dxa"/>
              <w:bottom w:w="57" w:type="dxa"/>
              <w:right w:w="28" w:type="dxa"/>
            </w:tcMar>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合格</w:t>
            </w:r>
          </w:p>
        </w:tc>
      </w:tr>
    </w:tbl>
    <w:p>
      <w:pPr>
        <w:spacing w:line="560" w:lineRule="exact"/>
        <w:ind w:firstLine="560" w:firstLineChars="200"/>
        <w:jc w:val="both"/>
        <w:rPr>
          <w:rFonts w:ascii="宋体" w:hAnsi="宋体" w:eastAsia="宋体" w:cs="宋体"/>
          <w:color w:val="auto"/>
          <w:sz w:val="28"/>
          <w:szCs w:val="28"/>
        </w:rPr>
      </w:pPr>
      <w:r>
        <w:rPr>
          <w:rFonts w:hint="eastAsia" w:ascii="宋体" w:hAnsi="宋体" w:eastAsia="宋体" w:cs="宋体"/>
          <w:color w:val="auto"/>
          <w:sz w:val="28"/>
          <w:szCs w:val="28"/>
        </w:rPr>
        <w:t>根据检查结果可知，该公司不存在《化工和危险化学品生产经营单位重大生产安全事故隐患判定标准（试行）》规定的重大生产安全事故隐患。</w:t>
      </w:r>
    </w:p>
    <w:p>
      <w:pPr>
        <w:spacing w:line="560" w:lineRule="exact"/>
        <w:jc w:val="both"/>
        <w:outlineLvl w:val="2"/>
        <w:rPr>
          <w:rFonts w:ascii="宋体" w:hAnsi="宋体" w:eastAsia="宋体" w:cs="Times New Roman"/>
          <w:bCs/>
          <w:color w:val="auto"/>
          <w:kern w:val="2"/>
          <w:sz w:val="28"/>
          <w:szCs w:val="28"/>
          <w:lang w:val="en-US" w:eastAsia="zh-CN" w:bidi="ar-SA"/>
        </w:rPr>
      </w:pPr>
      <w:r>
        <w:rPr>
          <w:rFonts w:ascii="宋体" w:hAnsi="宋体" w:eastAsia="宋体" w:cs="Times New Roman"/>
          <w:bCs/>
          <w:color w:val="auto"/>
          <w:kern w:val="2"/>
          <w:sz w:val="28"/>
          <w:szCs w:val="28"/>
          <w:lang w:val="en-US" w:eastAsia="zh-CN" w:bidi="ar-SA"/>
        </w:rPr>
        <w:t>2.1.</w:t>
      </w:r>
      <w:r>
        <w:rPr>
          <w:rFonts w:hint="eastAsia" w:ascii="宋体" w:hAnsi="宋体" w:eastAsia="宋体" w:cs="Times New Roman"/>
          <w:bCs/>
          <w:color w:val="auto"/>
          <w:kern w:val="2"/>
          <w:sz w:val="28"/>
          <w:szCs w:val="28"/>
          <w:lang w:val="en-US" w:eastAsia="zh-CN" w:bidi="ar-SA"/>
        </w:rPr>
        <w:t>8安全风险评估诊断分级评价</w:t>
      </w:r>
    </w:p>
    <w:p>
      <w:pPr>
        <w:spacing w:line="500" w:lineRule="exact"/>
        <w:ind w:firstLine="560" w:firstLineChars="200"/>
        <w:rPr>
          <w:rFonts w:ascii="宋体" w:hAnsi="宋体"/>
          <w:color w:val="auto"/>
          <w:sz w:val="28"/>
          <w:szCs w:val="28"/>
        </w:rPr>
      </w:pPr>
      <w:r>
        <w:rPr>
          <w:rFonts w:hint="eastAsia" w:ascii="宋体" w:hAnsi="宋体"/>
          <w:color w:val="auto"/>
          <w:sz w:val="28"/>
          <w:szCs w:val="28"/>
        </w:rPr>
        <w:t>根据应急管理部关于印发危险化学品生产储存企业安全风险评估诊断分级指南（试行）的通知（应急[2018]19号）和广东省安全生产监督管理局转发应急管理部关于印发危险化学品生产储存企业安全风险评估诊断分级指南（试行）的通知（粤安监管三〔2018〕9号）的内容，对该公司安全风险评估诊断分级如下：</w:t>
      </w:r>
    </w:p>
    <w:p>
      <w:pPr>
        <w:spacing w:line="560" w:lineRule="exact"/>
        <w:jc w:val="center"/>
        <w:rPr>
          <w:rFonts w:ascii="宋体" w:hAnsi="宋体" w:eastAsia="宋体"/>
          <w:b/>
          <w:color w:val="auto"/>
          <w:lang w:eastAsia="zh-CN"/>
        </w:rPr>
      </w:pPr>
      <w:r>
        <w:rPr>
          <w:rFonts w:hint="eastAsia" w:ascii="宋体" w:hAnsi="宋体" w:eastAsia="宋体"/>
          <w:b/>
          <w:color w:val="auto"/>
        </w:rPr>
        <w:t>附表2-</w:t>
      </w:r>
      <w:r>
        <w:rPr>
          <w:rFonts w:hint="eastAsia" w:ascii="宋体" w:hAnsi="宋体" w:eastAsia="宋体"/>
          <w:b/>
          <w:color w:val="auto"/>
          <w:lang w:eastAsia="zh-CN"/>
        </w:rPr>
        <w:t>7安全风险评估诊断分级表</w:t>
      </w:r>
    </w:p>
    <w:tbl>
      <w:tblPr>
        <w:tblStyle w:val="4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4"/>
        <w:gridCol w:w="1664"/>
        <w:gridCol w:w="5771"/>
        <w:gridCol w:w="409"/>
        <w:gridCol w:w="5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844" w:type="dxa"/>
            <w:vAlign w:val="center"/>
          </w:tcPr>
          <w:p>
            <w:pPr>
              <w:pStyle w:val="2"/>
              <w:adjustRightInd w:val="0"/>
              <w:snapToGrid w:val="0"/>
              <w:jc w:val="center"/>
              <w:rPr>
                <w:rFonts w:ascii="宋体" w:hAnsi="宋体" w:cs="宋体"/>
                <w:b/>
                <w:color w:val="auto"/>
                <w:sz w:val="21"/>
                <w:szCs w:val="21"/>
              </w:rPr>
            </w:pPr>
            <w:r>
              <w:rPr>
                <w:rFonts w:hint="eastAsia" w:ascii="宋体" w:hAnsi="宋体" w:cs="宋体"/>
                <w:b/>
                <w:color w:val="auto"/>
                <w:sz w:val="21"/>
                <w:szCs w:val="21"/>
              </w:rPr>
              <w:t>类别</w:t>
            </w:r>
          </w:p>
        </w:tc>
        <w:tc>
          <w:tcPr>
            <w:tcW w:w="1664" w:type="dxa"/>
            <w:vAlign w:val="center"/>
          </w:tcPr>
          <w:p>
            <w:pPr>
              <w:pStyle w:val="2"/>
              <w:adjustRightInd w:val="0"/>
              <w:snapToGrid w:val="0"/>
              <w:jc w:val="center"/>
              <w:rPr>
                <w:rFonts w:ascii="宋体" w:hAnsi="宋体" w:cs="宋体"/>
                <w:b/>
                <w:color w:val="auto"/>
                <w:sz w:val="21"/>
                <w:szCs w:val="21"/>
              </w:rPr>
            </w:pPr>
            <w:r>
              <w:rPr>
                <w:rFonts w:hint="eastAsia" w:ascii="宋体" w:hAnsi="宋体" w:cs="宋体"/>
                <w:b/>
                <w:color w:val="auto"/>
                <w:sz w:val="21"/>
                <w:szCs w:val="21"/>
              </w:rPr>
              <w:t>项目（分值）</w:t>
            </w:r>
          </w:p>
        </w:tc>
        <w:tc>
          <w:tcPr>
            <w:tcW w:w="5771" w:type="dxa"/>
            <w:vAlign w:val="center"/>
          </w:tcPr>
          <w:p>
            <w:pPr>
              <w:pStyle w:val="2"/>
              <w:adjustRightInd w:val="0"/>
              <w:snapToGrid w:val="0"/>
              <w:jc w:val="center"/>
              <w:rPr>
                <w:rFonts w:ascii="宋体" w:hAnsi="宋体" w:cs="宋体"/>
                <w:b/>
                <w:color w:val="auto"/>
                <w:sz w:val="21"/>
                <w:szCs w:val="21"/>
              </w:rPr>
            </w:pPr>
            <w:r>
              <w:rPr>
                <w:rFonts w:hint="eastAsia" w:ascii="宋体" w:hAnsi="宋体" w:cs="宋体"/>
                <w:b/>
                <w:color w:val="auto"/>
                <w:sz w:val="21"/>
                <w:szCs w:val="21"/>
              </w:rPr>
              <w:t>评估内容</w:t>
            </w:r>
          </w:p>
        </w:tc>
        <w:tc>
          <w:tcPr>
            <w:tcW w:w="1007" w:type="dxa"/>
            <w:gridSpan w:val="2"/>
            <w:vAlign w:val="center"/>
          </w:tcPr>
          <w:p>
            <w:pPr>
              <w:pStyle w:val="2"/>
              <w:adjustRightInd w:val="0"/>
              <w:snapToGrid w:val="0"/>
              <w:jc w:val="center"/>
              <w:rPr>
                <w:rFonts w:ascii="宋体" w:hAnsi="宋体" w:cs="宋体"/>
                <w:b/>
                <w:color w:val="auto"/>
                <w:sz w:val="21"/>
                <w:szCs w:val="21"/>
              </w:rPr>
            </w:pPr>
            <w:r>
              <w:rPr>
                <w:rFonts w:hint="eastAsia" w:ascii="宋体" w:hAnsi="宋体" w:cs="宋体"/>
                <w:b/>
                <w:color w:val="auto"/>
                <w:sz w:val="21"/>
                <w:szCs w:val="21"/>
              </w:rPr>
              <w:t>扣分值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844" w:type="dxa"/>
            <w:vMerge w:val="restart"/>
            <w:vAlign w:val="center"/>
          </w:tcPr>
          <w:p>
            <w:pPr>
              <w:pStyle w:val="2"/>
              <w:adjustRightInd w:val="0"/>
              <w:snapToGrid w:val="0"/>
              <w:jc w:val="center"/>
              <w:rPr>
                <w:rFonts w:ascii="宋体" w:hAnsi="宋体" w:cs="宋体"/>
                <w:color w:val="auto"/>
                <w:sz w:val="21"/>
                <w:szCs w:val="21"/>
              </w:rPr>
            </w:pPr>
            <w:r>
              <w:rPr>
                <w:rFonts w:ascii="宋体" w:hAnsi="宋体" w:cs="宋体"/>
                <w:color w:val="auto"/>
                <w:sz w:val="21"/>
                <w:szCs w:val="21"/>
              </w:rPr>
              <w:t>1.</w:t>
            </w:r>
            <w:r>
              <w:rPr>
                <w:rFonts w:hint="eastAsia" w:ascii="宋体" w:hAnsi="宋体" w:cs="宋体"/>
                <w:color w:val="auto"/>
                <w:sz w:val="21"/>
                <w:szCs w:val="21"/>
              </w:rPr>
              <w:t>固有危险性</w:t>
            </w:r>
          </w:p>
        </w:tc>
        <w:tc>
          <w:tcPr>
            <w:tcW w:w="1664" w:type="dxa"/>
            <w:vMerge w:val="restart"/>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重大危险源</w:t>
            </w:r>
          </w:p>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w:t>
            </w:r>
            <w:r>
              <w:rPr>
                <w:rFonts w:ascii="宋体" w:hAnsi="宋体" w:cs="宋体"/>
                <w:color w:val="auto"/>
                <w:sz w:val="21"/>
                <w:szCs w:val="21"/>
              </w:rPr>
              <w:t>10</w:t>
            </w:r>
            <w:r>
              <w:rPr>
                <w:rFonts w:hint="eastAsia" w:ascii="宋体" w:hAnsi="宋体" w:cs="宋体"/>
                <w:color w:val="auto"/>
                <w:sz w:val="21"/>
                <w:szCs w:val="21"/>
              </w:rPr>
              <w:t>分）</w:t>
            </w:r>
          </w:p>
        </w:tc>
        <w:tc>
          <w:tcPr>
            <w:tcW w:w="5771" w:type="dxa"/>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存在一级危险化学品重大危险源的，扣</w:t>
            </w:r>
            <w:r>
              <w:rPr>
                <w:rFonts w:ascii="宋体" w:hAnsi="宋体" w:cs="宋体"/>
                <w:color w:val="auto"/>
                <w:sz w:val="21"/>
                <w:szCs w:val="21"/>
              </w:rPr>
              <w:t>10</w:t>
            </w:r>
            <w:r>
              <w:rPr>
                <w:rFonts w:hint="eastAsia" w:ascii="宋体" w:hAnsi="宋体" w:cs="宋体"/>
                <w:color w:val="auto"/>
                <w:sz w:val="21"/>
                <w:szCs w:val="21"/>
              </w:rPr>
              <w:t>分；</w:t>
            </w:r>
          </w:p>
        </w:tc>
        <w:tc>
          <w:tcPr>
            <w:tcW w:w="1007" w:type="dxa"/>
            <w:gridSpan w:val="2"/>
            <w:vMerge w:val="restart"/>
            <w:vAlign w:val="center"/>
          </w:tcPr>
          <w:p>
            <w:pPr>
              <w:pStyle w:val="2"/>
              <w:adjustRightInd w:val="0"/>
              <w:snapToGrid w:val="0"/>
              <w:jc w:val="center"/>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不扣分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844" w:type="dxa"/>
            <w:vMerge w:val="continue"/>
            <w:vAlign w:val="center"/>
          </w:tcPr>
          <w:p>
            <w:pPr>
              <w:pStyle w:val="2"/>
              <w:adjustRightInd w:val="0"/>
              <w:snapToGrid w:val="0"/>
              <w:jc w:val="center"/>
              <w:rPr>
                <w:rFonts w:ascii="宋体" w:hAnsi="宋体" w:cs="宋体"/>
                <w:color w:val="auto"/>
                <w:sz w:val="21"/>
                <w:szCs w:val="21"/>
              </w:rPr>
            </w:pPr>
          </w:p>
        </w:tc>
        <w:tc>
          <w:tcPr>
            <w:tcW w:w="1664" w:type="dxa"/>
            <w:vMerge w:val="continue"/>
            <w:vAlign w:val="center"/>
          </w:tcPr>
          <w:p>
            <w:pPr>
              <w:pStyle w:val="2"/>
              <w:adjustRightInd w:val="0"/>
              <w:snapToGrid w:val="0"/>
              <w:jc w:val="center"/>
              <w:rPr>
                <w:rFonts w:ascii="宋体" w:hAnsi="宋体" w:cs="宋体"/>
                <w:color w:val="auto"/>
                <w:sz w:val="21"/>
                <w:szCs w:val="21"/>
              </w:rPr>
            </w:pPr>
          </w:p>
        </w:tc>
        <w:tc>
          <w:tcPr>
            <w:tcW w:w="5771" w:type="dxa"/>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存在二级危险化学品重大危险源的，扣</w:t>
            </w:r>
            <w:r>
              <w:rPr>
                <w:rFonts w:ascii="宋体" w:hAnsi="宋体" w:cs="宋体"/>
                <w:color w:val="auto"/>
                <w:sz w:val="21"/>
                <w:szCs w:val="21"/>
              </w:rPr>
              <w:t>8</w:t>
            </w:r>
            <w:r>
              <w:rPr>
                <w:rFonts w:hint="eastAsia" w:ascii="宋体" w:hAnsi="宋体" w:cs="宋体"/>
                <w:color w:val="auto"/>
                <w:sz w:val="21"/>
                <w:szCs w:val="21"/>
              </w:rPr>
              <w:t>分；</w:t>
            </w:r>
          </w:p>
        </w:tc>
        <w:tc>
          <w:tcPr>
            <w:tcW w:w="1007" w:type="dxa"/>
            <w:gridSpan w:val="2"/>
            <w:vMerge w:val="continue"/>
            <w:vAlign w:val="center"/>
          </w:tcPr>
          <w:p>
            <w:pPr>
              <w:pStyle w:val="2"/>
              <w:adjustRightInd w:val="0"/>
              <w:snapToGrid w:val="0"/>
              <w:jc w:val="center"/>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844" w:type="dxa"/>
            <w:vMerge w:val="continue"/>
            <w:vAlign w:val="center"/>
          </w:tcPr>
          <w:p>
            <w:pPr>
              <w:pStyle w:val="2"/>
              <w:adjustRightInd w:val="0"/>
              <w:snapToGrid w:val="0"/>
              <w:jc w:val="center"/>
              <w:rPr>
                <w:rFonts w:ascii="宋体" w:hAnsi="宋体" w:cs="宋体"/>
                <w:color w:val="auto"/>
                <w:sz w:val="21"/>
                <w:szCs w:val="21"/>
              </w:rPr>
            </w:pPr>
          </w:p>
        </w:tc>
        <w:tc>
          <w:tcPr>
            <w:tcW w:w="1664" w:type="dxa"/>
            <w:vMerge w:val="continue"/>
            <w:vAlign w:val="center"/>
          </w:tcPr>
          <w:p>
            <w:pPr>
              <w:pStyle w:val="2"/>
              <w:adjustRightInd w:val="0"/>
              <w:snapToGrid w:val="0"/>
              <w:jc w:val="center"/>
              <w:rPr>
                <w:rFonts w:ascii="宋体" w:hAnsi="宋体" w:cs="宋体"/>
                <w:color w:val="auto"/>
                <w:sz w:val="21"/>
                <w:szCs w:val="21"/>
              </w:rPr>
            </w:pPr>
          </w:p>
        </w:tc>
        <w:tc>
          <w:tcPr>
            <w:tcW w:w="5771" w:type="dxa"/>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存在三级危险化学品重大危险源的，扣</w:t>
            </w:r>
            <w:r>
              <w:rPr>
                <w:rFonts w:ascii="宋体" w:hAnsi="宋体" w:cs="宋体"/>
                <w:color w:val="auto"/>
                <w:sz w:val="21"/>
                <w:szCs w:val="21"/>
              </w:rPr>
              <w:t>6</w:t>
            </w:r>
            <w:r>
              <w:rPr>
                <w:rFonts w:hint="eastAsia" w:ascii="宋体" w:hAnsi="宋体" w:cs="宋体"/>
                <w:color w:val="auto"/>
                <w:sz w:val="21"/>
                <w:szCs w:val="21"/>
              </w:rPr>
              <w:t>分；</w:t>
            </w:r>
          </w:p>
        </w:tc>
        <w:tc>
          <w:tcPr>
            <w:tcW w:w="1007" w:type="dxa"/>
            <w:gridSpan w:val="2"/>
            <w:vMerge w:val="continue"/>
            <w:vAlign w:val="center"/>
          </w:tcPr>
          <w:p>
            <w:pPr>
              <w:pStyle w:val="2"/>
              <w:adjustRightInd w:val="0"/>
              <w:snapToGrid w:val="0"/>
              <w:jc w:val="center"/>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844" w:type="dxa"/>
            <w:vMerge w:val="continue"/>
            <w:vAlign w:val="center"/>
          </w:tcPr>
          <w:p>
            <w:pPr>
              <w:pStyle w:val="2"/>
              <w:adjustRightInd w:val="0"/>
              <w:snapToGrid w:val="0"/>
              <w:jc w:val="center"/>
              <w:rPr>
                <w:rFonts w:ascii="宋体" w:hAnsi="宋体" w:cs="宋体"/>
                <w:color w:val="auto"/>
                <w:sz w:val="21"/>
                <w:szCs w:val="21"/>
              </w:rPr>
            </w:pPr>
          </w:p>
        </w:tc>
        <w:tc>
          <w:tcPr>
            <w:tcW w:w="1664" w:type="dxa"/>
            <w:vMerge w:val="continue"/>
            <w:vAlign w:val="center"/>
          </w:tcPr>
          <w:p>
            <w:pPr>
              <w:pStyle w:val="2"/>
              <w:adjustRightInd w:val="0"/>
              <w:snapToGrid w:val="0"/>
              <w:jc w:val="center"/>
              <w:rPr>
                <w:rFonts w:ascii="宋体" w:hAnsi="宋体" w:cs="宋体"/>
                <w:color w:val="auto"/>
                <w:sz w:val="21"/>
                <w:szCs w:val="21"/>
              </w:rPr>
            </w:pPr>
          </w:p>
        </w:tc>
        <w:tc>
          <w:tcPr>
            <w:tcW w:w="5771" w:type="dxa"/>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存在四级危险化学品重大危险源的，扣</w:t>
            </w:r>
            <w:r>
              <w:rPr>
                <w:rFonts w:ascii="宋体" w:hAnsi="宋体" w:cs="宋体"/>
                <w:color w:val="auto"/>
                <w:sz w:val="21"/>
                <w:szCs w:val="21"/>
              </w:rPr>
              <w:t>4</w:t>
            </w:r>
            <w:r>
              <w:rPr>
                <w:rFonts w:hint="eastAsia" w:ascii="宋体" w:hAnsi="宋体" w:cs="宋体"/>
                <w:color w:val="auto"/>
                <w:sz w:val="21"/>
                <w:szCs w:val="21"/>
              </w:rPr>
              <w:t>分。</w:t>
            </w:r>
          </w:p>
        </w:tc>
        <w:tc>
          <w:tcPr>
            <w:tcW w:w="1007" w:type="dxa"/>
            <w:gridSpan w:val="2"/>
            <w:vMerge w:val="continue"/>
            <w:vAlign w:val="center"/>
          </w:tcPr>
          <w:p>
            <w:pPr>
              <w:pStyle w:val="2"/>
              <w:adjustRightInd w:val="0"/>
              <w:snapToGrid w:val="0"/>
              <w:jc w:val="center"/>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jc w:val="center"/>
        </w:trPr>
        <w:tc>
          <w:tcPr>
            <w:tcW w:w="844" w:type="dxa"/>
            <w:vMerge w:val="continue"/>
            <w:vAlign w:val="center"/>
          </w:tcPr>
          <w:p>
            <w:pPr>
              <w:pStyle w:val="2"/>
              <w:adjustRightInd w:val="0"/>
              <w:snapToGrid w:val="0"/>
              <w:jc w:val="center"/>
              <w:rPr>
                <w:rFonts w:ascii="宋体" w:hAnsi="宋体" w:cs="宋体"/>
                <w:color w:val="auto"/>
                <w:sz w:val="21"/>
                <w:szCs w:val="21"/>
              </w:rPr>
            </w:pPr>
          </w:p>
        </w:tc>
        <w:tc>
          <w:tcPr>
            <w:tcW w:w="1664" w:type="dxa"/>
            <w:vMerge w:val="restart"/>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物质危险性</w:t>
            </w:r>
          </w:p>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w:t>
            </w:r>
            <w:r>
              <w:rPr>
                <w:rFonts w:ascii="宋体" w:hAnsi="宋体" w:cs="宋体"/>
                <w:color w:val="auto"/>
                <w:sz w:val="21"/>
                <w:szCs w:val="21"/>
              </w:rPr>
              <w:t>5</w:t>
            </w:r>
            <w:r>
              <w:rPr>
                <w:rFonts w:hint="eastAsia" w:ascii="宋体" w:hAnsi="宋体" w:cs="宋体"/>
                <w:color w:val="auto"/>
                <w:sz w:val="21"/>
                <w:szCs w:val="21"/>
              </w:rPr>
              <w:t>分）</w:t>
            </w:r>
          </w:p>
        </w:tc>
        <w:tc>
          <w:tcPr>
            <w:tcW w:w="5771" w:type="dxa"/>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生产、储存爆炸品的（实验室化学试剂除外），每一种扣</w:t>
            </w:r>
            <w:r>
              <w:rPr>
                <w:rFonts w:ascii="宋体" w:hAnsi="宋体" w:cs="宋体"/>
                <w:color w:val="auto"/>
                <w:sz w:val="21"/>
                <w:szCs w:val="21"/>
              </w:rPr>
              <w:t>2</w:t>
            </w:r>
            <w:r>
              <w:rPr>
                <w:rFonts w:hint="eastAsia" w:ascii="宋体" w:hAnsi="宋体" w:cs="宋体"/>
                <w:color w:val="auto"/>
                <w:sz w:val="21"/>
                <w:szCs w:val="21"/>
              </w:rPr>
              <w:t>分；</w:t>
            </w:r>
          </w:p>
        </w:tc>
        <w:tc>
          <w:tcPr>
            <w:tcW w:w="1007" w:type="dxa"/>
            <w:gridSpan w:val="2"/>
            <w:vAlign w:val="center"/>
          </w:tcPr>
          <w:p>
            <w:pPr>
              <w:adjustRightInd w:val="0"/>
              <w:snapToGrid w:val="0"/>
              <w:jc w:val="center"/>
              <w:rPr>
                <w:rFonts w:hint="eastAsia" w:ascii="宋体" w:hAnsi="宋体" w:eastAsia="宋体" w:cs="宋体"/>
                <w:color w:val="auto"/>
                <w:sz w:val="21"/>
                <w:szCs w:val="21"/>
              </w:rPr>
            </w:pPr>
            <w:r>
              <w:rPr>
                <w:rFonts w:hint="eastAsia" w:ascii="宋体" w:hAnsi="宋体" w:eastAsia="宋体" w:cs="宋体"/>
                <w:color w:val="auto"/>
                <w:sz w:val="21"/>
                <w:szCs w:val="21"/>
                <w:lang w:eastAsia="zh-CN"/>
              </w:rPr>
              <w:t>不扣分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844" w:type="dxa"/>
            <w:vMerge w:val="continue"/>
            <w:vAlign w:val="center"/>
          </w:tcPr>
          <w:p>
            <w:pPr>
              <w:pStyle w:val="2"/>
              <w:adjustRightInd w:val="0"/>
              <w:snapToGrid w:val="0"/>
              <w:jc w:val="center"/>
              <w:rPr>
                <w:rFonts w:ascii="宋体" w:hAnsi="宋体" w:cs="宋体"/>
                <w:color w:val="auto"/>
                <w:sz w:val="21"/>
                <w:szCs w:val="21"/>
              </w:rPr>
            </w:pPr>
          </w:p>
        </w:tc>
        <w:tc>
          <w:tcPr>
            <w:tcW w:w="1664" w:type="dxa"/>
            <w:vMerge w:val="continue"/>
            <w:vAlign w:val="center"/>
          </w:tcPr>
          <w:p>
            <w:pPr>
              <w:pStyle w:val="2"/>
              <w:adjustRightInd w:val="0"/>
              <w:snapToGrid w:val="0"/>
              <w:jc w:val="center"/>
              <w:rPr>
                <w:rFonts w:ascii="宋体" w:hAnsi="宋体" w:cs="宋体"/>
                <w:color w:val="auto"/>
                <w:sz w:val="21"/>
                <w:szCs w:val="21"/>
              </w:rPr>
            </w:pPr>
          </w:p>
        </w:tc>
        <w:tc>
          <w:tcPr>
            <w:tcW w:w="5771" w:type="dxa"/>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生产、储存（含管道输送）氯气、光气等吸入性剧毒化学品的（实验室化学试剂除外），每一种扣</w:t>
            </w:r>
            <w:r>
              <w:rPr>
                <w:rFonts w:ascii="宋体" w:hAnsi="宋体" w:cs="宋体"/>
                <w:color w:val="auto"/>
                <w:sz w:val="21"/>
                <w:szCs w:val="21"/>
              </w:rPr>
              <w:t>2</w:t>
            </w:r>
            <w:r>
              <w:rPr>
                <w:rFonts w:hint="eastAsia" w:ascii="宋体" w:hAnsi="宋体" w:cs="宋体"/>
                <w:color w:val="auto"/>
                <w:sz w:val="21"/>
                <w:szCs w:val="21"/>
              </w:rPr>
              <w:t>分；</w:t>
            </w:r>
          </w:p>
        </w:tc>
        <w:tc>
          <w:tcPr>
            <w:tcW w:w="1007" w:type="dxa"/>
            <w:gridSpan w:val="2"/>
            <w:vAlign w:val="center"/>
          </w:tcPr>
          <w:p>
            <w:pPr>
              <w:adjustRightInd w:val="0"/>
              <w:snapToGrid w:val="0"/>
              <w:jc w:val="center"/>
              <w:rPr>
                <w:rFonts w:hint="eastAsia" w:ascii="宋体" w:hAnsi="宋体" w:eastAsia="宋体" w:cs="宋体"/>
                <w:color w:val="auto"/>
                <w:sz w:val="21"/>
                <w:szCs w:val="21"/>
              </w:rPr>
            </w:pPr>
            <w:r>
              <w:rPr>
                <w:rFonts w:hint="eastAsia" w:ascii="宋体" w:hAnsi="宋体" w:eastAsia="宋体" w:cs="宋体"/>
                <w:color w:val="auto"/>
                <w:sz w:val="21"/>
                <w:szCs w:val="21"/>
                <w:lang w:eastAsia="zh-CN"/>
              </w:rPr>
              <w:t>不扣分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844" w:type="dxa"/>
            <w:vMerge w:val="continue"/>
            <w:vAlign w:val="center"/>
          </w:tcPr>
          <w:p>
            <w:pPr>
              <w:pStyle w:val="2"/>
              <w:adjustRightInd w:val="0"/>
              <w:snapToGrid w:val="0"/>
              <w:jc w:val="center"/>
              <w:rPr>
                <w:rFonts w:ascii="宋体" w:hAnsi="宋体" w:cs="宋体"/>
                <w:color w:val="auto"/>
                <w:sz w:val="21"/>
                <w:szCs w:val="21"/>
              </w:rPr>
            </w:pPr>
          </w:p>
        </w:tc>
        <w:tc>
          <w:tcPr>
            <w:tcW w:w="1664" w:type="dxa"/>
            <w:vMerge w:val="continue"/>
            <w:vAlign w:val="center"/>
          </w:tcPr>
          <w:p>
            <w:pPr>
              <w:pStyle w:val="2"/>
              <w:adjustRightInd w:val="0"/>
              <w:snapToGrid w:val="0"/>
              <w:jc w:val="center"/>
              <w:rPr>
                <w:rFonts w:ascii="宋体" w:hAnsi="宋体" w:cs="宋体"/>
                <w:color w:val="auto"/>
                <w:sz w:val="21"/>
                <w:szCs w:val="21"/>
              </w:rPr>
            </w:pPr>
          </w:p>
        </w:tc>
        <w:tc>
          <w:tcPr>
            <w:tcW w:w="5771" w:type="dxa"/>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生产、储存其他重点监管危险化学品的（实验室化学试剂除外），每一种扣</w:t>
            </w:r>
            <w:r>
              <w:rPr>
                <w:rFonts w:ascii="宋体" w:hAnsi="宋体" w:cs="宋体"/>
                <w:color w:val="auto"/>
                <w:sz w:val="21"/>
                <w:szCs w:val="21"/>
              </w:rPr>
              <w:t>0.1</w:t>
            </w:r>
            <w:r>
              <w:rPr>
                <w:rFonts w:hint="eastAsia" w:ascii="宋体" w:hAnsi="宋体" w:cs="宋体"/>
                <w:color w:val="auto"/>
                <w:sz w:val="21"/>
                <w:szCs w:val="21"/>
              </w:rPr>
              <w:t>分。</w:t>
            </w:r>
          </w:p>
        </w:tc>
        <w:tc>
          <w:tcPr>
            <w:tcW w:w="1007" w:type="dxa"/>
            <w:gridSpan w:val="2"/>
            <w:vAlign w:val="center"/>
          </w:tcPr>
          <w:p>
            <w:pPr>
              <w:pStyle w:val="2"/>
              <w:adjustRightInd w:val="0"/>
              <w:snapToGrid w:val="0"/>
              <w:jc w:val="center"/>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扣</w:t>
            </w:r>
            <w:r>
              <w:rPr>
                <w:rFonts w:hint="eastAsia" w:ascii="宋体" w:hAnsi="宋体" w:eastAsia="宋体" w:cs="宋体"/>
                <w:color w:val="auto"/>
                <w:sz w:val="21"/>
                <w:szCs w:val="21"/>
              </w:rPr>
              <w:t>0.3</w:t>
            </w:r>
            <w:r>
              <w:rPr>
                <w:rFonts w:hint="eastAsia" w:ascii="宋体" w:hAnsi="宋体" w:eastAsia="宋体" w:cs="宋体"/>
                <w:color w:val="auto"/>
                <w:sz w:val="21"/>
                <w:szCs w:val="21"/>
                <w:lang w:eastAsia="zh-CN"/>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jc w:val="center"/>
        </w:trPr>
        <w:tc>
          <w:tcPr>
            <w:tcW w:w="844" w:type="dxa"/>
            <w:vMerge w:val="continue"/>
            <w:vAlign w:val="center"/>
          </w:tcPr>
          <w:p>
            <w:pPr>
              <w:pStyle w:val="2"/>
              <w:adjustRightInd w:val="0"/>
              <w:snapToGrid w:val="0"/>
              <w:jc w:val="center"/>
              <w:rPr>
                <w:rFonts w:ascii="宋体" w:hAnsi="宋体" w:cs="宋体"/>
                <w:color w:val="auto"/>
                <w:sz w:val="21"/>
                <w:szCs w:val="21"/>
              </w:rPr>
            </w:pPr>
          </w:p>
        </w:tc>
        <w:tc>
          <w:tcPr>
            <w:tcW w:w="1664" w:type="dxa"/>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危险化工工艺种类</w:t>
            </w:r>
          </w:p>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w:t>
            </w:r>
            <w:r>
              <w:rPr>
                <w:rFonts w:ascii="宋体" w:hAnsi="宋体" w:cs="宋体"/>
                <w:color w:val="auto"/>
                <w:sz w:val="21"/>
                <w:szCs w:val="21"/>
              </w:rPr>
              <w:t>10</w:t>
            </w:r>
            <w:r>
              <w:rPr>
                <w:rFonts w:hint="eastAsia" w:ascii="宋体" w:hAnsi="宋体" w:cs="宋体"/>
                <w:color w:val="auto"/>
                <w:sz w:val="21"/>
                <w:szCs w:val="21"/>
              </w:rPr>
              <w:t>分）</w:t>
            </w:r>
          </w:p>
        </w:tc>
        <w:tc>
          <w:tcPr>
            <w:tcW w:w="5771" w:type="dxa"/>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涉及</w:t>
            </w:r>
            <w:r>
              <w:rPr>
                <w:rFonts w:ascii="宋体" w:hAnsi="宋体" w:cs="宋体"/>
                <w:color w:val="auto"/>
                <w:sz w:val="21"/>
                <w:szCs w:val="21"/>
              </w:rPr>
              <w:t>18</w:t>
            </w:r>
            <w:r>
              <w:rPr>
                <w:rFonts w:hint="eastAsia" w:ascii="宋体" w:hAnsi="宋体" w:cs="宋体"/>
                <w:color w:val="auto"/>
                <w:sz w:val="21"/>
                <w:szCs w:val="21"/>
              </w:rPr>
              <w:t>种危险化工工艺的，每一种扣</w:t>
            </w:r>
            <w:r>
              <w:rPr>
                <w:rFonts w:ascii="宋体" w:hAnsi="宋体" w:cs="宋体"/>
                <w:color w:val="auto"/>
                <w:sz w:val="21"/>
                <w:szCs w:val="21"/>
              </w:rPr>
              <w:t>2</w:t>
            </w:r>
            <w:r>
              <w:rPr>
                <w:rFonts w:hint="eastAsia" w:ascii="宋体" w:hAnsi="宋体" w:cs="宋体"/>
                <w:color w:val="auto"/>
                <w:sz w:val="21"/>
                <w:szCs w:val="21"/>
              </w:rPr>
              <w:t>分。</w:t>
            </w:r>
          </w:p>
        </w:tc>
        <w:tc>
          <w:tcPr>
            <w:tcW w:w="1007" w:type="dxa"/>
            <w:gridSpan w:val="2"/>
            <w:vAlign w:val="center"/>
          </w:tcPr>
          <w:p>
            <w:pPr>
              <w:pStyle w:val="2"/>
              <w:adjustRightInd w:val="0"/>
              <w:snapToGrid w:val="0"/>
              <w:jc w:val="center"/>
              <w:rPr>
                <w:rFonts w:hint="eastAsia" w:ascii="宋体" w:hAnsi="宋体" w:eastAsia="宋体" w:cs="宋体"/>
                <w:color w:val="auto"/>
                <w:sz w:val="21"/>
                <w:szCs w:val="21"/>
              </w:rPr>
            </w:pPr>
            <w:r>
              <w:rPr>
                <w:rFonts w:hint="eastAsia" w:ascii="宋体" w:hAnsi="宋体" w:eastAsia="宋体" w:cs="宋体"/>
                <w:color w:val="auto"/>
                <w:sz w:val="21"/>
                <w:szCs w:val="21"/>
                <w:lang w:eastAsia="zh-CN"/>
              </w:rPr>
              <w:t>不扣分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jc w:val="center"/>
        </w:trPr>
        <w:tc>
          <w:tcPr>
            <w:tcW w:w="844" w:type="dxa"/>
            <w:vMerge w:val="continue"/>
            <w:vAlign w:val="center"/>
          </w:tcPr>
          <w:p>
            <w:pPr>
              <w:pStyle w:val="2"/>
              <w:adjustRightInd w:val="0"/>
              <w:snapToGrid w:val="0"/>
              <w:jc w:val="center"/>
              <w:rPr>
                <w:rFonts w:ascii="宋体" w:hAnsi="宋体" w:cs="宋体"/>
                <w:color w:val="auto"/>
                <w:sz w:val="21"/>
                <w:szCs w:val="21"/>
              </w:rPr>
            </w:pPr>
          </w:p>
        </w:tc>
        <w:tc>
          <w:tcPr>
            <w:tcW w:w="1664" w:type="dxa"/>
            <w:vMerge w:val="restart"/>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火灾爆炸危险性</w:t>
            </w:r>
          </w:p>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w:t>
            </w:r>
            <w:r>
              <w:rPr>
                <w:rFonts w:ascii="宋体" w:hAnsi="宋体" w:cs="宋体"/>
                <w:color w:val="auto"/>
                <w:sz w:val="21"/>
                <w:szCs w:val="21"/>
              </w:rPr>
              <w:t>5</w:t>
            </w:r>
            <w:r>
              <w:rPr>
                <w:rFonts w:hint="eastAsia" w:ascii="宋体" w:hAnsi="宋体" w:cs="宋体"/>
                <w:color w:val="auto"/>
                <w:sz w:val="21"/>
                <w:szCs w:val="21"/>
              </w:rPr>
              <w:t>分）</w:t>
            </w:r>
          </w:p>
        </w:tc>
        <w:tc>
          <w:tcPr>
            <w:tcW w:w="5771" w:type="dxa"/>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涉及甲类</w:t>
            </w:r>
            <w:r>
              <w:rPr>
                <w:rFonts w:ascii="宋体" w:hAnsi="宋体" w:cs="宋体"/>
                <w:color w:val="auto"/>
                <w:sz w:val="21"/>
                <w:szCs w:val="21"/>
              </w:rPr>
              <w:t>/</w:t>
            </w:r>
            <w:r>
              <w:rPr>
                <w:rFonts w:hint="eastAsia" w:ascii="宋体" w:hAnsi="宋体" w:cs="宋体"/>
                <w:color w:val="auto"/>
                <w:sz w:val="21"/>
                <w:szCs w:val="21"/>
              </w:rPr>
              <w:t>乙类火灾危险性类别厂房、库房或者罐区的，每涉及一处扣</w:t>
            </w:r>
            <w:r>
              <w:rPr>
                <w:rFonts w:ascii="宋体" w:hAnsi="宋体" w:cs="宋体"/>
                <w:color w:val="auto"/>
                <w:sz w:val="21"/>
                <w:szCs w:val="21"/>
              </w:rPr>
              <w:t>1/0.5</w:t>
            </w:r>
            <w:r>
              <w:rPr>
                <w:rFonts w:hint="eastAsia" w:ascii="宋体" w:hAnsi="宋体" w:cs="宋体"/>
                <w:color w:val="auto"/>
                <w:sz w:val="21"/>
                <w:szCs w:val="21"/>
              </w:rPr>
              <w:t>分；</w:t>
            </w:r>
          </w:p>
        </w:tc>
        <w:tc>
          <w:tcPr>
            <w:tcW w:w="1007" w:type="dxa"/>
            <w:gridSpan w:val="2"/>
            <w:vAlign w:val="center"/>
          </w:tcPr>
          <w:p>
            <w:pPr>
              <w:pStyle w:val="2"/>
              <w:adjustRightInd w:val="0"/>
              <w:snapToGrid w:val="0"/>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eastAsia="zh-CN"/>
              </w:rPr>
              <w:t>扣</w:t>
            </w:r>
            <w:r>
              <w:rPr>
                <w:rFonts w:hint="eastAsia" w:ascii="宋体" w:hAnsi="宋体" w:eastAsia="宋体" w:cs="宋体"/>
                <w:color w:val="auto"/>
                <w:sz w:val="21"/>
                <w:szCs w:val="21"/>
                <w:lang w:val="en-US" w:eastAsia="zh-CN"/>
              </w:rPr>
              <w:t>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844" w:type="dxa"/>
            <w:vMerge w:val="continue"/>
            <w:vAlign w:val="center"/>
          </w:tcPr>
          <w:p>
            <w:pPr>
              <w:pStyle w:val="2"/>
              <w:adjustRightInd w:val="0"/>
              <w:snapToGrid w:val="0"/>
              <w:jc w:val="center"/>
              <w:rPr>
                <w:rFonts w:ascii="宋体" w:hAnsi="宋体" w:cs="宋体"/>
                <w:color w:val="auto"/>
                <w:sz w:val="21"/>
                <w:szCs w:val="21"/>
              </w:rPr>
            </w:pPr>
          </w:p>
        </w:tc>
        <w:tc>
          <w:tcPr>
            <w:tcW w:w="1664" w:type="dxa"/>
            <w:vMerge w:val="continue"/>
            <w:vAlign w:val="center"/>
          </w:tcPr>
          <w:p>
            <w:pPr>
              <w:pStyle w:val="2"/>
              <w:adjustRightInd w:val="0"/>
              <w:snapToGrid w:val="0"/>
              <w:jc w:val="center"/>
              <w:rPr>
                <w:rFonts w:ascii="宋体" w:hAnsi="宋体" w:cs="宋体"/>
                <w:color w:val="auto"/>
                <w:sz w:val="21"/>
                <w:szCs w:val="21"/>
              </w:rPr>
            </w:pPr>
          </w:p>
        </w:tc>
        <w:tc>
          <w:tcPr>
            <w:tcW w:w="5771" w:type="dxa"/>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涉及甲类、乙类火灾危险性罐区、气柜与加热炉等与产生明火的设施、装置比邻布置的，扣</w:t>
            </w:r>
            <w:r>
              <w:rPr>
                <w:rFonts w:ascii="宋体" w:hAnsi="宋体" w:cs="宋体"/>
                <w:color w:val="auto"/>
                <w:sz w:val="21"/>
                <w:szCs w:val="21"/>
              </w:rPr>
              <w:t>5</w:t>
            </w:r>
            <w:r>
              <w:rPr>
                <w:rFonts w:hint="eastAsia" w:ascii="宋体" w:hAnsi="宋体" w:cs="宋体"/>
                <w:color w:val="auto"/>
                <w:sz w:val="21"/>
                <w:szCs w:val="21"/>
              </w:rPr>
              <w:t>分。</w:t>
            </w:r>
          </w:p>
        </w:tc>
        <w:tc>
          <w:tcPr>
            <w:tcW w:w="1007" w:type="dxa"/>
            <w:gridSpan w:val="2"/>
            <w:vAlign w:val="center"/>
          </w:tcPr>
          <w:p>
            <w:pPr>
              <w:pStyle w:val="2"/>
              <w:adjustRightInd w:val="0"/>
              <w:snapToGrid w:val="0"/>
              <w:jc w:val="center"/>
              <w:rPr>
                <w:rFonts w:hint="eastAsia" w:ascii="宋体" w:hAnsi="宋体" w:eastAsia="宋体" w:cs="宋体"/>
                <w:color w:val="auto"/>
                <w:sz w:val="21"/>
                <w:szCs w:val="21"/>
              </w:rPr>
            </w:pPr>
            <w:r>
              <w:rPr>
                <w:rFonts w:hint="eastAsia" w:ascii="宋体" w:hAnsi="宋体" w:eastAsia="宋体" w:cs="宋体"/>
                <w:color w:val="auto"/>
                <w:sz w:val="21"/>
                <w:szCs w:val="21"/>
                <w:lang w:eastAsia="zh-CN"/>
              </w:rPr>
              <w:t>不扣分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844" w:type="dxa"/>
            <w:vMerge w:val="restart"/>
            <w:vAlign w:val="center"/>
          </w:tcPr>
          <w:p>
            <w:pPr>
              <w:pStyle w:val="2"/>
              <w:adjustRightInd w:val="0"/>
              <w:snapToGrid w:val="0"/>
              <w:jc w:val="center"/>
              <w:rPr>
                <w:rFonts w:ascii="宋体" w:hAnsi="宋体" w:cs="宋体"/>
                <w:color w:val="auto"/>
                <w:sz w:val="21"/>
                <w:szCs w:val="21"/>
              </w:rPr>
            </w:pPr>
            <w:r>
              <w:rPr>
                <w:rFonts w:ascii="宋体" w:hAnsi="宋体" w:cs="宋体"/>
                <w:color w:val="auto"/>
                <w:sz w:val="21"/>
                <w:szCs w:val="21"/>
              </w:rPr>
              <w:t>2.</w:t>
            </w:r>
            <w:r>
              <w:rPr>
                <w:rFonts w:hint="eastAsia" w:ascii="宋体" w:hAnsi="宋体" w:cs="宋体"/>
                <w:color w:val="auto"/>
                <w:sz w:val="21"/>
                <w:szCs w:val="21"/>
              </w:rPr>
              <w:t>周边环境</w:t>
            </w:r>
          </w:p>
        </w:tc>
        <w:tc>
          <w:tcPr>
            <w:tcW w:w="1664" w:type="dxa"/>
            <w:vMerge w:val="restart"/>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周边环境</w:t>
            </w:r>
          </w:p>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w:t>
            </w:r>
            <w:r>
              <w:rPr>
                <w:rFonts w:ascii="宋体" w:hAnsi="宋体" w:cs="宋体"/>
                <w:color w:val="auto"/>
                <w:sz w:val="21"/>
                <w:szCs w:val="21"/>
              </w:rPr>
              <w:t>10</w:t>
            </w:r>
            <w:r>
              <w:rPr>
                <w:rFonts w:hint="eastAsia" w:ascii="宋体" w:hAnsi="宋体" w:cs="宋体"/>
                <w:color w:val="auto"/>
                <w:sz w:val="21"/>
                <w:szCs w:val="21"/>
              </w:rPr>
              <w:t>分）</w:t>
            </w:r>
          </w:p>
        </w:tc>
        <w:tc>
          <w:tcPr>
            <w:tcW w:w="5771" w:type="dxa"/>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企业在化工园区（化工集中区）外的，扣</w:t>
            </w:r>
            <w:r>
              <w:rPr>
                <w:rFonts w:ascii="宋体" w:hAnsi="宋体" w:cs="宋体"/>
                <w:color w:val="auto"/>
                <w:sz w:val="21"/>
                <w:szCs w:val="21"/>
              </w:rPr>
              <w:t>3</w:t>
            </w:r>
            <w:r>
              <w:rPr>
                <w:rFonts w:hint="eastAsia" w:ascii="宋体" w:hAnsi="宋体" w:cs="宋体"/>
                <w:color w:val="auto"/>
                <w:sz w:val="21"/>
                <w:szCs w:val="21"/>
              </w:rPr>
              <w:t>分；</w:t>
            </w:r>
          </w:p>
        </w:tc>
        <w:tc>
          <w:tcPr>
            <w:tcW w:w="1007" w:type="dxa"/>
            <w:gridSpan w:val="2"/>
            <w:vAlign w:val="center"/>
          </w:tcPr>
          <w:p>
            <w:pPr>
              <w:pStyle w:val="2"/>
              <w:adjustRightInd w:val="0"/>
              <w:snapToGrid w:val="0"/>
              <w:jc w:val="center"/>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扣3分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844" w:type="dxa"/>
            <w:vMerge w:val="continue"/>
            <w:vAlign w:val="center"/>
          </w:tcPr>
          <w:p>
            <w:pPr>
              <w:pStyle w:val="2"/>
              <w:adjustRightInd w:val="0"/>
              <w:snapToGrid w:val="0"/>
              <w:jc w:val="center"/>
              <w:rPr>
                <w:rFonts w:ascii="宋体" w:hAnsi="宋体" w:cs="宋体"/>
                <w:color w:val="auto"/>
                <w:sz w:val="21"/>
                <w:szCs w:val="21"/>
              </w:rPr>
            </w:pPr>
          </w:p>
        </w:tc>
        <w:tc>
          <w:tcPr>
            <w:tcW w:w="1664" w:type="dxa"/>
            <w:vMerge w:val="continue"/>
            <w:vAlign w:val="center"/>
          </w:tcPr>
          <w:p>
            <w:pPr>
              <w:pStyle w:val="2"/>
              <w:adjustRightInd w:val="0"/>
              <w:snapToGrid w:val="0"/>
              <w:jc w:val="center"/>
              <w:rPr>
                <w:rFonts w:ascii="宋体" w:hAnsi="宋体" w:cs="宋体"/>
                <w:color w:val="auto"/>
                <w:sz w:val="21"/>
                <w:szCs w:val="21"/>
              </w:rPr>
            </w:pPr>
          </w:p>
        </w:tc>
        <w:tc>
          <w:tcPr>
            <w:tcW w:w="5771" w:type="dxa"/>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企业外部安全防护距离不符合《危险化学品生产、储存装置个人可接受风险标准和社会可接受风险标准（试行）》的，扣</w:t>
            </w:r>
            <w:r>
              <w:rPr>
                <w:rFonts w:ascii="宋体" w:hAnsi="宋体" w:cs="宋体"/>
                <w:color w:val="auto"/>
                <w:sz w:val="21"/>
                <w:szCs w:val="21"/>
              </w:rPr>
              <w:t>10</w:t>
            </w:r>
            <w:r>
              <w:rPr>
                <w:rFonts w:hint="eastAsia" w:ascii="宋体" w:hAnsi="宋体" w:cs="宋体"/>
                <w:color w:val="auto"/>
                <w:sz w:val="21"/>
                <w:szCs w:val="21"/>
              </w:rPr>
              <w:t>分。</w:t>
            </w:r>
          </w:p>
        </w:tc>
        <w:tc>
          <w:tcPr>
            <w:tcW w:w="1007" w:type="dxa"/>
            <w:gridSpan w:val="2"/>
            <w:vAlign w:val="center"/>
          </w:tcPr>
          <w:p>
            <w:pPr>
              <w:adjustRightInd w:val="0"/>
              <w:snapToGrid w:val="0"/>
              <w:jc w:val="center"/>
              <w:rPr>
                <w:rFonts w:hint="eastAsia" w:ascii="宋体" w:hAnsi="宋体" w:eastAsia="宋体" w:cs="宋体"/>
                <w:color w:val="auto"/>
                <w:sz w:val="21"/>
                <w:szCs w:val="21"/>
              </w:rPr>
            </w:pPr>
            <w:r>
              <w:rPr>
                <w:rFonts w:hint="eastAsia" w:ascii="宋体" w:hAnsi="宋体" w:eastAsia="宋体" w:cs="宋体"/>
                <w:color w:val="auto"/>
                <w:sz w:val="21"/>
                <w:szCs w:val="21"/>
                <w:lang w:eastAsia="zh-CN"/>
              </w:rPr>
              <w:t>不扣分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jc w:val="center"/>
        </w:trPr>
        <w:tc>
          <w:tcPr>
            <w:tcW w:w="844" w:type="dxa"/>
            <w:vMerge w:val="restart"/>
            <w:vAlign w:val="center"/>
          </w:tcPr>
          <w:p>
            <w:pPr>
              <w:pStyle w:val="2"/>
              <w:adjustRightInd w:val="0"/>
              <w:snapToGrid w:val="0"/>
              <w:jc w:val="center"/>
              <w:rPr>
                <w:rFonts w:ascii="宋体" w:hAnsi="宋体" w:cs="宋体"/>
                <w:color w:val="auto"/>
                <w:sz w:val="21"/>
                <w:szCs w:val="21"/>
              </w:rPr>
            </w:pPr>
            <w:r>
              <w:rPr>
                <w:rFonts w:ascii="宋体" w:hAnsi="宋体" w:cs="宋体"/>
                <w:color w:val="auto"/>
                <w:sz w:val="21"/>
                <w:szCs w:val="21"/>
              </w:rPr>
              <w:t>3.</w:t>
            </w:r>
            <w:r>
              <w:rPr>
                <w:rFonts w:hint="eastAsia" w:ascii="宋体" w:hAnsi="宋体" w:cs="宋体"/>
                <w:color w:val="auto"/>
                <w:sz w:val="21"/>
                <w:szCs w:val="21"/>
              </w:rPr>
              <w:t>设计与评估</w:t>
            </w:r>
          </w:p>
        </w:tc>
        <w:tc>
          <w:tcPr>
            <w:tcW w:w="1664" w:type="dxa"/>
            <w:vMerge w:val="restart"/>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设计与评估（</w:t>
            </w:r>
            <w:r>
              <w:rPr>
                <w:rFonts w:ascii="宋体" w:hAnsi="宋体" w:cs="宋体"/>
                <w:color w:val="auto"/>
                <w:sz w:val="21"/>
                <w:szCs w:val="21"/>
              </w:rPr>
              <w:t>10</w:t>
            </w:r>
            <w:r>
              <w:rPr>
                <w:rFonts w:hint="eastAsia" w:ascii="宋体" w:hAnsi="宋体" w:cs="宋体"/>
                <w:color w:val="auto"/>
                <w:sz w:val="21"/>
                <w:szCs w:val="21"/>
              </w:rPr>
              <w:t>分）</w:t>
            </w:r>
          </w:p>
        </w:tc>
        <w:tc>
          <w:tcPr>
            <w:tcW w:w="5771" w:type="dxa"/>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国内首次使用的化工工艺未经过省级人民政府有关部门组织安全可靠性论证的，扣</w:t>
            </w:r>
            <w:r>
              <w:rPr>
                <w:rFonts w:ascii="宋体" w:hAnsi="宋体" w:cs="宋体"/>
                <w:color w:val="auto"/>
                <w:sz w:val="21"/>
                <w:szCs w:val="21"/>
              </w:rPr>
              <w:t>5</w:t>
            </w:r>
            <w:r>
              <w:rPr>
                <w:rFonts w:hint="eastAsia" w:ascii="宋体" w:hAnsi="宋体" w:cs="宋体"/>
                <w:color w:val="auto"/>
                <w:sz w:val="21"/>
                <w:szCs w:val="21"/>
              </w:rPr>
              <w:t>分；</w:t>
            </w:r>
          </w:p>
        </w:tc>
        <w:tc>
          <w:tcPr>
            <w:tcW w:w="1007" w:type="dxa"/>
            <w:gridSpan w:val="2"/>
            <w:vAlign w:val="center"/>
          </w:tcPr>
          <w:p>
            <w:pPr>
              <w:adjustRightInd w:val="0"/>
              <w:snapToGrid w:val="0"/>
              <w:jc w:val="center"/>
              <w:rPr>
                <w:rFonts w:hint="eastAsia" w:ascii="宋体" w:hAnsi="宋体" w:eastAsia="宋体" w:cs="宋体"/>
                <w:color w:val="auto"/>
                <w:sz w:val="21"/>
                <w:szCs w:val="21"/>
              </w:rPr>
            </w:pPr>
            <w:r>
              <w:rPr>
                <w:rFonts w:hint="eastAsia" w:ascii="宋体" w:hAnsi="宋体" w:eastAsia="宋体" w:cs="宋体"/>
                <w:color w:val="auto"/>
                <w:sz w:val="21"/>
                <w:szCs w:val="21"/>
                <w:lang w:eastAsia="zh-CN"/>
              </w:rPr>
              <w:t>不扣分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jc w:val="center"/>
        </w:trPr>
        <w:tc>
          <w:tcPr>
            <w:tcW w:w="844" w:type="dxa"/>
            <w:vMerge w:val="continue"/>
            <w:vAlign w:val="center"/>
          </w:tcPr>
          <w:p>
            <w:pPr>
              <w:pStyle w:val="2"/>
              <w:adjustRightInd w:val="0"/>
              <w:snapToGrid w:val="0"/>
              <w:jc w:val="center"/>
              <w:rPr>
                <w:rFonts w:ascii="宋体" w:hAnsi="宋体" w:cs="宋体"/>
                <w:color w:val="auto"/>
                <w:sz w:val="21"/>
                <w:szCs w:val="21"/>
              </w:rPr>
            </w:pPr>
          </w:p>
        </w:tc>
        <w:tc>
          <w:tcPr>
            <w:tcW w:w="1664" w:type="dxa"/>
            <w:vMerge w:val="continue"/>
            <w:vAlign w:val="center"/>
          </w:tcPr>
          <w:p>
            <w:pPr>
              <w:pStyle w:val="2"/>
              <w:adjustRightInd w:val="0"/>
              <w:snapToGrid w:val="0"/>
              <w:jc w:val="center"/>
              <w:rPr>
                <w:rFonts w:ascii="宋体" w:hAnsi="宋体" w:cs="宋体"/>
                <w:color w:val="auto"/>
                <w:sz w:val="21"/>
                <w:szCs w:val="21"/>
              </w:rPr>
            </w:pPr>
          </w:p>
        </w:tc>
        <w:tc>
          <w:tcPr>
            <w:tcW w:w="5771" w:type="dxa"/>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精细化工企业未按规范性文件要求开展反应安全风险评估的，扣</w:t>
            </w:r>
            <w:r>
              <w:rPr>
                <w:rFonts w:ascii="宋体" w:hAnsi="宋体" w:cs="宋体"/>
                <w:color w:val="auto"/>
                <w:sz w:val="21"/>
                <w:szCs w:val="21"/>
              </w:rPr>
              <w:t>10</w:t>
            </w:r>
            <w:r>
              <w:rPr>
                <w:rFonts w:hint="eastAsia" w:ascii="宋体" w:hAnsi="宋体" w:cs="宋体"/>
                <w:color w:val="auto"/>
                <w:sz w:val="21"/>
                <w:szCs w:val="21"/>
              </w:rPr>
              <w:t>分；</w:t>
            </w:r>
          </w:p>
        </w:tc>
        <w:tc>
          <w:tcPr>
            <w:tcW w:w="1007" w:type="dxa"/>
            <w:gridSpan w:val="2"/>
            <w:vAlign w:val="center"/>
          </w:tcPr>
          <w:p>
            <w:pPr>
              <w:adjustRightInd w:val="0"/>
              <w:snapToGrid w:val="0"/>
              <w:jc w:val="center"/>
              <w:rPr>
                <w:rFonts w:hint="eastAsia" w:ascii="宋体" w:hAnsi="宋体" w:eastAsia="宋体" w:cs="宋体"/>
                <w:color w:val="auto"/>
                <w:sz w:val="21"/>
                <w:szCs w:val="21"/>
              </w:rPr>
            </w:pPr>
            <w:r>
              <w:rPr>
                <w:rFonts w:hint="eastAsia" w:ascii="宋体" w:hAnsi="宋体" w:eastAsia="宋体" w:cs="宋体"/>
                <w:color w:val="auto"/>
                <w:sz w:val="21"/>
                <w:szCs w:val="21"/>
                <w:lang w:eastAsia="zh-CN"/>
              </w:rPr>
              <w:t>不扣分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jc w:val="center"/>
        </w:trPr>
        <w:tc>
          <w:tcPr>
            <w:tcW w:w="844" w:type="dxa"/>
            <w:vMerge w:val="continue"/>
            <w:vAlign w:val="center"/>
          </w:tcPr>
          <w:p>
            <w:pPr>
              <w:pStyle w:val="2"/>
              <w:adjustRightInd w:val="0"/>
              <w:snapToGrid w:val="0"/>
              <w:jc w:val="center"/>
              <w:rPr>
                <w:rFonts w:ascii="宋体" w:hAnsi="宋体" w:cs="宋体"/>
                <w:color w:val="auto"/>
                <w:sz w:val="21"/>
                <w:szCs w:val="21"/>
              </w:rPr>
            </w:pPr>
          </w:p>
        </w:tc>
        <w:tc>
          <w:tcPr>
            <w:tcW w:w="1664" w:type="dxa"/>
            <w:vMerge w:val="continue"/>
            <w:vAlign w:val="center"/>
          </w:tcPr>
          <w:p>
            <w:pPr>
              <w:pStyle w:val="2"/>
              <w:adjustRightInd w:val="0"/>
              <w:snapToGrid w:val="0"/>
              <w:jc w:val="center"/>
              <w:rPr>
                <w:rFonts w:ascii="宋体" w:hAnsi="宋体" w:cs="宋体"/>
                <w:color w:val="auto"/>
                <w:sz w:val="21"/>
                <w:szCs w:val="21"/>
              </w:rPr>
            </w:pPr>
          </w:p>
        </w:tc>
        <w:tc>
          <w:tcPr>
            <w:tcW w:w="5771" w:type="dxa"/>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企业危险化学品生产储存装置均由甲级资质设计单位进行全面设计的，加</w:t>
            </w:r>
            <w:r>
              <w:rPr>
                <w:rFonts w:ascii="宋体" w:hAnsi="宋体" w:cs="宋体"/>
                <w:color w:val="auto"/>
                <w:sz w:val="21"/>
                <w:szCs w:val="21"/>
              </w:rPr>
              <w:t>2</w:t>
            </w:r>
            <w:r>
              <w:rPr>
                <w:rFonts w:hint="eastAsia" w:ascii="宋体" w:hAnsi="宋体" w:cs="宋体"/>
                <w:color w:val="auto"/>
                <w:sz w:val="21"/>
                <w:szCs w:val="21"/>
              </w:rPr>
              <w:t>分。</w:t>
            </w:r>
          </w:p>
        </w:tc>
        <w:tc>
          <w:tcPr>
            <w:tcW w:w="1007" w:type="dxa"/>
            <w:gridSpan w:val="2"/>
            <w:vAlign w:val="center"/>
          </w:tcPr>
          <w:p>
            <w:pPr>
              <w:adjustRightInd w:val="0"/>
              <w:snapToGrid w:val="0"/>
              <w:jc w:val="center"/>
              <w:rPr>
                <w:rFonts w:hint="eastAsia" w:ascii="宋体" w:hAnsi="宋体" w:eastAsia="宋体" w:cs="宋体"/>
                <w:color w:val="auto"/>
                <w:sz w:val="21"/>
                <w:szCs w:val="21"/>
              </w:rPr>
            </w:pPr>
            <w:r>
              <w:rPr>
                <w:rFonts w:hint="eastAsia" w:ascii="宋体" w:hAnsi="宋体" w:eastAsia="宋体" w:cs="宋体"/>
                <w:color w:val="auto"/>
                <w:sz w:val="21"/>
                <w:szCs w:val="21"/>
                <w:lang w:eastAsia="zh-CN"/>
              </w:rPr>
              <w:t>不扣分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844" w:type="dxa"/>
            <w:vMerge w:val="restart"/>
            <w:vAlign w:val="center"/>
          </w:tcPr>
          <w:p>
            <w:pPr>
              <w:pStyle w:val="2"/>
              <w:adjustRightInd w:val="0"/>
              <w:snapToGrid w:val="0"/>
              <w:jc w:val="center"/>
              <w:rPr>
                <w:rFonts w:ascii="宋体" w:hAnsi="宋体" w:cs="宋体"/>
                <w:color w:val="auto"/>
                <w:sz w:val="21"/>
                <w:szCs w:val="21"/>
              </w:rPr>
            </w:pPr>
            <w:r>
              <w:rPr>
                <w:rFonts w:ascii="宋体" w:hAnsi="宋体" w:cs="宋体"/>
                <w:color w:val="auto"/>
                <w:sz w:val="21"/>
                <w:szCs w:val="21"/>
              </w:rPr>
              <w:t>4.</w:t>
            </w:r>
            <w:r>
              <w:rPr>
                <w:rFonts w:hint="eastAsia" w:ascii="宋体" w:hAnsi="宋体" w:cs="宋体"/>
                <w:color w:val="auto"/>
                <w:sz w:val="21"/>
                <w:szCs w:val="21"/>
              </w:rPr>
              <w:t>设备</w:t>
            </w:r>
          </w:p>
        </w:tc>
        <w:tc>
          <w:tcPr>
            <w:tcW w:w="1664" w:type="dxa"/>
            <w:vMerge w:val="restart"/>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设备</w:t>
            </w:r>
          </w:p>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w:t>
            </w:r>
            <w:r>
              <w:rPr>
                <w:rFonts w:ascii="宋体" w:hAnsi="宋体" w:cs="宋体"/>
                <w:color w:val="auto"/>
                <w:sz w:val="21"/>
                <w:szCs w:val="21"/>
              </w:rPr>
              <w:t>5</w:t>
            </w:r>
            <w:r>
              <w:rPr>
                <w:rFonts w:hint="eastAsia" w:ascii="宋体" w:hAnsi="宋体" w:cs="宋体"/>
                <w:color w:val="auto"/>
                <w:sz w:val="21"/>
                <w:szCs w:val="21"/>
              </w:rPr>
              <w:t>分）</w:t>
            </w:r>
          </w:p>
        </w:tc>
        <w:tc>
          <w:tcPr>
            <w:tcW w:w="5771" w:type="dxa"/>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使用淘汰落后安全技术工艺、设备目录列出的工艺及设备的，每一项扣</w:t>
            </w:r>
            <w:r>
              <w:rPr>
                <w:rFonts w:ascii="宋体" w:hAnsi="宋体" w:cs="宋体"/>
                <w:color w:val="auto"/>
                <w:sz w:val="21"/>
                <w:szCs w:val="21"/>
              </w:rPr>
              <w:t>2</w:t>
            </w:r>
            <w:r>
              <w:rPr>
                <w:rFonts w:hint="eastAsia" w:ascii="宋体" w:hAnsi="宋体" w:cs="宋体"/>
                <w:color w:val="auto"/>
                <w:sz w:val="21"/>
                <w:szCs w:val="21"/>
              </w:rPr>
              <w:t>分；</w:t>
            </w:r>
          </w:p>
        </w:tc>
        <w:tc>
          <w:tcPr>
            <w:tcW w:w="1007" w:type="dxa"/>
            <w:gridSpan w:val="2"/>
            <w:vAlign w:val="center"/>
          </w:tcPr>
          <w:p>
            <w:pPr>
              <w:adjustRightInd w:val="0"/>
              <w:snapToGrid w:val="0"/>
              <w:jc w:val="center"/>
              <w:rPr>
                <w:rFonts w:hint="eastAsia" w:ascii="宋体" w:hAnsi="宋体" w:eastAsia="宋体" w:cs="宋体"/>
                <w:color w:val="auto"/>
                <w:sz w:val="21"/>
                <w:szCs w:val="21"/>
              </w:rPr>
            </w:pPr>
            <w:r>
              <w:rPr>
                <w:rFonts w:hint="eastAsia" w:ascii="宋体" w:hAnsi="宋体" w:eastAsia="宋体" w:cs="宋体"/>
                <w:color w:val="auto"/>
                <w:sz w:val="21"/>
                <w:szCs w:val="21"/>
                <w:lang w:eastAsia="zh-CN"/>
              </w:rPr>
              <w:t>不扣分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844" w:type="dxa"/>
            <w:vMerge w:val="continue"/>
            <w:vAlign w:val="center"/>
          </w:tcPr>
          <w:p>
            <w:pPr>
              <w:pStyle w:val="2"/>
              <w:adjustRightInd w:val="0"/>
              <w:snapToGrid w:val="0"/>
              <w:jc w:val="center"/>
              <w:rPr>
                <w:rFonts w:ascii="宋体" w:hAnsi="宋体" w:cs="宋体"/>
                <w:color w:val="auto"/>
                <w:sz w:val="21"/>
                <w:szCs w:val="21"/>
              </w:rPr>
            </w:pPr>
          </w:p>
        </w:tc>
        <w:tc>
          <w:tcPr>
            <w:tcW w:w="1664" w:type="dxa"/>
            <w:vMerge w:val="continue"/>
            <w:vAlign w:val="center"/>
          </w:tcPr>
          <w:p>
            <w:pPr>
              <w:pStyle w:val="2"/>
              <w:adjustRightInd w:val="0"/>
              <w:snapToGrid w:val="0"/>
              <w:jc w:val="center"/>
              <w:rPr>
                <w:rFonts w:ascii="宋体" w:hAnsi="宋体" w:cs="宋体"/>
                <w:color w:val="auto"/>
                <w:sz w:val="21"/>
                <w:szCs w:val="21"/>
              </w:rPr>
            </w:pPr>
          </w:p>
        </w:tc>
        <w:tc>
          <w:tcPr>
            <w:tcW w:w="5771" w:type="dxa"/>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特种设备没有办理使用登记证书的，或者未按要求定期检验的，扣</w:t>
            </w:r>
            <w:r>
              <w:rPr>
                <w:rFonts w:ascii="宋体" w:hAnsi="宋体" w:cs="宋体"/>
                <w:color w:val="auto"/>
                <w:sz w:val="21"/>
                <w:szCs w:val="21"/>
              </w:rPr>
              <w:t>2</w:t>
            </w:r>
            <w:r>
              <w:rPr>
                <w:rFonts w:hint="eastAsia" w:ascii="宋体" w:hAnsi="宋体" w:cs="宋体"/>
                <w:color w:val="auto"/>
                <w:sz w:val="21"/>
                <w:szCs w:val="21"/>
              </w:rPr>
              <w:t>分；</w:t>
            </w:r>
          </w:p>
        </w:tc>
        <w:tc>
          <w:tcPr>
            <w:tcW w:w="1007" w:type="dxa"/>
            <w:gridSpan w:val="2"/>
            <w:vAlign w:val="center"/>
          </w:tcPr>
          <w:p>
            <w:pPr>
              <w:adjustRightInd w:val="0"/>
              <w:snapToGrid w:val="0"/>
              <w:jc w:val="center"/>
              <w:rPr>
                <w:rFonts w:hint="eastAsia" w:ascii="宋体" w:hAnsi="宋体" w:eastAsia="宋体" w:cs="宋体"/>
                <w:color w:val="auto"/>
                <w:sz w:val="21"/>
                <w:szCs w:val="21"/>
              </w:rPr>
            </w:pPr>
            <w:r>
              <w:rPr>
                <w:rFonts w:hint="eastAsia" w:ascii="宋体" w:hAnsi="宋体" w:eastAsia="宋体" w:cs="宋体"/>
                <w:color w:val="auto"/>
                <w:sz w:val="21"/>
                <w:szCs w:val="21"/>
                <w:lang w:eastAsia="zh-CN"/>
              </w:rPr>
              <w:t>不扣分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jc w:val="center"/>
        </w:trPr>
        <w:tc>
          <w:tcPr>
            <w:tcW w:w="844" w:type="dxa"/>
            <w:vMerge w:val="continue"/>
            <w:vAlign w:val="center"/>
          </w:tcPr>
          <w:p>
            <w:pPr>
              <w:pStyle w:val="2"/>
              <w:adjustRightInd w:val="0"/>
              <w:snapToGrid w:val="0"/>
              <w:jc w:val="center"/>
              <w:rPr>
                <w:rFonts w:ascii="宋体" w:hAnsi="宋体" w:cs="宋体"/>
                <w:color w:val="auto"/>
                <w:sz w:val="21"/>
                <w:szCs w:val="21"/>
              </w:rPr>
            </w:pPr>
          </w:p>
        </w:tc>
        <w:tc>
          <w:tcPr>
            <w:tcW w:w="1664" w:type="dxa"/>
            <w:vMerge w:val="continue"/>
            <w:vAlign w:val="center"/>
          </w:tcPr>
          <w:p>
            <w:pPr>
              <w:pStyle w:val="2"/>
              <w:adjustRightInd w:val="0"/>
              <w:snapToGrid w:val="0"/>
              <w:jc w:val="center"/>
              <w:rPr>
                <w:rFonts w:ascii="宋体" w:hAnsi="宋体" w:cs="宋体"/>
                <w:color w:val="auto"/>
                <w:sz w:val="21"/>
                <w:szCs w:val="21"/>
              </w:rPr>
            </w:pPr>
          </w:p>
        </w:tc>
        <w:tc>
          <w:tcPr>
            <w:tcW w:w="5771" w:type="dxa"/>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化工生产装置未按国家标准要求设置双电源或者双回路供电的，扣</w:t>
            </w:r>
            <w:r>
              <w:rPr>
                <w:rFonts w:ascii="宋体" w:hAnsi="宋体" w:cs="宋体"/>
                <w:color w:val="auto"/>
                <w:sz w:val="21"/>
                <w:szCs w:val="21"/>
              </w:rPr>
              <w:t>5</w:t>
            </w:r>
            <w:r>
              <w:rPr>
                <w:rFonts w:hint="eastAsia" w:ascii="宋体" w:hAnsi="宋体" w:cs="宋体"/>
                <w:color w:val="auto"/>
                <w:sz w:val="21"/>
                <w:szCs w:val="21"/>
              </w:rPr>
              <w:t>分。</w:t>
            </w:r>
          </w:p>
        </w:tc>
        <w:tc>
          <w:tcPr>
            <w:tcW w:w="1007" w:type="dxa"/>
            <w:gridSpan w:val="2"/>
            <w:vAlign w:val="center"/>
          </w:tcPr>
          <w:p>
            <w:pPr>
              <w:adjustRightInd w:val="0"/>
              <w:snapToGrid w:val="0"/>
              <w:jc w:val="center"/>
              <w:rPr>
                <w:rFonts w:hint="eastAsia" w:ascii="宋体" w:hAnsi="宋体" w:eastAsia="宋体" w:cs="宋体"/>
                <w:color w:val="auto"/>
                <w:sz w:val="21"/>
                <w:szCs w:val="21"/>
              </w:rPr>
            </w:pPr>
            <w:r>
              <w:rPr>
                <w:rFonts w:hint="eastAsia" w:ascii="宋体" w:hAnsi="宋体" w:eastAsia="宋体" w:cs="宋体"/>
                <w:color w:val="auto"/>
                <w:sz w:val="21"/>
                <w:szCs w:val="21"/>
                <w:lang w:eastAsia="zh-CN"/>
              </w:rPr>
              <w:t>不扣分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844" w:type="dxa"/>
            <w:vMerge w:val="restart"/>
            <w:vAlign w:val="center"/>
          </w:tcPr>
          <w:p>
            <w:pPr>
              <w:pStyle w:val="2"/>
              <w:adjustRightInd w:val="0"/>
              <w:snapToGrid w:val="0"/>
              <w:jc w:val="center"/>
              <w:rPr>
                <w:rFonts w:ascii="宋体" w:hAnsi="宋体" w:cs="宋体"/>
                <w:color w:val="auto"/>
                <w:sz w:val="21"/>
                <w:szCs w:val="21"/>
              </w:rPr>
            </w:pPr>
            <w:r>
              <w:rPr>
                <w:rFonts w:ascii="宋体" w:hAnsi="宋体" w:cs="宋体"/>
                <w:color w:val="auto"/>
                <w:sz w:val="21"/>
                <w:szCs w:val="21"/>
              </w:rPr>
              <w:t>5.</w:t>
            </w:r>
            <w:r>
              <w:rPr>
                <w:rFonts w:hint="eastAsia" w:ascii="宋体" w:hAnsi="宋体" w:cs="宋体"/>
                <w:color w:val="auto"/>
                <w:sz w:val="21"/>
                <w:szCs w:val="21"/>
              </w:rPr>
              <w:t>自控与</w:t>
            </w:r>
          </w:p>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安全设施</w:t>
            </w:r>
          </w:p>
        </w:tc>
        <w:tc>
          <w:tcPr>
            <w:tcW w:w="1664" w:type="dxa"/>
            <w:vMerge w:val="restart"/>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自控与安全设施</w:t>
            </w:r>
          </w:p>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w:t>
            </w:r>
            <w:r>
              <w:rPr>
                <w:rFonts w:ascii="宋体" w:hAnsi="宋体" w:cs="宋体"/>
                <w:color w:val="auto"/>
                <w:sz w:val="21"/>
                <w:szCs w:val="21"/>
              </w:rPr>
              <w:t>10</w:t>
            </w:r>
            <w:r>
              <w:rPr>
                <w:rFonts w:hint="eastAsia" w:ascii="宋体" w:hAnsi="宋体" w:cs="宋体"/>
                <w:color w:val="auto"/>
                <w:sz w:val="21"/>
                <w:szCs w:val="21"/>
              </w:rPr>
              <w:t>分）</w:t>
            </w:r>
          </w:p>
        </w:tc>
        <w:tc>
          <w:tcPr>
            <w:tcW w:w="5771" w:type="dxa"/>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涉及重点监管危险化工工艺的装置未按要求实现自动化控制，系统未实现紧急停车功能，装备的自动化控制系统、紧急停车系统未投入使用的，扣</w:t>
            </w:r>
            <w:r>
              <w:rPr>
                <w:rFonts w:ascii="宋体" w:hAnsi="宋体" w:cs="宋体"/>
                <w:color w:val="auto"/>
                <w:sz w:val="21"/>
                <w:szCs w:val="21"/>
              </w:rPr>
              <w:t>10</w:t>
            </w:r>
            <w:r>
              <w:rPr>
                <w:rFonts w:hint="eastAsia" w:ascii="宋体" w:hAnsi="宋体" w:cs="宋体"/>
                <w:color w:val="auto"/>
                <w:sz w:val="21"/>
                <w:szCs w:val="21"/>
              </w:rPr>
              <w:t>分；</w:t>
            </w:r>
          </w:p>
        </w:tc>
        <w:tc>
          <w:tcPr>
            <w:tcW w:w="1007" w:type="dxa"/>
            <w:gridSpan w:val="2"/>
            <w:vAlign w:val="center"/>
          </w:tcPr>
          <w:p>
            <w:pPr>
              <w:adjustRightInd w:val="0"/>
              <w:snapToGrid w:val="0"/>
              <w:jc w:val="center"/>
              <w:rPr>
                <w:rFonts w:hint="eastAsia" w:ascii="宋体" w:hAnsi="宋体" w:eastAsia="宋体" w:cs="宋体"/>
                <w:color w:val="auto"/>
                <w:sz w:val="21"/>
                <w:szCs w:val="21"/>
              </w:rPr>
            </w:pPr>
            <w:r>
              <w:rPr>
                <w:rFonts w:hint="eastAsia" w:ascii="宋体" w:hAnsi="宋体" w:eastAsia="宋体" w:cs="宋体"/>
                <w:color w:val="auto"/>
                <w:sz w:val="21"/>
                <w:szCs w:val="21"/>
                <w:lang w:eastAsia="zh-CN"/>
              </w:rPr>
              <w:t>不扣分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844" w:type="dxa"/>
            <w:vMerge w:val="continue"/>
            <w:vAlign w:val="center"/>
          </w:tcPr>
          <w:p>
            <w:pPr>
              <w:pStyle w:val="2"/>
              <w:adjustRightInd w:val="0"/>
              <w:snapToGrid w:val="0"/>
              <w:jc w:val="center"/>
              <w:rPr>
                <w:rFonts w:ascii="宋体" w:hAnsi="宋体" w:cs="宋体"/>
                <w:color w:val="auto"/>
                <w:sz w:val="21"/>
                <w:szCs w:val="21"/>
              </w:rPr>
            </w:pPr>
          </w:p>
        </w:tc>
        <w:tc>
          <w:tcPr>
            <w:tcW w:w="1664" w:type="dxa"/>
            <w:vMerge w:val="continue"/>
            <w:vAlign w:val="center"/>
          </w:tcPr>
          <w:p>
            <w:pPr>
              <w:pStyle w:val="2"/>
              <w:adjustRightInd w:val="0"/>
              <w:snapToGrid w:val="0"/>
              <w:jc w:val="center"/>
              <w:rPr>
                <w:rFonts w:ascii="宋体" w:hAnsi="宋体" w:cs="宋体"/>
                <w:color w:val="auto"/>
                <w:sz w:val="21"/>
                <w:szCs w:val="21"/>
              </w:rPr>
            </w:pPr>
          </w:p>
        </w:tc>
        <w:tc>
          <w:tcPr>
            <w:tcW w:w="5771" w:type="dxa"/>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涉及毒性气体、液化气体、剧毒液体的一级、二级重大危险源的危险化学品罐区未配备独立的安全仪表系统的，扣</w:t>
            </w:r>
            <w:r>
              <w:rPr>
                <w:rFonts w:ascii="宋体" w:hAnsi="宋体" w:cs="宋体"/>
                <w:color w:val="auto"/>
                <w:sz w:val="21"/>
                <w:szCs w:val="21"/>
              </w:rPr>
              <w:t>10</w:t>
            </w:r>
            <w:r>
              <w:rPr>
                <w:rFonts w:hint="eastAsia" w:ascii="宋体" w:hAnsi="宋体" w:cs="宋体"/>
                <w:color w:val="auto"/>
                <w:sz w:val="21"/>
                <w:szCs w:val="21"/>
              </w:rPr>
              <w:t>分；</w:t>
            </w:r>
          </w:p>
        </w:tc>
        <w:tc>
          <w:tcPr>
            <w:tcW w:w="1007" w:type="dxa"/>
            <w:gridSpan w:val="2"/>
            <w:vAlign w:val="center"/>
          </w:tcPr>
          <w:p>
            <w:pPr>
              <w:adjustRightInd w:val="0"/>
              <w:snapToGrid w:val="0"/>
              <w:jc w:val="center"/>
              <w:rPr>
                <w:rFonts w:hint="eastAsia" w:ascii="宋体" w:hAnsi="宋体" w:eastAsia="宋体" w:cs="宋体"/>
                <w:color w:val="auto"/>
                <w:sz w:val="21"/>
                <w:szCs w:val="21"/>
              </w:rPr>
            </w:pPr>
            <w:r>
              <w:rPr>
                <w:rFonts w:hint="eastAsia" w:ascii="宋体" w:hAnsi="宋体" w:eastAsia="宋体" w:cs="宋体"/>
                <w:color w:val="auto"/>
                <w:sz w:val="21"/>
                <w:szCs w:val="21"/>
                <w:lang w:eastAsia="zh-CN"/>
              </w:rPr>
              <w:t>不扣分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44" w:type="dxa"/>
            <w:vMerge w:val="continue"/>
            <w:vAlign w:val="center"/>
          </w:tcPr>
          <w:p>
            <w:pPr>
              <w:pStyle w:val="2"/>
              <w:adjustRightInd w:val="0"/>
              <w:snapToGrid w:val="0"/>
              <w:jc w:val="center"/>
              <w:rPr>
                <w:rFonts w:ascii="宋体" w:hAnsi="宋体" w:cs="宋体"/>
                <w:color w:val="auto"/>
                <w:sz w:val="21"/>
                <w:szCs w:val="21"/>
              </w:rPr>
            </w:pPr>
          </w:p>
        </w:tc>
        <w:tc>
          <w:tcPr>
            <w:tcW w:w="1664" w:type="dxa"/>
            <w:vMerge w:val="continue"/>
            <w:vAlign w:val="center"/>
          </w:tcPr>
          <w:p>
            <w:pPr>
              <w:pStyle w:val="2"/>
              <w:adjustRightInd w:val="0"/>
              <w:snapToGrid w:val="0"/>
              <w:jc w:val="center"/>
              <w:rPr>
                <w:rFonts w:ascii="宋体" w:hAnsi="宋体" w:cs="宋体"/>
                <w:color w:val="auto"/>
                <w:sz w:val="21"/>
                <w:szCs w:val="21"/>
              </w:rPr>
            </w:pPr>
          </w:p>
        </w:tc>
        <w:tc>
          <w:tcPr>
            <w:tcW w:w="5771" w:type="dxa"/>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构成一级、二级重大危险源的危险化学品罐区未实现紧急切断功能的，扣</w:t>
            </w:r>
            <w:r>
              <w:rPr>
                <w:rFonts w:ascii="宋体" w:hAnsi="宋体" w:cs="宋体"/>
                <w:color w:val="auto"/>
                <w:sz w:val="21"/>
                <w:szCs w:val="21"/>
              </w:rPr>
              <w:t>5</w:t>
            </w:r>
            <w:r>
              <w:rPr>
                <w:rFonts w:hint="eastAsia" w:ascii="宋体" w:hAnsi="宋体" w:cs="宋体"/>
                <w:color w:val="auto"/>
                <w:sz w:val="21"/>
                <w:szCs w:val="21"/>
              </w:rPr>
              <w:t>分；</w:t>
            </w:r>
          </w:p>
        </w:tc>
        <w:tc>
          <w:tcPr>
            <w:tcW w:w="1007" w:type="dxa"/>
            <w:gridSpan w:val="2"/>
            <w:vAlign w:val="center"/>
          </w:tcPr>
          <w:p>
            <w:pPr>
              <w:adjustRightInd w:val="0"/>
              <w:snapToGrid w:val="0"/>
              <w:jc w:val="center"/>
              <w:rPr>
                <w:rFonts w:hint="eastAsia" w:ascii="宋体" w:hAnsi="宋体" w:eastAsia="宋体" w:cs="宋体"/>
                <w:color w:val="auto"/>
                <w:sz w:val="21"/>
                <w:szCs w:val="21"/>
              </w:rPr>
            </w:pPr>
            <w:r>
              <w:rPr>
                <w:rFonts w:hint="eastAsia" w:ascii="宋体" w:hAnsi="宋体" w:eastAsia="宋体" w:cs="宋体"/>
                <w:color w:val="auto"/>
                <w:sz w:val="21"/>
                <w:szCs w:val="21"/>
                <w:lang w:eastAsia="zh-CN"/>
              </w:rPr>
              <w:t>不扣分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jc w:val="center"/>
        </w:trPr>
        <w:tc>
          <w:tcPr>
            <w:tcW w:w="844" w:type="dxa"/>
            <w:vMerge w:val="continue"/>
            <w:vAlign w:val="center"/>
          </w:tcPr>
          <w:p>
            <w:pPr>
              <w:pStyle w:val="2"/>
              <w:adjustRightInd w:val="0"/>
              <w:snapToGrid w:val="0"/>
              <w:jc w:val="center"/>
              <w:rPr>
                <w:rFonts w:ascii="宋体" w:hAnsi="宋体" w:cs="宋体"/>
                <w:color w:val="auto"/>
                <w:sz w:val="21"/>
                <w:szCs w:val="21"/>
              </w:rPr>
            </w:pPr>
          </w:p>
        </w:tc>
        <w:tc>
          <w:tcPr>
            <w:tcW w:w="1664" w:type="dxa"/>
            <w:vMerge w:val="continue"/>
            <w:vAlign w:val="center"/>
          </w:tcPr>
          <w:p>
            <w:pPr>
              <w:pStyle w:val="2"/>
              <w:adjustRightInd w:val="0"/>
              <w:snapToGrid w:val="0"/>
              <w:jc w:val="center"/>
              <w:rPr>
                <w:rFonts w:ascii="宋体" w:hAnsi="宋体" w:cs="宋体"/>
                <w:color w:val="auto"/>
                <w:sz w:val="21"/>
                <w:szCs w:val="21"/>
              </w:rPr>
            </w:pPr>
          </w:p>
        </w:tc>
        <w:tc>
          <w:tcPr>
            <w:tcW w:w="5771" w:type="dxa"/>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危险化学品重大危险源未设置压力、液位、温度远传监控和超限位报警装置的，每涉及一项扣</w:t>
            </w:r>
            <w:r>
              <w:rPr>
                <w:rFonts w:ascii="宋体" w:hAnsi="宋体" w:cs="宋体"/>
                <w:color w:val="auto"/>
                <w:sz w:val="21"/>
                <w:szCs w:val="21"/>
              </w:rPr>
              <w:t>1</w:t>
            </w:r>
            <w:r>
              <w:rPr>
                <w:rFonts w:hint="eastAsia" w:ascii="宋体" w:hAnsi="宋体" w:cs="宋体"/>
                <w:color w:val="auto"/>
                <w:sz w:val="21"/>
                <w:szCs w:val="21"/>
              </w:rPr>
              <w:t>分；</w:t>
            </w:r>
          </w:p>
        </w:tc>
        <w:tc>
          <w:tcPr>
            <w:tcW w:w="1007" w:type="dxa"/>
            <w:gridSpan w:val="2"/>
            <w:vAlign w:val="center"/>
          </w:tcPr>
          <w:p>
            <w:pPr>
              <w:adjustRightInd w:val="0"/>
              <w:snapToGrid w:val="0"/>
              <w:jc w:val="center"/>
              <w:rPr>
                <w:rFonts w:hint="eastAsia" w:ascii="宋体" w:hAnsi="宋体" w:eastAsia="宋体" w:cs="宋体"/>
                <w:color w:val="auto"/>
                <w:sz w:val="21"/>
                <w:szCs w:val="21"/>
              </w:rPr>
            </w:pPr>
            <w:r>
              <w:rPr>
                <w:rFonts w:hint="eastAsia" w:ascii="宋体" w:hAnsi="宋体" w:eastAsia="宋体" w:cs="宋体"/>
                <w:color w:val="auto"/>
                <w:sz w:val="21"/>
                <w:szCs w:val="21"/>
                <w:lang w:eastAsia="zh-CN"/>
              </w:rPr>
              <w:t>不扣分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844" w:type="dxa"/>
            <w:vMerge w:val="continue"/>
            <w:vAlign w:val="center"/>
          </w:tcPr>
          <w:p>
            <w:pPr>
              <w:pStyle w:val="2"/>
              <w:adjustRightInd w:val="0"/>
              <w:snapToGrid w:val="0"/>
              <w:jc w:val="center"/>
              <w:rPr>
                <w:rFonts w:ascii="宋体" w:hAnsi="宋体" w:cs="宋体"/>
                <w:color w:val="auto"/>
                <w:sz w:val="21"/>
                <w:szCs w:val="21"/>
              </w:rPr>
            </w:pPr>
          </w:p>
        </w:tc>
        <w:tc>
          <w:tcPr>
            <w:tcW w:w="1664" w:type="dxa"/>
            <w:vMerge w:val="continue"/>
            <w:vAlign w:val="center"/>
          </w:tcPr>
          <w:p>
            <w:pPr>
              <w:pStyle w:val="2"/>
              <w:adjustRightInd w:val="0"/>
              <w:snapToGrid w:val="0"/>
              <w:jc w:val="center"/>
              <w:rPr>
                <w:rFonts w:ascii="宋体" w:hAnsi="宋体" w:cs="宋体"/>
                <w:color w:val="auto"/>
                <w:sz w:val="21"/>
                <w:szCs w:val="21"/>
              </w:rPr>
            </w:pPr>
          </w:p>
        </w:tc>
        <w:tc>
          <w:tcPr>
            <w:tcW w:w="5771" w:type="dxa"/>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涉及可燃和有毒有害气体泄漏的场所未按国家标准设置检测声光报警设施的，每一处扣</w:t>
            </w:r>
            <w:r>
              <w:rPr>
                <w:rFonts w:ascii="宋体" w:hAnsi="宋体" w:cs="宋体"/>
                <w:color w:val="auto"/>
                <w:sz w:val="21"/>
                <w:szCs w:val="21"/>
              </w:rPr>
              <w:t>1</w:t>
            </w:r>
            <w:r>
              <w:rPr>
                <w:rFonts w:hint="eastAsia" w:ascii="宋体" w:hAnsi="宋体" w:cs="宋体"/>
                <w:color w:val="auto"/>
                <w:sz w:val="21"/>
                <w:szCs w:val="21"/>
              </w:rPr>
              <w:t>分；</w:t>
            </w:r>
          </w:p>
        </w:tc>
        <w:tc>
          <w:tcPr>
            <w:tcW w:w="1007" w:type="dxa"/>
            <w:gridSpan w:val="2"/>
            <w:vAlign w:val="center"/>
          </w:tcPr>
          <w:p>
            <w:pPr>
              <w:adjustRightInd w:val="0"/>
              <w:snapToGrid w:val="0"/>
              <w:jc w:val="center"/>
              <w:rPr>
                <w:rFonts w:hint="eastAsia" w:ascii="宋体" w:hAnsi="宋体" w:eastAsia="宋体" w:cs="宋体"/>
                <w:color w:val="auto"/>
                <w:sz w:val="21"/>
                <w:szCs w:val="21"/>
              </w:rPr>
            </w:pPr>
            <w:r>
              <w:rPr>
                <w:rFonts w:hint="eastAsia" w:ascii="宋体" w:hAnsi="宋体" w:eastAsia="宋体" w:cs="宋体"/>
                <w:color w:val="auto"/>
                <w:sz w:val="21"/>
                <w:szCs w:val="21"/>
                <w:lang w:eastAsia="zh-CN"/>
              </w:rPr>
              <w:t>不扣分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jc w:val="center"/>
        </w:trPr>
        <w:tc>
          <w:tcPr>
            <w:tcW w:w="844" w:type="dxa"/>
            <w:vMerge w:val="continue"/>
            <w:vAlign w:val="center"/>
          </w:tcPr>
          <w:p>
            <w:pPr>
              <w:pStyle w:val="2"/>
              <w:adjustRightInd w:val="0"/>
              <w:snapToGrid w:val="0"/>
              <w:jc w:val="center"/>
              <w:rPr>
                <w:rFonts w:ascii="宋体" w:hAnsi="宋体" w:cs="宋体"/>
                <w:color w:val="auto"/>
                <w:sz w:val="21"/>
                <w:szCs w:val="21"/>
              </w:rPr>
            </w:pPr>
          </w:p>
        </w:tc>
        <w:tc>
          <w:tcPr>
            <w:tcW w:w="1664" w:type="dxa"/>
            <w:vMerge w:val="continue"/>
            <w:vAlign w:val="center"/>
          </w:tcPr>
          <w:p>
            <w:pPr>
              <w:pStyle w:val="2"/>
              <w:adjustRightInd w:val="0"/>
              <w:snapToGrid w:val="0"/>
              <w:jc w:val="center"/>
              <w:rPr>
                <w:rFonts w:ascii="宋体" w:hAnsi="宋体" w:cs="宋体"/>
                <w:color w:val="auto"/>
                <w:sz w:val="21"/>
                <w:szCs w:val="21"/>
              </w:rPr>
            </w:pPr>
          </w:p>
        </w:tc>
        <w:tc>
          <w:tcPr>
            <w:tcW w:w="5771" w:type="dxa"/>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防爆区域未按国家标准安装使用防爆电气设备的，每一处扣</w:t>
            </w:r>
            <w:r>
              <w:rPr>
                <w:rFonts w:ascii="宋体" w:hAnsi="宋体" w:cs="宋体"/>
                <w:color w:val="auto"/>
                <w:sz w:val="21"/>
                <w:szCs w:val="21"/>
              </w:rPr>
              <w:t>1</w:t>
            </w:r>
            <w:r>
              <w:rPr>
                <w:rFonts w:hint="eastAsia" w:ascii="宋体" w:hAnsi="宋体" w:cs="宋体"/>
                <w:color w:val="auto"/>
                <w:sz w:val="21"/>
                <w:szCs w:val="21"/>
              </w:rPr>
              <w:t>分；</w:t>
            </w:r>
          </w:p>
        </w:tc>
        <w:tc>
          <w:tcPr>
            <w:tcW w:w="1007" w:type="dxa"/>
            <w:gridSpan w:val="2"/>
            <w:vAlign w:val="center"/>
          </w:tcPr>
          <w:p>
            <w:pPr>
              <w:adjustRightInd w:val="0"/>
              <w:snapToGrid w:val="0"/>
              <w:jc w:val="center"/>
              <w:rPr>
                <w:rFonts w:hint="eastAsia" w:ascii="宋体" w:hAnsi="宋体" w:eastAsia="宋体" w:cs="宋体"/>
                <w:color w:val="auto"/>
                <w:sz w:val="21"/>
                <w:szCs w:val="21"/>
              </w:rPr>
            </w:pPr>
            <w:r>
              <w:rPr>
                <w:rFonts w:hint="eastAsia" w:ascii="宋体" w:hAnsi="宋体" w:eastAsia="宋体" w:cs="宋体"/>
                <w:color w:val="auto"/>
                <w:sz w:val="21"/>
                <w:szCs w:val="21"/>
                <w:lang w:eastAsia="zh-CN"/>
              </w:rPr>
              <w:t>不扣分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844" w:type="dxa"/>
            <w:vMerge w:val="continue"/>
            <w:vAlign w:val="center"/>
          </w:tcPr>
          <w:p>
            <w:pPr>
              <w:pStyle w:val="2"/>
              <w:adjustRightInd w:val="0"/>
              <w:snapToGrid w:val="0"/>
              <w:jc w:val="center"/>
              <w:rPr>
                <w:rFonts w:ascii="宋体" w:hAnsi="宋体" w:cs="宋体"/>
                <w:color w:val="auto"/>
                <w:sz w:val="21"/>
                <w:szCs w:val="21"/>
              </w:rPr>
            </w:pPr>
          </w:p>
        </w:tc>
        <w:tc>
          <w:tcPr>
            <w:tcW w:w="1664" w:type="dxa"/>
            <w:vMerge w:val="continue"/>
            <w:vAlign w:val="center"/>
          </w:tcPr>
          <w:p>
            <w:pPr>
              <w:pStyle w:val="2"/>
              <w:adjustRightInd w:val="0"/>
              <w:snapToGrid w:val="0"/>
              <w:jc w:val="center"/>
              <w:rPr>
                <w:rFonts w:ascii="宋体" w:hAnsi="宋体" w:cs="宋体"/>
                <w:color w:val="auto"/>
                <w:sz w:val="21"/>
                <w:szCs w:val="21"/>
              </w:rPr>
            </w:pPr>
          </w:p>
        </w:tc>
        <w:tc>
          <w:tcPr>
            <w:tcW w:w="5771" w:type="dxa"/>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甲类、乙类火灾危险性生产装置内设有办公室、操作室、固定操作岗位或休息室的，每涉及一处扣</w:t>
            </w:r>
            <w:r>
              <w:rPr>
                <w:rFonts w:ascii="宋体" w:hAnsi="宋体" w:cs="宋体"/>
                <w:color w:val="auto"/>
                <w:sz w:val="21"/>
                <w:szCs w:val="21"/>
              </w:rPr>
              <w:t>5</w:t>
            </w:r>
            <w:r>
              <w:rPr>
                <w:rFonts w:hint="eastAsia" w:ascii="宋体" w:hAnsi="宋体" w:cs="宋体"/>
                <w:color w:val="auto"/>
                <w:sz w:val="21"/>
                <w:szCs w:val="21"/>
              </w:rPr>
              <w:t>分。</w:t>
            </w:r>
          </w:p>
        </w:tc>
        <w:tc>
          <w:tcPr>
            <w:tcW w:w="1007" w:type="dxa"/>
            <w:gridSpan w:val="2"/>
            <w:vAlign w:val="center"/>
          </w:tcPr>
          <w:p>
            <w:pPr>
              <w:adjustRightInd w:val="0"/>
              <w:snapToGrid w:val="0"/>
              <w:jc w:val="center"/>
              <w:rPr>
                <w:rFonts w:hint="eastAsia" w:ascii="宋体" w:hAnsi="宋体" w:eastAsia="宋体" w:cs="宋体"/>
                <w:color w:val="auto"/>
                <w:sz w:val="21"/>
                <w:szCs w:val="21"/>
              </w:rPr>
            </w:pPr>
            <w:r>
              <w:rPr>
                <w:rFonts w:hint="eastAsia" w:ascii="宋体" w:hAnsi="宋体" w:eastAsia="宋体" w:cs="宋体"/>
                <w:color w:val="auto"/>
                <w:sz w:val="21"/>
                <w:szCs w:val="21"/>
                <w:lang w:eastAsia="zh-CN"/>
              </w:rPr>
              <w:t>不扣分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jc w:val="center"/>
        </w:trPr>
        <w:tc>
          <w:tcPr>
            <w:tcW w:w="844" w:type="dxa"/>
            <w:vMerge w:val="restart"/>
            <w:vAlign w:val="center"/>
          </w:tcPr>
          <w:p>
            <w:pPr>
              <w:pStyle w:val="2"/>
              <w:adjustRightInd w:val="0"/>
              <w:snapToGrid w:val="0"/>
              <w:jc w:val="center"/>
              <w:rPr>
                <w:rFonts w:ascii="宋体" w:hAnsi="宋体" w:cs="宋体"/>
                <w:color w:val="auto"/>
                <w:sz w:val="21"/>
                <w:szCs w:val="21"/>
              </w:rPr>
            </w:pPr>
            <w:r>
              <w:rPr>
                <w:rFonts w:ascii="宋体" w:hAnsi="宋体" w:cs="宋体"/>
                <w:color w:val="auto"/>
                <w:sz w:val="21"/>
                <w:szCs w:val="21"/>
              </w:rPr>
              <w:t>6.</w:t>
            </w:r>
            <w:r>
              <w:rPr>
                <w:rFonts w:hint="eastAsia" w:ascii="宋体" w:hAnsi="宋体" w:cs="宋体"/>
                <w:color w:val="auto"/>
                <w:sz w:val="21"/>
                <w:szCs w:val="21"/>
              </w:rPr>
              <w:t>人员资质</w:t>
            </w:r>
          </w:p>
        </w:tc>
        <w:tc>
          <w:tcPr>
            <w:tcW w:w="1664" w:type="dxa"/>
            <w:vMerge w:val="restart"/>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人员资质</w:t>
            </w:r>
          </w:p>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w:t>
            </w:r>
            <w:r>
              <w:rPr>
                <w:rFonts w:ascii="宋体" w:hAnsi="宋体" w:cs="宋体"/>
                <w:color w:val="auto"/>
                <w:sz w:val="21"/>
                <w:szCs w:val="21"/>
              </w:rPr>
              <w:t>15</w:t>
            </w:r>
            <w:r>
              <w:rPr>
                <w:rFonts w:hint="eastAsia" w:ascii="宋体" w:hAnsi="宋体" w:cs="宋体"/>
                <w:color w:val="auto"/>
                <w:sz w:val="21"/>
                <w:szCs w:val="21"/>
              </w:rPr>
              <w:t>分）</w:t>
            </w:r>
          </w:p>
        </w:tc>
        <w:tc>
          <w:tcPr>
            <w:tcW w:w="5771" w:type="dxa"/>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企业主要负责人和安全生产管理人员未依法经考核合格的，每一人次扣</w:t>
            </w:r>
            <w:r>
              <w:rPr>
                <w:rFonts w:ascii="宋体" w:hAnsi="宋体" w:cs="宋体"/>
                <w:color w:val="auto"/>
                <w:sz w:val="21"/>
                <w:szCs w:val="21"/>
              </w:rPr>
              <w:t>5</w:t>
            </w:r>
            <w:r>
              <w:rPr>
                <w:rFonts w:hint="eastAsia" w:ascii="宋体" w:hAnsi="宋体" w:cs="宋体"/>
                <w:color w:val="auto"/>
                <w:sz w:val="21"/>
                <w:szCs w:val="21"/>
              </w:rPr>
              <w:t>分；</w:t>
            </w:r>
          </w:p>
        </w:tc>
        <w:tc>
          <w:tcPr>
            <w:tcW w:w="1007" w:type="dxa"/>
            <w:gridSpan w:val="2"/>
            <w:vAlign w:val="center"/>
          </w:tcPr>
          <w:p>
            <w:pPr>
              <w:adjustRightInd w:val="0"/>
              <w:snapToGrid w:val="0"/>
              <w:jc w:val="center"/>
              <w:rPr>
                <w:rFonts w:hint="eastAsia" w:ascii="宋体" w:hAnsi="宋体" w:eastAsia="宋体" w:cs="宋体"/>
                <w:color w:val="auto"/>
                <w:sz w:val="21"/>
                <w:szCs w:val="21"/>
              </w:rPr>
            </w:pPr>
            <w:r>
              <w:rPr>
                <w:rFonts w:hint="eastAsia" w:ascii="宋体" w:hAnsi="宋体" w:eastAsia="宋体" w:cs="宋体"/>
                <w:color w:val="auto"/>
                <w:sz w:val="21"/>
                <w:szCs w:val="21"/>
                <w:lang w:eastAsia="zh-CN"/>
              </w:rPr>
              <w:t>不扣分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0" w:hRule="atLeast"/>
          <w:jc w:val="center"/>
        </w:trPr>
        <w:tc>
          <w:tcPr>
            <w:tcW w:w="844" w:type="dxa"/>
            <w:vMerge w:val="continue"/>
            <w:vAlign w:val="center"/>
          </w:tcPr>
          <w:p>
            <w:pPr>
              <w:pStyle w:val="2"/>
              <w:adjustRightInd w:val="0"/>
              <w:snapToGrid w:val="0"/>
              <w:jc w:val="center"/>
              <w:rPr>
                <w:rFonts w:ascii="宋体" w:hAnsi="宋体" w:cs="宋体"/>
                <w:color w:val="auto"/>
                <w:sz w:val="21"/>
                <w:szCs w:val="21"/>
              </w:rPr>
            </w:pPr>
          </w:p>
        </w:tc>
        <w:tc>
          <w:tcPr>
            <w:tcW w:w="1664" w:type="dxa"/>
            <w:vMerge w:val="continue"/>
            <w:vAlign w:val="center"/>
          </w:tcPr>
          <w:p>
            <w:pPr>
              <w:pStyle w:val="2"/>
              <w:adjustRightInd w:val="0"/>
              <w:snapToGrid w:val="0"/>
              <w:jc w:val="center"/>
              <w:rPr>
                <w:rFonts w:ascii="宋体" w:hAnsi="宋体" w:cs="宋体"/>
                <w:color w:val="auto"/>
                <w:sz w:val="21"/>
                <w:szCs w:val="21"/>
              </w:rPr>
            </w:pPr>
          </w:p>
        </w:tc>
        <w:tc>
          <w:tcPr>
            <w:tcW w:w="5771" w:type="dxa"/>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企业专职安全生产管理人员不具备国民教育化工化学类（或安全工程）中等职业教育以上学历或者化工化学类中级以上专业技术职称的，每一人次扣</w:t>
            </w:r>
            <w:r>
              <w:rPr>
                <w:rFonts w:ascii="宋体" w:hAnsi="宋体" w:cs="宋体"/>
                <w:color w:val="auto"/>
                <w:sz w:val="21"/>
                <w:szCs w:val="21"/>
              </w:rPr>
              <w:t>5</w:t>
            </w:r>
            <w:r>
              <w:rPr>
                <w:rFonts w:hint="eastAsia" w:ascii="宋体" w:hAnsi="宋体" w:cs="宋体"/>
                <w:color w:val="auto"/>
                <w:sz w:val="21"/>
                <w:szCs w:val="21"/>
              </w:rPr>
              <w:t>分；</w:t>
            </w:r>
          </w:p>
        </w:tc>
        <w:tc>
          <w:tcPr>
            <w:tcW w:w="1007" w:type="dxa"/>
            <w:gridSpan w:val="2"/>
            <w:vAlign w:val="center"/>
          </w:tcPr>
          <w:p>
            <w:pPr>
              <w:adjustRightInd w:val="0"/>
              <w:snapToGrid w:val="0"/>
              <w:jc w:val="center"/>
              <w:rPr>
                <w:rFonts w:hint="eastAsia" w:ascii="宋体" w:hAnsi="宋体" w:eastAsia="宋体" w:cs="宋体"/>
                <w:color w:val="auto"/>
                <w:sz w:val="21"/>
                <w:szCs w:val="21"/>
              </w:rPr>
            </w:pPr>
            <w:r>
              <w:rPr>
                <w:rFonts w:hint="eastAsia" w:ascii="宋体" w:hAnsi="宋体" w:eastAsia="宋体" w:cs="宋体"/>
                <w:color w:val="auto"/>
                <w:sz w:val="21"/>
                <w:szCs w:val="21"/>
                <w:lang w:eastAsia="zh-CN"/>
              </w:rPr>
              <w:t>不扣分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jc w:val="center"/>
        </w:trPr>
        <w:tc>
          <w:tcPr>
            <w:tcW w:w="844" w:type="dxa"/>
            <w:vMerge w:val="continue"/>
            <w:vAlign w:val="center"/>
          </w:tcPr>
          <w:p>
            <w:pPr>
              <w:pStyle w:val="2"/>
              <w:adjustRightInd w:val="0"/>
              <w:snapToGrid w:val="0"/>
              <w:jc w:val="center"/>
              <w:rPr>
                <w:rFonts w:ascii="宋体" w:hAnsi="宋体" w:cs="宋体"/>
                <w:color w:val="auto"/>
                <w:sz w:val="21"/>
                <w:szCs w:val="21"/>
              </w:rPr>
            </w:pPr>
          </w:p>
        </w:tc>
        <w:tc>
          <w:tcPr>
            <w:tcW w:w="1664" w:type="dxa"/>
            <w:vMerge w:val="continue"/>
            <w:vAlign w:val="center"/>
          </w:tcPr>
          <w:p>
            <w:pPr>
              <w:pStyle w:val="2"/>
              <w:adjustRightInd w:val="0"/>
              <w:snapToGrid w:val="0"/>
              <w:jc w:val="center"/>
              <w:rPr>
                <w:rFonts w:ascii="宋体" w:hAnsi="宋体" w:cs="宋体"/>
                <w:color w:val="auto"/>
                <w:sz w:val="21"/>
                <w:szCs w:val="21"/>
              </w:rPr>
            </w:pPr>
          </w:p>
        </w:tc>
        <w:tc>
          <w:tcPr>
            <w:tcW w:w="5771" w:type="dxa"/>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涉及“两重点一重大”装置的生产、设备及工艺专业管理人员不具有相应专业大专以上学历的，每一人次扣</w:t>
            </w:r>
            <w:r>
              <w:rPr>
                <w:rFonts w:ascii="宋体" w:hAnsi="宋体" w:cs="宋体"/>
                <w:color w:val="auto"/>
                <w:sz w:val="21"/>
                <w:szCs w:val="21"/>
              </w:rPr>
              <w:t>5</w:t>
            </w:r>
            <w:r>
              <w:rPr>
                <w:rFonts w:hint="eastAsia" w:ascii="宋体" w:hAnsi="宋体" w:cs="宋体"/>
                <w:color w:val="auto"/>
                <w:sz w:val="21"/>
                <w:szCs w:val="21"/>
              </w:rPr>
              <w:t>分；</w:t>
            </w:r>
          </w:p>
        </w:tc>
        <w:tc>
          <w:tcPr>
            <w:tcW w:w="1007" w:type="dxa"/>
            <w:gridSpan w:val="2"/>
            <w:vAlign w:val="center"/>
          </w:tcPr>
          <w:p>
            <w:pPr>
              <w:adjustRightInd w:val="0"/>
              <w:snapToGrid w:val="0"/>
              <w:jc w:val="center"/>
              <w:rPr>
                <w:rFonts w:hint="eastAsia" w:ascii="宋体" w:hAnsi="宋体" w:eastAsia="宋体" w:cs="宋体"/>
                <w:color w:val="auto"/>
                <w:sz w:val="21"/>
                <w:szCs w:val="21"/>
              </w:rPr>
            </w:pPr>
            <w:r>
              <w:rPr>
                <w:rFonts w:hint="eastAsia" w:ascii="宋体" w:hAnsi="宋体" w:eastAsia="宋体" w:cs="宋体"/>
                <w:color w:val="auto"/>
                <w:sz w:val="21"/>
                <w:szCs w:val="21"/>
                <w:lang w:eastAsia="zh-CN"/>
              </w:rPr>
              <w:t>不扣分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jc w:val="center"/>
        </w:trPr>
        <w:tc>
          <w:tcPr>
            <w:tcW w:w="844" w:type="dxa"/>
            <w:vMerge w:val="continue"/>
            <w:vAlign w:val="center"/>
          </w:tcPr>
          <w:p>
            <w:pPr>
              <w:pStyle w:val="2"/>
              <w:adjustRightInd w:val="0"/>
              <w:snapToGrid w:val="0"/>
              <w:jc w:val="center"/>
              <w:rPr>
                <w:rFonts w:ascii="宋体" w:hAnsi="宋体" w:cs="宋体"/>
                <w:color w:val="auto"/>
                <w:sz w:val="21"/>
                <w:szCs w:val="21"/>
              </w:rPr>
            </w:pPr>
          </w:p>
        </w:tc>
        <w:tc>
          <w:tcPr>
            <w:tcW w:w="1664" w:type="dxa"/>
            <w:vMerge w:val="continue"/>
            <w:vAlign w:val="center"/>
          </w:tcPr>
          <w:p>
            <w:pPr>
              <w:pStyle w:val="2"/>
              <w:adjustRightInd w:val="0"/>
              <w:snapToGrid w:val="0"/>
              <w:jc w:val="center"/>
              <w:rPr>
                <w:rFonts w:ascii="宋体" w:hAnsi="宋体" w:cs="宋体"/>
                <w:color w:val="auto"/>
                <w:sz w:val="21"/>
                <w:szCs w:val="21"/>
              </w:rPr>
            </w:pPr>
          </w:p>
        </w:tc>
        <w:tc>
          <w:tcPr>
            <w:tcW w:w="5771" w:type="dxa"/>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企业未按有关要求配备注册安全工程师的，扣</w:t>
            </w:r>
            <w:r>
              <w:rPr>
                <w:rFonts w:ascii="宋体" w:hAnsi="宋体" w:cs="宋体"/>
                <w:color w:val="auto"/>
                <w:sz w:val="21"/>
                <w:szCs w:val="21"/>
              </w:rPr>
              <w:t>3</w:t>
            </w:r>
            <w:r>
              <w:rPr>
                <w:rFonts w:hint="eastAsia" w:ascii="宋体" w:hAnsi="宋体" w:cs="宋体"/>
                <w:color w:val="auto"/>
                <w:sz w:val="21"/>
                <w:szCs w:val="21"/>
              </w:rPr>
              <w:t>分；</w:t>
            </w:r>
          </w:p>
        </w:tc>
        <w:tc>
          <w:tcPr>
            <w:tcW w:w="1007" w:type="dxa"/>
            <w:gridSpan w:val="2"/>
            <w:vAlign w:val="center"/>
          </w:tcPr>
          <w:p>
            <w:pPr>
              <w:adjustRightInd w:val="0"/>
              <w:snapToGrid w:val="0"/>
              <w:jc w:val="center"/>
              <w:rPr>
                <w:rFonts w:hint="eastAsia" w:ascii="宋体" w:hAnsi="宋体" w:eastAsia="宋体" w:cs="宋体"/>
                <w:color w:val="auto"/>
                <w:sz w:val="21"/>
                <w:szCs w:val="21"/>
              </w:rPr>
            </w:pPr>
            <w:r>
              <w:rPr>
                <w:rFonts w:hint="eastAsia" w:ascii="宋体" w:hAnsi="宋体" w:eastAsia="宋体" w:cs="宋体"/>
                <w:color w:val="auto"/>
                <w:sz w:val="21"/>
                <w:szCs w:val="21"/>
                <w:lang w:eastAsia="zh-CN"/>
              </w:rPr>
              <w:t>不扣分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844" w:type="dxa"/>
            <w:vMerge w:val="continue"/>
            <w:vAlign w:val="center"/>
          </w:tcPr>
          <w:p>
            <w:pPr>
              <w:pStyle w:val="2"/>
              <w:adjustRightInd w:val="0"/>
              <w:snapToGrid w:val="0"/>
              <w:jc w:val="center"/>
              <w:rPr>
                <w:rFonts w:ascii="宋体" w:hAnsi="宋体" w:cs="宋体"/>
                <w:color w:val="auto"/>
                <w:sz w:val="21"/>
                <w:szCs w:val="21"/>
              </w:rPr>
            </w:pPr>
          </w:p>
        </w:tc>
        <w:tc>
          <w:tcPr>
            <w:tcW w:w="1664" w:type="dxa"/>
            <w:vMerge w:val="continue"/>
            <w:vAlign w:val="center"/>
          </w:tcPr>
          <w:p>
            <w:pPr>
              <w:pStyle w:val="2"/>
              <w:adjustRightInd w:val="0"/>
              <w:snapToGrid w:val="0"/>
              <w:jc w:val="center"/>
              <w:rPr>
                <w:rFonts w:ascii="宋体" w:hAnsi="宋体" w:cs="宋体"/>
                <w:color w:val="auto"/>
                <w:sz w:val="21"/>
                <w:szCs w:val="21"/>
              </w:rPr>
            </w:pPr>
          </w:p>
        </w:tc>
        <w:tc>
          <w:tcPr>
            <w:tcW w:w="5771" w:type="dxa"/>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企业主要负责人、分管安全生产工作负责人、安全管理部门主要负责人为化学化工类专业毕业的，每一人次加</w:t>
            </w:r>
            <w:r>
              <w:rPr>
                <w:rFonts w:ascii="宋体" w:hAnsi="宋体" w:cs="宋体"/>
                <w:color w:val="auto"/>
                <w:sz w:val="21"/>
                <w:szCs w:val="21"/>
              </w:rPr>
              <w:t>2</w:t>
            </w:r>
            <w:r>
              <w:rPr>
                <w:rFonts w:hint="eastAsia" w:ascii="宋体" w:hAnsi="宋体" w:cs="宋体"/>
                <w:color w:val="auto"/>
                <w:sz w:val="21"/>
                <w:szCs w:val="21"/>
              </w:rPr>
              <w:t>分。</w:t>
            </w:r>
          </w:p>
        </w:tc>
        <w:tc>
          <w:tcPr>
            <w:tcW w:w="1007" w:type="dxa"/>
            <w:gridSpan w:val="2"/>
            <w:vAlign w:val="center"/>
          </w:tcPr>
          <w:p>
            <w:pPr>
              <w:adjustRightInd w:val="0"/>
              <w:snapToGrid w:val="0"/>
              <w:jc w:val="center"/>
              <w:rPr>
                <w:rFonts w:hint="eastAsia" w:ascii="宋体" w:hAnsi="宋体" w:eastAsia="宋体" w:cs="宋体"/>
                <w:color w:val="auto"/>
                <w:sz w:val="21"/>
                <w:szCs w:val="21"/>
              </w:rPr>
            </w:pPr>
            <w:r>
              <w:rPr>
                <w:rFonts w:hint="eastAsia" w:ascii="宋体" w:hAnsi="宋体" w:eastAsia="宋体" w:cs="宋体"/>
                <w:color w:val="auto"/>
                <w:sz w:val="21"/>
                <w:szCs w:val="21"/>
                <w:lang w:eastAsia="zh-CN"/>
              </w:rPr>
              <w:t>不扣分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844" w:type="dxa"/>
            <w:vMerge w:val="restart"/>
            <w:vAlign w:val="center"/>
          </w:tcPr>
          <w:p>
            <w:pPr>
              <w:pStyle w:val="2"/>
              <w:adjustRightInd w:val="0"/>
              <w:snapToGrid w:val="0"/>
              <w:jc w:val="center"/>
              <w:rPr>
                <w:rFonts w:ascii="宋体" w:hAnsi="宋体" w:cs="宋体"/>
                <w:color w:val="auto"/>
                <w:sz w:val="21"/>
                <w:szCs w:val="21"/>
              </w:rPr>
            </w:pPr>
            <w:r>
              <w:rPr>
                <w:rFonts w:ascii="宋体" w:hAnsi="宋体" w:cs="宋体"/>
                <w:color w:val="auto"/>
                <w:sz w:val="21"/>
                <w:szCs w:val="21"/>
              </w:rPr>
              <w:t>7.</w:t>
            </w:r>
            <w:r>
              <w:rPr>
                <w:rFonts w:hint="eastAsia" w:ascii="宋体" w:hAnsi="宋体" w:cs="宋体"/>
                <w:color w:val="auto"/>
                <w:sz w:val="21"/>
                <w:szCs w:val="21"/>
              </w:rPr>
              <w:t>安全管理制度</w:t>
            </w:r>
          </w:p>
        </w:tc>
        <w:tc>
          <w:tcPr>
            <w:tcW w:w="1664" w:type="dxa"/>
            <w:vMerge w:val="restart"/>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管理制度</w:t>
            </w:r>
          </w:p>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w:t>
            </w:r>
            <w:r>
              <w:rPr>
                <w:rFonts w:ascii="宋体" w:hAnsi="宋体" w:cs="宋体"/>
                <w:color w:val="auto"/>
                <w:sz w:val="21"/>
                <w:szCs w:val="21"/>
              </w:rPr>
              <w:t>10</w:t>
            </w:r>
            <w:r>
              <w:rPr>
                <w:rFonts w:hint="eastAsia" w:ascii="宋体" w:hAnsi="宋体" w:cs="宋体"/>
                <w:color w:val="auto"/>
                <w:sz w:val="21"/>
                <w:szCs w:val="21"/>
              </w:rPr>
              <w:t>分）</w:t>
            </w:r>
          </w:p>
        </w:tc>
        <w:tc>
          <w:tcPr>
            <w:tcW w:w="5771" w:type="dxa"/>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未制定操作规程和工艺控制指标或者制定的操作规程和工艺控制指标不完善的，扣</w:t>
            </w:r>
            <w:r>
              <w:rPr>
                <w:rFonts w:ascii="宋体" w:hAnsi="宋体" w:cs="宋体"/>
                <w:color w:val="auto"/>
                <w:sz w:val="21"/>
                <w:szCs w:val="21"/>
              </w:rPr>
              <w:t>5</w:t>
            </w:r>
            <w:r>
              <w:rPr>
                <w:rFonts w:hint="eastAsia" w:ascii="宋体" w:hAnsi="宋体" w:cs="宋体"/>
                <w:color w:val="auto"/>
                <w:sz w:val="21"/>
                <w:szCs w:val="21"/>
              </w:rPr>
              <w:t>分；</w:t>
            </w:r>
          </w:p>
        </w:tc>
        <w:tc>
          <w:tcPr>
            <w:tcW w:w="1007" w:type="dxa"/>
            <w:gridSpan w:val="2"/>
            <w:vAlign w:val="center"/>
          </w:tcPr>
          <w:p>
            <w:pPr>
              <w:adjustRightInd w:val="0"/>
              <w:snapToGrid w:val="0"/>
              <w:jc w:val="center"/>
              <w:rPr>
                <w:rFonts w:hint="eastAsia" w:ascii="宋体" w:hAnsi="宋体" w:eastAsia="宋体" w:cs="宋体"/>
                <w:color w:val="auto"/>
                <w:sz w:val="21"/>
                <w:szCs w:val="21"/>
              </w:rPr>
            </w:pPr>
            <w:r>
              <w:rPr>
                <w:rFonts w:hint="eastAsia" w:ascii="宋体" w:hAnsi="宋体" w:eastAsia="宋体" w:cs="宋体"/>
                <w:color w:val="auto"/>
                <w:sz w:val="21"/>
                <w:szCs w:val="21"/>
                <w:lang w:eastAsia="zh-CN"/>
              </w:rPr>
              <w:t>不扣分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844" w:type="dxa"/>
            <w:vMerge w:val="continue"/>
            <w:vAlign w:val="center"/>
          </w:tcPr>
          <w:p>
            <w:pPr>
              <w:pStyle w:val="2"/>
              <w:adjustRightInd w:val="0"/>
              <w:snapToGrid w:val="0"/>
              <w:jc w:val="center"/>
              <w:rPr>
                <w:rFonts w:ascii="宋体" w:hAnsi="宋体" w:cs="宋体"/>
                <w:color w:val="auto"/>
                <w:sz w:val="21"/>
                <w:szCs w:val="21"/>
              </w:rPr>
            </w:pPr>
          </w:p>
        </w:tc>
        <w:tc>
          <w:tcPr>
            <w:tcW w:w="1664" w:type="dxa"/>
            <w:vMerge w:val="continue"/>
            <w:vAlign w:val="center"/>
          </w:tcPr>
          <w:p>
            <w:pPr>
              <w:pStyle w:val="2"/>
              <w:adjustRightInd w:val="0"/>
              <w:snapToGrid w:val="0"/>
              <w:jc w:val="center"/>
              <w:rPr>
                <w:rFonts w:ascii="宋体" w:hAnsi="宋体" w:cs="宋体"/>
                <w:color w:val="auto"/>
                <w:sz w:val="21"/>
                <w:szCs w:val="21"/>
              </w:rPr>
            </w:pPr>
          </w:p>
        </w:tc>
        <w:tc>
          <w:tcPr>
            <w:tcW w:w="5771" w:type="dxa"/>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动火、进入受限空间等特殊作业管理制度不符合国家标准或未有效执行的，扣</w:t>
            </w:r>
            <w:r>
              <w:rPr>
                <w:rFonts w:ascii="宋体" w:hAnsi="宋体" w:cs="宋体"/>
                <w:color w:val="auto"/>
                <w:sz w:val="21"/>
                <w:szCs w:val="21"/>
              </w:rPr>
              <w:t>10</w:t>
            </w:r>
            <w:r>
              <w:rPr>
                <w:rFonts w:hint="eastAsia" w:ascii="宋体" w:hAnsi="宋体" w:cs="宋体"/>
                <w:color w:val="auto"/>
                <w:sz w:val="21"/>
                <w:szCs w:val="21"/>
              </w:rPr>
              <w:t>分；</w:t>
            </w:r>
          </w:p>
        </w:tc>
        <w:tc>
          <w:tcPr>
            <w:tcW w:w="1007" w:type="dxa"/>
            <w:gridSpan w:val="2"/>
            <w:vAlign w:val="center"/>
          </w:tcPr>
          <w:p>
            <w:pPr>
              <w:adjustRightInd w:val="0"/>
              <w:snapToGrid w:val="0"/>
              <w:jc w:val="center"/>
              <w:rPr>
                <w:rFonts w:hint="eastAsia" w:ascii="宋体" w:hAnsi="宋体" w:eastAsia="宋体" w:cs="宋体"/>
                <w:color w:val="auto"/>
                <w:sz w:val="21"/>
                <w:szCs w:val="21"/>
              </w:rPr>
            </w:pPr>
            <w:r>
              <w:rPr>
                <w:rFonts w:hint="eastAsia" w:ascii="宋体" w:hAnsi="宋体" w:eastAsia="宋体" w:cs="宋体"/>
                <w:color w:val="auto"/>
                <w:sz w:val="21"/>
                <w:szCs w:val="21"/>
                <w:lang w:eastAsia="zh-CN"/>
              </w:rPr>
              <w:t>不扣分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844" w:type="dxa"/>
            <w:vMerge w:val="continue"/>
            <w:vAlign w:val="center"/>
          </w:tcPr>
          <w:p>
            <w:pPr>
              <w:pStyle w:val="2"/>
              <w:adjustRightInd w:val="0"/>
              <w:snapToGrid w:val="0"/>
              <w:jc w:val="center"/>
              <w:rPr>
                <w:rFonts w:ascii="宋体" w:hAnsi="宋体" w:cs="宋体"/>
                <w:color w:val="auto"/>
                <w:sz w:val="21"/>
                <w:szCs w:val="21"/>
              </w:rPr>
            </w:pPr>
          </w:p>
        </w:tc>
        <w:tc>
          <w:tcPr>
            <w:tcW w:w="1664" w:type="dxa"/>
            <w:vMerge w:val="continue"/>
            <w:vAlign w:val="center"/>
          </w:tcPr>
          <w:p>
            <w:pPr>
              <w:pStyle w:val="2"/>
              <w:adjustRightInd w:val="0"/>
              <w:snapToGrid w:val="0"/>
              <w:jc w:val="center"/>
              <w:rPr>
                <w:rFonts w:ascii="宋体" w:hAnsi="宋体" w:cs="宋体"/>
                <w:color w:val="auto"/>
                <w:sz w:val="21"/>
                <w:szCs w:val="21"/>
              </w:rPr>
            </w:pPr>
          </w:p>
        </w:tc>
        <w:tc>
          <w:tcPr>
            <w:tcW w:w="5771" w:type="dxa"/>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未建立与岗位相匹配的全员安全生产责任制的，每涉及一个岗位扣</w:t>
            </w:r>
            <w:r>
              <w:rPr>
                <w:rFonts w:ascii="宋体" w:hAnsi="宋体" w:cs="宋体"/>
                <w:color w:val="auto"/>
                <w:sz w:val="21"/>
                <w:szCs w:val="21"/>
              </w:rPr>
              <w:t>2</w:t>
            </w:r>
            <w:r>
              <w:rPr>
                <w:rFonts w:hint="eastAsia" w:ascii="宋体" w:hAnsi="宋体" w:cs="宋体"/>
                <w:color w:val="auto"/>
                <w:sz w:val="21"/>
                <w:szCs w:val="21"/>
              </w:rPr>
              <w:t>分。</w:t>
            </w:r>
          </w:p>
        </w:tc>
        <w:tc>
          <w:tcPr>
            <w:tcW w:w="1007" w:type="dxa"/>
            <w:gridSpan w:val="2"/>
            <w:vAlign w:val="center"/>
          </w:tcPr>
          <w:p>
            <w:pPr>
              <w:adjustRightInd w:val="0"/>
              <w:snapToGrid w:val="0"/>
              <w:jc w:val="center"/>
              <w:rPr>
                <w:rFonts w:hint="eastAsia" w:ascii="宋体" w:hAnsi="宋体" w:eastAsia="宋体" w:cs="宋体"/>
                <w:color w:val="auto"/>
                <w:sz w:val="21"/>
                <w:szCs w:val="21"/>
              </w:rPr>
            </w:pPr>
            <w:r>
              <w:rPr>
                <w:rFonts w:hint="eastAsia" w:ascii="宋体" w:hAnsi="宋体" w:eastAsia="宋体" w:cs="宋体"/>
                <w:color w:val="auto"/>
                <w:sz w:val="21"/>
                <w:szCs w:val="21"/>
                <w:lang w:eastAsia="zh-CN"/>
              </w:rPr>
              <w:t>不扣分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02" w:hRule="atLeast"/>
          <w:jc w:val="center"/>
        </w:trPr>
        <w:tc>
          <w:tcPr>
            <w:tcW w:w="844" w:type="dxa"/>
            <w:vAlign w:val="center"/>
          </w:tcPr>
          <w:p>
            <w:pPr>
              <w:pStyle w:val="2"/>
              <w:adjustRightInd w:val="0"/>
              <w:snapToGrid w:val="0"/>
              <w:jc w:val="center"/>
              <w:rPr>
                <w:rFonts w:ascii="宋体" w:hAnsi="宋体" w:cs="宋体"/>
                <w:color w:val="auto"/>
                <w:sz w:val="21"/>
                <w:szCs w:val="21"/>
              </w:rPr>
            </w:pPr>
            <w:r>
              <w:rPr>
                <w:rFonts w:ascii="宋体" w:hAnsi="宋体" w:cs="宋体"/>
                <w:color w:val="auto"/>
                <w:sz w:val="21"/>
                <w:szCs w:val="21"/>
              </w:rPr>
              <w:t>8.</w:t>
            </w:r>
            <w:r>
              <w:rPr>
                <w:rFonts w:hint="eastAsia" w:ascii="宋体" w:hAnsi="宋体" w:cs="宋体"/>
                <w:color w:val="auto"/>
                <w:sz w:val="21"/>
                <w:szCs w:val="21"/>
              </w:rPr>
              <w:t>应急管理</w:t>
            </w:r>
          </w:p>
        </w:tc>
        <w:tc>
          <w:tcPr>
            <w:tcW w:w="1664" w:type="dxa"/>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应急配备</w:t>
            </w:r>
          </w:p>
        </w:tc>
        <w:tc>
          <w:tcPr>
            <w:tcW w:w="5771" w:type="dxa"/>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企业自设专职消防应急队伍的，加</w:t>
            </w:r>
            <w:r>
              <w:rPr>
                <w:rFonts w:ascii="宋体" w:hAnsi="宋体" w:cs="宋体"/>
                <w:color w:val="auto"/>
                <w:sz w:val="21"/>
                <w:szCs w:val="21"/>
              </w:rPr>
              <w:t>3</w:t>
            </w:r>
            <w:r>
              <w:rPr>
                <w:rFonts w:hint="eastAsia" w:ascii="宋体" w:hAnsi="宋体" w:cs="宋体"/>
                <w:color w:val="auto"/>
                <w:sz w:val="21"/>
                <w:szCs w:val="21"/>
              </w:rPr>
              <w:t>分。</w:t>
            </w:r>
          </w:p>
        </w:tc>
        <w:tc>
          <w:tcPr>
            <w:tcW w:w="1007" w:type="dxa"/>
            <w:gridSpan w:val="2"/>
            <w:vAlign w:val="center"/>
          </w:tcPr>
          <w:p>
            <w:pPr>
              <w:adjustRightInd w:val="0"/>
              <w:snapToGrid w:val="0"/>
              <w:jc w:val="center"/>
              <w:rPr>
                <w:rFonts w:hint="eastAsia" w:ascii="宋体" w:hAnsi="宋体" w:eastAsia="宋体" w:cs="宋体"/>
                <w:color w:val="auto"/>
                <w:sz w:val="21"/>
                <w:szCs w:val="21"/>
              </w:rPr>
            </w:pPr>
            <w:r>
              <w:rPr>
                <w:rFonts w:hint="eastAsia" w:ascii="宋体" w:hAnsi="宋体" w:eastAsia="宋体" w:cs="宋体"/>
                <w:color w:val="auto"/>
                <w:sz w:val="21"/>
                <w:szCs w:val="21"/>
                <w:lang w:eastAsia="zh-CN"/>
              </w:rPr>
              <w:t>不扣分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844" w:type="dxa"/>
            <w:vMerge w:val="restart"/>
            <w:vAlign w:val="center"/>
          </w:tcPr>
          <w:p>
            <w:pPr>
              <w:pStyle w:val="2"/>
              <w:adjustRightInd w:val="0"/>
              <w:snapToGrid w:val="0"/>
              <w:jc w:val="center"/>
              <w:rPr>
                <w:rFonts w:ascii="宋体" w:hAnsi="宋体" w:cs="宋体"/>
                <w:color w:val="auto"/>
                <w:sz w:val="21"/>
                <w:szCs w:val="21"/>
              </w:rPr>
            </w:pPr>
            <w:r>
              <w:rPr>
                <w:rFonts w:ascii="宋体" w:hAnsi="宋体" w:cs="宋体"/>
                <w:color w:val="auto"/>
                <w:sz w:val="21"/>
                <w:szCs w:val="21"/>
              </w:rPr>
              <w:t>9.</w:t>
            </w:r>
            <w:r>
              <w:rPr>
                <w:rFonts w:hint="eastAsia" w:ascii="宋体" w:hAnsi="宋体" w:cs="宋体"/>
                <w:color w:val="auto"/>
                <w:sz w:val="21"/>
                <w:szCs w:val="21"/>
              </w:rPr>
              <w:t>安全管理绩效</w:t>
            </w:r>
          </w:p>
        </w:tc>
        <w:tc>
          <w:tcPr>
            <w:tcW w:w="1664" w:type="dxa"/>
            <w:vMerge w:val="restart"/>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安全生产标准化达标</w:t>
            </w:r>
          </w:p>
        </w:tc>
        <w:tc>
          <w:tcPr>
            <w:tcW w:w="5771" w:type="dxa"/>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安全生产标准化为一级的，加</w:t>
            </w:r>
            <w:r>
              <w:rPr>
                <w:rFonts w:ascii="宋体" w:hAnsi="宋体" w:cs="宋体"/>
                <w:color w:val="auto"/>
                <w:sz w:val="21"/>
                <w:szCs w:val="21"/>
              </w:rPr>
              <w:t>15</w:t>
            </w:r>
            <w:r>
              <w:rPr>
                <w:rFonts w:hint="eastAsia" w:ascii="宋体" w:hAnsi="宋体" w:cs="宋体"/>
                <w:color w:val="auto"/>
                <w:sz w:val="21"/>
                <w:szCs w:val="21"/>
              </w:rPr>
              <w:t>分；</w:t>
            </w:r>
          </w:p>
        </w:tc>
        <w:tc>
          <w:tcPr>
            <w:tcW w:w="1007" w:type="dxa"/>
            <w:gridSpan w:val="2"/>
            <w:vAlign w:val="center"/>
          </w:tcPr>
          <w:p>
            <w:pPr>
              <w:adjustRightInd w:val="0"/>
              <w:snapToGrid w:val="0"/>
              <w:jc w:val="center"/>
              <w:rPr>
                <w:rFonts w:hint="eastAsia" w:ascii="宋体" w:hAnsi="宋体" w:eastAsia="宋体" w:cs="宋体"/>
                <w:color w:val="auto"/>
                <w:sz w:val="21"/>
                <w:szCs w:val="21"/>
              </w:rPr>
            </w:pPr>
            <w:r>
              <w:rPr>
                <w:rFonts w:hint="eastAsia" w:ascii="宋体" w:hAnsi="宋体" w:eastAsia="宋体" w:cs="宋体"/>
                <w:color w:val="auto"/>
                <w:sz w:val="21"/>
                <w:szCs w:val="21"/>
                <w:lang w:eastAsia="zh-CN"/>
              </w:rPr>
              <w:t>不扣分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jc w:val="center"/>
        </w:trPr>
        <w:tc>
          <w:tcPr>
            <w:tcW w:w="844" w:type="dxa"/>
            <w:vMerge w:val="continue"/>
            <w:vAlign w:val="center"/>
          </w:tcPr>
          <w:p>
            <w:pPr>
              <w:pStyle w:val="2"/>
              <w:adjustRightInd w:val="0"/>
              <w:snapToGrid w:val="0"/>
              <w:jc w:val="center"/>
              <w:rPr>
                <w:rFonts w:ascii="宋体" w:hAnsi="宋体" w:cs="宋体"/>
                <w:color w:val="auto"/>
                <w:sz w:val="21"/>
                <w:szCs w:val="21"/>
              </w:rPr>
            </w:pPr>
          </w:p>
        </w:tc>
        <w:tc>
          <w:tcPr>
            <w:tcW w:w="1664" w:type="dxa"/>
            <w:vMerge w:val="continue"/>
            <w:vAlign w:val="center"/>
          </w:tcPr>
          <w:p>
            <w:pPr>
              <w:pStyle w:val="2"/>
              <w:adjustRightInd w:val="0"/>
              <w:snapToGrid w:val="0"/>
              <w:jc w:val="center"/>
              <w:rPr>
                <w:rFonts w:ascii="宋体" w:hAnsi="宋体" w:cs="宋体"/>
                <w:color w:val="auto"/>
                <w:sz w:val="21"/>
                <w:szCs w:val="21"/>
              </w:rPr>
            </w:pPr>
          </w:p>
        </w:tc>
        <w:tc>
          <w:tcPr>
            <w:tcW w:w="5771" w:type="dxa"/>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安全生产标准化为二级的，加</w:t>
            </w:r>
            <w:r>
              <w:rPr>
                <w:rFonts w:ascii="宋体" w:hAnsi="宋体" w:cs="宋体"/>
                <w:color w:val="auto"/>
                <w:sz w:val="21"/>
                <w:szCs w:val="21"/>
              </w:rPr>
              <w:t>5</w:t>
            </w:r>
            <w:r>
              <w:rPr>
                <w:rFonts w:hint="eastAsia" w:ascii="宋体" w:hAnsi="宋体" w:cs="宋体"/>
                <w:color w:val="auto"/>
                <w:sz w:val="21"/>
                <w:szCs w:val="21"/>
              </w:rPr>
              <w:t>分；</w:t>
            </w:r>
          </w:p>
        </w:tc>
        <w:tc>
          <w:tcPr>
            <w:tcW w:w="1007" w:type="dxa"/>
            <w:gridSpan w:val="2"/>
            <w:vAlign w:val="center"/>
          </w:tcPr>
          <w:p>
            <w:pPr>
              <w:adjustRightInd w:val="0"/>
              <w:snapToGrid w:val="0"/>
              <w:jc w:val="center"/>
              <w:rPr>
                <w:rFonts w:hint="eastAsia" w:ascii="宋体" w:hAnsi="宋体" w:eastAsia="宋体" w:cs="宋体"/>
                <w:color w:val="auto"/>
                <w:sz w:val="21"/>
                <w:szCs w:val="21"/>
              </w:rPr>
            </w:pPr>
            <w:r>
              <w:rPr>
                <w:rFonts w:hint="eastAsia" w:ascii="宋体" w:hAnsi="宋体" w:eastAsia="宋体" w:cs="宋体"/>
                <w:color w:val="auto"/>
                <w:sz w:val="21"/>
                <w:szCs w:val="21"/>
                <w:lang w:eastAsia="zh-CN"/>
              </w:rPr>
              <w:t>不扣分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jc w:val="center"/>
        </w:trPr>
        <w:tc>
          <w:tcPr>
            <w:tcW w:w="844" w:type="dxa"/>
            <w:vMerge w:val="continue"/>
            <w:vAlign w:val="center"/>
          </w:tcPr>
          <w:p>
            <w:pPr>
              <w:pStyle w:val="2"/>
              <w:adjustRightInd w:val="0"/>
              <w:snapToGrid w:val="0"/>
              <w:jc w:val="center"/>
              <w:rPr>
                <w:rFonts w:ascii="宋体" w:hAnsi="宋体" w:cs="宋体"/>
                <w:color w:val="auto"/>
                <w:sz w:val="21"/>
                <w:szCs w:val="21"/>
              </w:rPr>
            </w:pPr>
          </w:p>
        </w:tc>
        <w:tc>
          <w:tcPr>
            <w:tcW w:w="1664" w:type="dxa"/>
            <w:vMerge w:val="continue"/>
            <w:vAlign w:val="center"/>
          </w:tcPr>
          <w:p>
            <w:pPr>
              <w:pStyle w:val="2"/>
              <w:adjustRightInd w:val="0"/>
              <w:snapToGrid w:val="0"/>
              <w:jc w:val="center"/>
              <w:rPr>
                <w:rFonts w:ascii="宋体" w:hAnsi="宋体" w:cs="宋体"/>
                <w:color w:val="auto"/>
                <w:sz w:val="21"/>
                <w:szCs w:val="21"/>
              </w:rPr>
            </w:pPr>
          </w:p>
        </w:tc>
        <w:tc>
          <w:tcPr>
            <w:tcW w:w="5771" w:type="dxa"/>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安全生产标准化为三级的，加</w:t>
            </w:r>
            <w:r>
              <w:rPr>
                <w:rFonts w:ascii="宋体" w:hAnsi="宋体" w:cs="宋体"/>
                <w:color w:val="auto"/>
                <w:sz w:val="21"/>
                <w:szCs w:val="21"/>
              </w:rPr>
              <w:t>2</w:t>
            </w:r>
            <w:r>
              <w:rPr>
                <w:rFonts w:hint="eastAsia" w:ascii="宋体" w:hAnsi="宋体" w:cs="宋体"/>
                <w:color w:val="auto"/>
                <w:sz w:val="21"/>
                <w:szCs w:val="21"/>
              </w:rPr>
              <w:t>分。</w:t>
            </w:r>
          </w:p>
        </w:tc>
        <w:tc>
          <w:tcPr>
            <w:tcW w:w="1007" w:type="dxa"/>
            <w:gridSpan w:val="2"/>
            <w:vAlign w:val="center"/>
          </w:tcPr>
          <w:p>
            <w:pPr>
              <w:adjustRightInd w:val="0"/>
              <w:snapToGrid w:val="0"/>
              <w:jc w:val="center"/>
              <w:rPr>
                <w:rFonts w:hint="eastAsia" w:ascii="宋体" w:hAnsi="宋体" w:eastAsia="宋体" w:cs="宋体"/>
                <w:color w:val="auto"/>
                <w:sz w:val="21"/>
                <w:szCs w:val="21"/>
              </w:rPr>
            </w:pPr>
            <w:r>
              <w:rPr>
                <w:rFonts w:hint="eastAsia" w:ascii="宋体" w:hAnsi="宋体" w:eastAsia="宋体" w:cs="宋体"/>
                <w:color w:val="auto"/>
                <w:sz w:val="21"/>
                <w:szCs w:val="21"/>
                <w:lang w:eastAsia="zh-CN"/>
              </w:rPr>
              <w:t>不扣分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844" w:type="dxa"/>
            <w:vMerge w:val="continue"/>
            <w:vAlign w:val="center"/>
          </w:tcPr>
          <w:p>
            <w:pPr>
              <w:pStyle w:val="2"/>
              <w:adjustRightInd w:val="0"/>
              <w:snapToGrid w:val="0"/>
              <w:jc w:val="center"/>
              <w:rPr>
                <w:rFonts w:ascii="宋体" w:hAnsi="宋体" w:cs="宋体"/>
                <w:color w:val="auto"/>
                <w:sz w:val="21"/>
                <w:szCs w:val="21"/>
              </w:rPr>
            </w:pPr>
          </w:p>
        </w:tc>
        <w:tc>
          <w:tcPr>
            <w:tcW w:w="1664" w:type="dxa"/>
            <w:vMerge w:val="restart"/>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安全事故情况</w:t>
            </w:r>
          </w:p>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w:t>
            </w:r>
            <w:r>
              <w:rPr>
                <w:rFonts w:ascii="宋体" w:hAnsi="宋体" w:cs="宋体"/>
                <w:color w:val="auto"/>
                <w:sz w:val="21"/>
                <w:szCs w:val="21"/>
              </w:rPr>
              <w:t>10</w:t>
            </w:r>
            <w:r>
              <w:rPr>
                <w:rFonts w:hint="eastAsia" w:ascii="宋体" w:hAnsi="宋体" w:cs="宋体"/>
                <w:color w:val="auto"/>
                <w:sz w:val="21"/>
                <w:szCs w:val="21"/>
              </w:rPr>
              <w:t>分）</w:t>
            </w:r>
          </w:p>
        </w:tc>
        <w:tc>
          <w:tcPr>
            <w:tcW w:w="5771" w:type="dxa"/>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三年内发生过</w:t>
            </w:r>
            <w:r>
              <w:rPr>
                <w:rFonts w:ascii="宋体" w:hAnsi="宋体" w:cs="宋体"/>
                <w:color w:val="auto"/>
                <w:sz w:val="21"/>
                <w:szCs w:val="21"/>
              </w:rPr>
              <w:t>1</w:t>
            </w:r>
            <w:r>
              <w:rPr>
                <w:rFonts w:hint="eastAsia" w:ascii="宋体" w:hAnsi="宋体" w:cs="宋体"/>
                <w:color w:val="auto"/>
                <w:sz w:val="21"/>
                <w:szCs w:val="21"/>
              </w:rPr>
              <w:t>起较大安全事故的，扣</w:t>
            </w:r>
            <w:r>
              <w:rPr>
                <w:rFonts w:ascii="宋体" w:hAnsi="宋体" w:cs="宋体"/>
                <w:color w:val="auto"/>
                <w:sz w:val="21"/>
                <w:szCs w:val="21"/>
              </w:rPr>
              <w:t>10</w:t>
            </w:r>
            <w:r>
              <w:rPr>
                <w:rFonts w:hint="eastAsia" w:ascii="宋体" w:hAnsi="宋体" w:cs="宋体"/>
                <w:color w:val="auto"/>
                <w:sz w:val="21"/>
                <w:szCs w:val="21"/>
              </w:rPr>
              <w:t>分</w:t>
            </w:r>
            <w:r>
              <w:rPr>
                <w:rFonts w:ascii="宋体" w:hAnsi="宋体" w:cs="宋体"/>
                <w:color w:val="auto"/>
                <w:sz w:val="21"/>
                <w:szCs w:val="21"/>
              </w:rPr>
              <w:t>;</w:t>
            </w:r>
          </w:p>
        </w:tc>
        <w:tc>
          <w:tcPr>
            <w:tcW w:w="1007" w:type="dxa"/>
            <w:gridSpan w:val="2"/>
            <w:vAlign w:val="center"/>
          </w:tcPr>
          <w:p>
            <w:pPr>
              <w:adjustRightInd w:val="0"/>
              <w:snapToGrid w:val="0"/>
              <w:jc w:val="center"/>
              <w:rPr>
                <w:rFonts w:hint="eastAsia" w:ascii="宋体" w:hAnsi="宋体" w:eastAsia="宋体" w:cs="宋体"/>
                <w:color w:val="auto"/>
                <w:sz w:val="21"/>
                <w:szCs w:val="21"/>
              </w:rPr>
            </w:pPr>
            <w:r>
              <w:rPr>
                <w:rFonts w:hint="eastAsia" w:ascii="宋体" w:hAnsi="宋体" w:eastAsia="宋体" w:cs="宋体"/>
                <w:color w:val="auto"/>
                <w:sz w:val="21"/>
                <w:szCs w:val="21"/>
                <w:lang w:eastAsia="zh-CN"/>
              </w:rPr>
              <w:t>不扣分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844" w:type="dxa"/>
            <w:vMerge w:val="continue"/>
            <w:vAlign w:val="center"/>
          </w:tcPr>
          <w:p>
            <w:pPr>
              <w:pStyle w:val="2"/>
              <w:adjustRightInd w:val="0"/>
              <w:snapToGrid w:val="0"/>
              <w:jc w:val="center"/>
              <w:rPr>
                <w:rFonts w:ascii="宋体" w:hAnsi="宋体" w:cs="宋体"/>
                <w:color w:val="auto"/>
                <w:sz w:val="21"/>
                <w:szCs w:val="21"/>
              </w:rPr>
            </w:pPr>
          </w:p>
        </w:tc>
        <w:tc>
          <w:tcPr>
            <w:tcW w:w="1664" w:type="dxa"/>
            <w:vMerge w:val="continue"/>
            <w:vAlign w:val="center"/>
          </w:tcPr>
          <w:p>
            <w:pPr>
              <w:pStyle w:val="2"/>
              <w:adjustRightInd w:val="0"/>
              <w:snapToGrid w:val="0"/>
              <w:jc w:val="center"/>
              <w:rPr>
                <w:rFonts w:ascii="宋体" w:hAnsi="宋体" w:cs="宋体"/>
                <w:color w:val="auto"/>
                <w:sz w:val="21"/>
                <w:szCs w:val="21"/>
              </w:rPr>
            </w:pPr>
          </w:p>
        </w:tc>
        <w:tc>
          <w:tcPr>
            <w:tcW w:w="5771" w:type="dxa"/>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三年内发生过</w:t>
            </w:r>
            <w:r>
              <w:rPr>
                <w:rFonts w:ascii="宋体" w:hAnsi="宋体" w:cs="宋体"/>
                <w:color w:val="auto"/>
                <w:sz w:val="21"/>
                <w:szCs w:val="21"/>
              </w:rPr>
              <w:t>1</w:t>
            </w:r>
            <w:r>
              <w:rPr>
                <w:rFonts w:hint="eastAsia" w:ascii="宋体" w:hAnsi="宋体" w:cs="宋体"/>
                <w:color w:val="auto"/>
                <w:sz w:val="21"/>
                <w:szCs w:val="21"/>
              </w:rPr>
              <w:t>起安全事故造成</w:t>
            </w:r>
            <w:r>
              <w:rPr>
                <w:rFonts w:ascii="宋体" w:hAnsi="宋体" w:cs="宋体"/>
                <w:color w:val="auto"/>
                <w:sz w:val="21"/>
                <w:szCs w:val="21"/>
              </w:rPr>
              <w:t>1-2</w:t>
            </w:r>
            <w:r>
              <w:rPr>
                <w:rFonts w:hint="eastAsia" w:ascii="宋体" w:hAnsi="宋体" w:cs="宋体"/>
                <w:color w:val="auto"/>
                <w:sz w:val="21"/>
                <w:szCs w:val="21"/>
              </w:rPr>
              <w:t>人死亡的，扣</w:t>
            </w:r>
            <w:r>
              <w:rPr>
                <w:rFonts w:ascii="宋体" w:hAnsi="宋体" w:cs="宋体"/>
                <w:color w:val="auto"/>
                <w:sz w:val="21"/>
                <w:szCs w:val="21"/>
              </w:rPr>
              <w:t>8</w:t>
            </w:r>
            <w:r>
              <w:rPr>
                <w:rFonts w:hint="eastAsia" w:ascii="宋体" w:hAnsi="宋体" w:cs="宋体"/>
                <w:color w:val="auto"/>
                <w:sz w:val="21"/>
                <w:szCs w:val="21"/>
              </w:rPr>
              <w:t>分</w:t>
            </w:r>
            <w:r>
              <w:rPr>
                <w:rFonts w:ascii="宋体" w:hAnsi="宋体" w:cs="宋体"/>
                <w:color w:val="auto"/>
                <w:sz w:val="21"/>
                <w:szCs w:val="21"/>
              </w:rPr>
              <w:t>;</w:t>
            </w:r>
          </w:p>
        </w:tc>
        <w:tc>
          <w:tcPr>
            <w:tcW w:w="1007" w:type="dxa"/>
            <w:gridSpan w:val="2"/>
            <w:vAlign w:val="center"/>
          </w:tcPr>
          <w:p>
            <w:pPr>
              <w:adjustRightInd w:val="0"/>
              <w:snapToGrid w:val="0"/>
              <w:jc w:val="center"/>
              <w:rPr>
                <w:rFonts w:hint="eastAsia" w:ascii="宋体" w:hAnsi="宋体" w:eastAsia="宋体" w:cs="宋体"/>
                <w:color w:val="auto"/>
                <w:sz w:val="21"/>
                <w:szCs w:val="21"/>
              </w:rPr>
            </w:pPr>
            <w:r>
              <w:rPr>
                <w:rFonts w:hint="eastAsia" w:ascii="宋体" w:hAnsi="宋体" w:eastAsia="宋体" w:cs="宋体"/>
                <w:color w:val="auto"/>
                <w:sz w:val="21"/>
                <w:szCs w:val="21"/>
                <w:lang w:eastAsia="zh-CN"/>
              </w:rPr>
              <w:t>不扣分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844" w:type="dxa"/>
            <w:vMerge w:val="continue"/>
            <w:vAlign w:val="center"/>
          </w:tcPr>
          <w:p>
            <w:pPr>
              <w:pStyle w:val="2"/>
              <w:adjustRightInd w:val="0"/>
              <w:snapToGrid w:val="0"/>
              <w:jc w:val="center"/>
              <w:rPr>
                <w:rFonts w:ascii="宋体" w:hAnsi="宋体" w:cs="宋体"/>
                <w:color w:val="auto"/>
                <w:sz w:val="21"/>
                <w:szCs w:val="21"/>
              </w:rPr>
            </w:pPr>
          </w:p>
        </w:tc>
        <w:tc>
          <w:tcPr>
            <w:tcW w:w="1664" w:type="dxa"/>
            <w:vMerge w:val="continue"/>
            <w:vAlign w:val="center"/>
          </w:tcPr>
          <w:p>
            <w:pPr>
              <w:pStyle w:val="2"/>
              <w:adjustRightInd w:val="0"/>
              <w:snapToGrid w:val="0"/>
              <w:jc w:val="center"/>
              <w:rPr>
                <w:rFonts w:ascii="宋体" w:hAnsi="宋体" w:cs="宋体"/>
                <w:color w:val="auto"/>
                <w:sz w:val="21"/>
                <w:szCs w:val="21"/>
              </w:rPr>
            </w:pPr>
          </w:p>
        </w:tc>
        <w:tc>
          <w:tcPr>
            <w:tcW w:w="5771" w:type="dxa"/>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三年内发生过爆炸、着火、中毒等具有社会影响的安全事故，但未造成人员伤亡的，扣</w:t>
            </w:r>
            <w:r>
              <w:rPr>
                <w:rFonts w:ascii="宋体" w:hAnsi="宋体" w:cs="宋体"/>
                <w:color w:val="auto"/>
                <w:sz w:val="21"/>
                <w:szCs w:val="21"/>
              </w:rPr>
              <w:t>5</w:t>
            </w:r>
            <w:r>
              <w:rPr>
                <w:rFonts w:hint="eastAsia" w:ascii="宋体" w:hAnsi="宋体" w:cs="宋体"/>
                <w:color w:val="auto"/>
                <w:sz w:val="21"/>
                <w:szCs w:val="21"/>
              </w:rPr>
              <w:t>分</w:t>
            </w:r>
            <w:r>
              <w:rPr>
                <w:rFonts w:ascii="宋体" w:hAnsi="宋体" w:cs="宋体"/>
                <w:color w:val="auto"/>
                <w:sz w:val="21"/>
                <w:szCs w:val="21"/>
              </w:rPr>
              <w:t>;</w:t>
            </w:r>
          </w:p>
        </w:tc>
        <w:tc>
          <w:tcPr>
            <w:tcW w:w="1007" w:type="dxa"/>
            <w:gridSpan w:val="2"/>
            <w:vAlign w:val="center"/>
          </w:tcPr>
          <w:p>
            <w:pPr>
              <w:adjustRightInd w:val="0"/>
              <w:snapToGrid w:val="0"/>
              <w:jc w:val="center"/>
              <w:rPr>
                <w:rFonts w:hint="eastAsia" w:ascii="宋体" w:hAnsi="宋体" w:eastAsia="宋体" w:cs="宋体"/>
                <w:color w:val="auto"/>
                <w:sz w:val="21"/>
                <w:szCs w:val="21"/>
              </w:rPr>
            </w:pPr>
            <w:r>
              <w:rPr>
                <w:rFonts w:hint="eastAsia" w:ascii="宋体" w:hAnsi="宋体" w:eastAsia="宋体" w:cs="宋体"/>
                <w:color w:val="auto"/>
                <w:sz w:val="21"/>
                <w:szCs w:val="21"/>
                <w:lang w:eastAsia="zh-CN"/>
              </w:rPr>
              <w:t>不扣分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56" w:hRule="atLeast"/>
          <w:jc w:val="center"/>
        </w:trPr>
        <w:tc>
          <w:tcPr>
            <w:tcW w:w="844" w:type="dxa"/>
            <w:vMerge w:val="continue"/>
            <w:vAlign w:val="center"/>
          </w:tcPr>
          <w:p>
            <w:pPr>
              <w:pStyle w:val="2"/>
              <w:adjustRightInd w:val="0"/>
              <w:snapToGrid w:val="0"/>
              <w:jc w:val="center"/>
              <w:rPr>
                <w:rFonts w:ascii="宋体" w:hAnsi="宋体" w:cs="宋体"/>
                <w:color w:val="auto"/>
                <w:sz w:val="21"/>
                <w:szCs w:val="21"/>
              </w:rPr>
            </w:pPr>
          </w:p>
        </w:tc>
        <w:tc>
          <w:tcPr>
            <w:tcW w:w="1664" w:type="dxa"/>
            <w:vMerge w:val="continue"/>
            <w:vAlign w:val="center"/>
          </w:tcPr>
          <w:p>
            <w:pPr>
              <w:pStyle w:val="2"/>
              <w:adjustRightInd w:val="0"/>
              <w:snapToGrid w:val="0"/>
              <w:jc w:val="center"/>
              <w:rPr>
                <w:rFonts w:ascii="宋体" w:hAnsi="宋体" w:cs="宋体"/>
                <w:color w:val="auto"/>
                <w:sz w:val="21"/>
                <w:szCs w:val="21"/>
              </w:rPr>
            </w:pPr>
          </w:p>
        </w:tc>
        <w:tc>
          <w:tcPr>
            <w:tcW w:w="5771" w:type="dxa"/>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五年内未发生安全事故的，加</w:t>
            </w:r>
            <w:r>
              <w:rPr>
                <w:rFonts w:ascii="宋体" w:hAnsi="宋体" w:cs="宋体"/>
                <w:color w:val="auto"/>
                <w:sz w:val="21"/>
                <w:szCs w:val="21"/>
              </w:rPr>
              <w:t>5</w:t>
            </w:r>
            <w:r>
              <w:rPr>
                <w:rFonts w:hint="eastAsia" w:ascii="宋体" w:hAnsi="宋体" w:cs="宋体"/>
                <w:color w:val="auto"/>
                <w:sz w:val="21"/>
                <w:szCs w:val="21"/>
              </w:rPr>
              <w:t>分。</w:t>
            </w:r>
          </w:p>
        </w:tc>
        <w:tc>
          <w:tcPr>
            <w:tcW w:w="1007" w:type="dxa"/>
            <w:gridSpan w:val="2"/>
            <w:vAlign w:val="center"/>
          </w:tcPr>
          <w:p>
            <w:pPr>
              <w:pStyle w:val="2"/>
              <w:adjustRightInd w:val="0"/>
              <w:snapToGrid w:val="0"/>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eastAsia="zh-CN"/>
              </w:rPr>
              <w:t>加</w:t>
            </w:r>
            <w:r>
              <w:rPr>
                <w:rFonts w:hint="eastAsia" w:ascii="宋体" w:hAnsi="宋体" w:eastAsia="宋体" w:cs="宋体"/>
                <w:color w:val="auto"/>
                <w:sz w:val="21"/>
                <w:szCs w:val="21"/>
                <w:lang w:val="en-US" w:eastAsia="zh-CN"/>
              </w:rPr>
              <w:t>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78" w:hRule="atLeast"/>
          <w:jc w:val="center"/>
        </w:trPr>
        <w:tc>
          <w:tcPr>
            <w:tcW w:w="9286" w:type="dxa"/>
            <w:gridSpan w:val="5"/>
            <w:vAlign w:val="center"/>
          </w:tcPr>
          <w:p>
            <w:pPr>
              <w:widowControl/>
              <w:spacing w:line="360" w:lineRule="auto"/>
              <w:jc w:val="center"/>
              <w:rPr>
                <w:rFonts w:ascii="宋体" w:hAnsi="宋体" w:eastAsia="宋体" w:cs="宋体"/>
                <w:color w:val="auto"/>
                <w:sz w:val="21"/>
                <w:szCs w:val="21"/>
              </w:rPr>
            </w:pPr>
            <w:r>
              <w:rPr>
                <w:rFonts w:hint="eastAsia" w:ascii="宋体" w:hAnsi="宋体" w:eastAsia="宋体" w:cs="宋体"/>
                <w:color w:val="auto"/>
                <w:sz w:val="21"/>
                <w:szCs w:val="21"/>
              </w:rPr>
              <w:t>存在下列情况之一的企业直接判定为红色（最高风险等级）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 w:hRule="atLeast"/>
          <w:jc w:val="center"/>
        </w:trPr>
        <w:tc>
          <w:tcPr>
            <w:tcW w:w="8688" w:type="dxa"/>
            <w:gridSpan w:val="4"/>
            <w:vAlign w:val="center"/>
          </w:tcPr>
          <w:p>
            <w:pPr>
              <w:widowControl/>
              <w:spacing w:line="360" w:lineRule="exact"/>
              <w:rPr>
                <w:rFonts w:ascii="宋体" w:hAnsi="宋体" w:eastAsia="宋体" w:cs="宋体"/>
                <w:color w:val="auto"/>
                <w:sz w:val="21"/>
                <w:szCs w:val="21"/>
              </w:rPr>
            </w:pPr>
            <w:r>
              <w:rPr>
                <w:rFonts w:hint="eastAsia" w:ascii="宋体" w:hAnsi="宋体" w:eastAsia="宋体" w:cs="宋体"/>
                <w:color w:val="auto"/>
                <w:sz w:val="21"/>
                <w:szCs w:val="21"/>
              </w:rPr>
              <w:t>新开发的危险化学品生产工艺未经小试、中试和工业化试验直接进行工业化生产的；</w:t>
            </w:r>
            <w:r>
              <w:rPr>
                <w:rFonts w:ascii="宋体" w:hAnsi="宋体" w:eastAsia="宋体" w:cs="宋体"/>
                <w:color w:val="auto"/>
                <w:sz w:val="21"/>
                <w:szCs w:val="21"/>
              </w:rPr>
              <w:t xml:space="preserve"> </w:t>
            </w:r>
          </w:p>
        </w:tc>
        <w:tc>
          <w:tcPr>
            <w:tcW w:w="598" w:type="dxa"/>
          </w:tcPr>
          <w:p>
            <w:pPr>
              <w:widowControl/>
              <w:spacing w:line="360" w:lineRule="auto"/>
              <w:rPr>
                <w:rFonts w:ascii="宋体" w:hAnsi="宋体" w:eastAsia="宋体" w:cs="宋体"/>
                <w:color w:val="auto"/>
                <w:sz w:val="21"/>
                <w:szCs w:val="21"/>
              </w:rPr>
            </w:pPr>
            <w:r>
              <w:rPr>
                <w:rFonts w:hint="eastAsia" w:ascii="宋体" w:hAnsi="宋体" w:eastAsia="宋体" w:cs="宋体"/>
                <w:color w:val="auto"/>
                <w:sz w:val="21"/>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8688" w:type="dxa"/>
            <w:gridSpan w:val="4"/>
            <w:vAlign w:val="center"/>
          </w:tcPr>
          <w:p>
            <w:pPr>
              <w:widowControl/>
              <w:spacing w:line="360" w:lineRule="exact"/>
              <w:rPr>
                <w:rFonts w:ascii="宋体" w:hAnsi="宋体" w:eastAsia="宋体" w:cs="宋体"/>
                <w:color w:val="auto"/>
                <w:sz w:val="21"/>
                <w:szCs w:val="21"/>
              </w:rPr>
            </w:pPr>
            <w:r>
              <w:rPr>
                <w:rFonts w:hint="eastAsia" w:ascii="宋体" w:hAnsi="宋体" w:eastAsia="宋体" w:cs="宋体"/>
                <w:color w:val="auto"/>
                <w:sz w:val="21"/>
                <w:szCs w:val="21"/>
              </w:rPr>
              <w:t>在役化工装置未经正规设计且未进行安全设计诊断的；</w:t>
            </w:r>
          </w:p>
        </w:tc>
        <w:tc>
          <w:tcPr>
            <w:tcW w:w="598" w:type="dxa"/>
          </w:tcPr>
          <w:p>
            <w:pPr>
              <w:widowControl/>
              <w:spacing w:line="360" w:lineRule="auto"/>
              <w:rPr>
                <w:rFonts w:ascii="宋体" w:hAnsi="宋体" w:eastAsia="宋体" w:cs="宋体"/>
                <w:color w:val="auto"/>
                <w:sz w:val="21"/>
                <w:szCs w:val="21"/>
              </w:rPr>
            </w:pPr>
            <w:r>
              <w:rPr>
                <w:rFonts w:hint="eastAsia" w:ascii="宋体" w:hAnsi="宋体" w:eastAsia="宋体" w:cs="宋体"/>
                <w:color w:val="auto"/>
                <w:sz w:val="21"/>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8688" w:type="dxa"/>
            <w:gridSpan w:val="4"/>
            <w:vAlign w:val="center"/>
          </w:tcPr>
          <w:p>
            <w:pPr>
              <w:widowControl/>
              <w:spacing w:line="360" w:lineRule="exact"/>
              <w:rPr>
                <w:rFonts w:ascii="宋体" w:hAnsi="宋体" w:eastAsia="宋体" w:cs="宋体"/>
                <w:color w:val="auto"/>
                <w:sz w:val="21"/>
                <w:szCs w:val="21"/>
              </w:rPr>
            </w:pPr>
            <w:r>
              <w:rPr>
                <w:rFonts w:hint="eastAsia" w:ascii="宋体" w:hAnsi="宋体" w:eastAsia="宋体" w:cs="宋体"/>
                <w:color w:val="auto"/>
                <w:sz w:val="21"/>
                <w:szCs w:val="21"/>
              </w:rPr>
              <w:t>危险化学品特种作业人员未持有效证件上岗或者未达到高中以上文化程度的</w:t>
            </w:r>
            <w:r>
              <w:rPr>
                <w:rFonts w:ascii="宋体" w:hAnsi="宋体" w:eastAsia="宋体" w:cs="宋体"/>
                <w:color w:val="auto"/>
                <w:sz w:val="21"/>
                <w:szCs w:val="21"/>
              </w:rPr>
              <w:t xml:space="preserve">; </w:t>
            </w:r>
          </w:p>
        </w:tc>
        <w:tc>
          <w:tcPr>
            <w:tcW w:w="598" w:type="dxa"/>
          </w:tcPr>
          <w:p>
            <w:pPr>
              <w:widowControl/>
              <w:spacing w:line="360" w:lineRule="auto"/>
              <w:rPr>
                <w:rFonts w:ascii="宋体" w:hAnsi="宋体" w:eastAsia="宋体" w:cs="宋体"/>
                <w:color w:val="auto"/>
                <w:sz w:val="21"/>
                <w:szCs w:val="21"/>
              </w:rPr>
            </w:pPr>
            <w:r>
              <w:rPr>
                <w:rFonts w:hint="eastAsia" w:ascii="宋体" w:hAnsi="宋体" w:eastAsia="宋体" w:cs="宋体"/>
                <w:color w:val="auto"/>
                <w:sz w:val="21"/>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8688" w:type="dxa"/>
            <w:gridSpan w:val="4"/>
            <w:vAlign w:val="center"/>
          </w:tcPr>
          <w:p>
            <w:pPr>
              <w:widowControl/>
              <w:spacing w:line="360" w:lineRule="exact"/>
              <w:rPr>
                <w:rFonts w:ascii="宋体" w:hAnsi="宋体" w:eastAsia="宋体" w:cs="宋体"/>
                <w:color w:val="auto"/>
                <w:sz w:val="21"/>
                <w:szCs w:val="21"/>
              </w:rPr>
            </w:pPr>
            <w:r>
              <w:rPr>
                <w:rFonts w:hint="eastAsia" w:ascii="宋体" w:hAnsi="宋体" w:eastAsia="宋体" w:cs="宋体"/>
                <w:color w:val="auto"/>
                <w:sz w:val="21"/>
                <w:szCs w:val="21"/>
              </w:rPr>
              <w:t>三年内发生过重大以上安全事故的，或者三年内发生</w:t>
            </w:r>
            <w:r>
              <w:rPr>
                <w:rFonts w:ascii="宋体" w:hAnsi="宋体" w:eastAsia="宋体" w:cs="宋体"/>
                <w:color w:val="auto"/>
                <w:sz w:val="21"/>
                <w:szCs w:val="21"/>
              </w:rPr>
              <w:t>2</w:t>
            </w:r>
            <w:r>
              <w:rPr>
                <w:rFonts w:hint="eastAsia" w:ascii="宋体" w:hAnsi="宋体" w:eastAsia="宋体" w:cs="宋体"/>
                <w:color w:val="auto"/>
                <w:sz w:val="21"/>
                <w:szCs w:val="21"/>
              </w:rPr>
              <w:t>起较大安全事故，或者近一年内发生</w:t>
            </w:r>
            <w:r>
              <w:rPr>
                <w:rFonts w:ascii="宋体" w:hAnsi="宋体" w:eastAsia="宋体" w:cs="宋体"/>
                <w:color w:val="auto"/>
                <w:sz w:val="21"/>
                <w:szCs w:val="21"/>
              </w:rPr>
              <w:t>2</w:t>
            </w:r>
            <w:r>
              <w:rPr>
                <w:rFonts w:hint="eastAsia" w:ascii="宋体" w:hAnsi="宋体" w:eastAsia="宋体" w:cs="宋体"/>
                <w:color w:val="auto"/>
                <w:sz w:val="21"/>
                <w:szCs w:val="21"/>
              </w:rPr>
              <w:t>起以上亡人一般安全事故的。</w:t>
            </w:r>
          </w:p>
        </w:tc>
        <w:tc>
          <w:tcPr>
            <w:tcW w:w="598" w:type="dxa"/>
          </w:tcPr>
          <w:p>
            <w:pPr>
              <w:widowControl/>
              <w:spacing w:line="360" w:lineRule="auto"/>
              <w:rPr>
                <w:rFonts w:ascii="宋体" w:hAnsi="宋体" w:eastAsia="宋体" w:cs="宋体"/>
                <w:color w:val="auto"/>
                <w:sz w:val="21"/>
                <w:szCs w:val="21"/>
              </w:rPr>
            </w:pPr>
            <w:r>
              <w:rPr>
                <w:rFonts w:hint="eastAsia" w:ascii="宋体" w:hAnsi="宋体" w:eastAsia="宋体" w:cs="宋体"/>
                <w:color w:val="auto"/>
                <w:sz w:val="21"/>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74" w:hRule="atLeast"/>
          <w:jc w:val="center"/>
        </w:trPr>
        <w:tc>
          <w:tcPr>
            <w:tcW w:w="9286" w:type="dxa"/>
            <w:gridSpan w:val="5"/>
          </w:tcPr>
          <w:p>
            <w:pPr>
              <w:widowControl/>
              <w:spacing w:line="440" w:lineRule="exact"/>
              <w:rPr>
                <w:rFonts w:ascii="宋体" w:hAnsi="宋体" w:eastAsia="宋体" w:cs="宋体"/>
                <w:bCs/>
                <w:color w:val="auto"/>
                <w:sz w:val="21"/>
                <w:szCs w:val="21"/>
              </w:rPr>
            </w:pPr>
            <w:r>
              <w:rPr>
                <w:rFonts w:hint="eastAsia" w:ascii="宋体" w:hAnsi="宋体" w:eastAsia="宋体" w:cs="宋体"/>
                <w:color w:val="auto"/>
                <w:sz w:val="21"/>
                <w:szCs w:val="21"/>
              </w:rPr>
              <w:t>备注：</w:t>
            </w:r>
            <w:r>
              <w:rPr>
                <w:rFonts w:ascii="宋体" w:hAnsi="宋体" w:eastAsia="宋体" w:cs="宋体"/>
                <w:bCs/>
                <w:color w:val="auto"/>
                <w:sz w:val="21"/>
                <w:szCs w:val="21"/>
              </w:rPr>
              <w:t xml:space="preserve"> 1.</w:t>
            </w:r>
            <w:r>
              <w:rPr>
                <w:rFonts w:hint="eastAsia" w:ascii="宋体" w:hAnsi="宋体" w:eastAsia="宋体" w:cs="宋体"/>
                <w:bCs/>
                <w:color w:val="auto"/>
                <w:sz w:val="21"/>
                <w:szCs w:val="21"/>
              </w:rPr>
              <w:t>安全风险从高到低依次对应为红色、橙色、黄色、蓝色。总分在</w:t>
            </w:r>
            <w:r>
              <w:rPr>
                <w:rFonts w:ascii="宋体" w:hAnsi="宋体" w:eastAsia="宋体" w:cs="宋体"/>
                <w:bCs/>
                <w:color w:val="auto"/>
                <w:sz w:val="21"/>
                <w:szCs w:val="21"/>
              </w:rPr>
              <w:t>90</w:t>
            </w:r>
            <w:r>
              <w:rPr>
                <w:rFonts w:hint="eastAsia" w:ascii="宋体" w:hAnsi="宋体" w:eastAsia="宋体" w:cs="宋体"/>
                <w:bCs/>
                <w:color w:val="auto"/>
                <w:sz w:val="21"/>
                <w:szCs w:val="21"/>
              </w:rPr>
              <w:t>分以上（含</w:t>
            </w:r>
            <w:r>
              <w:rPr>
                <w:rFonts w:ascii="宋体" w:hAnsi="宋体" w:eastAsia="宋体" w:cs="宋体"/>
                <w:bCs/>
                <w:color w:val="auto"/>
                <w:sz w:val="21"/>
                <w:szCs w:val="21"/>
              </w:rPr>
              <w:t>90</w:t>
            </w:r>
            <w:r>
              <w:rPr>
                <w:rFonts w:hint="eastAsia" w:ascii="宋体" w:hAnsi="宋体" w:eastAsia="宋体" w:cs="宋体"/>
                <w:bCs/>
                <w:color w:val="auto"/>
                <w:sz w:val="21"/>
                <w:szCs w:val="21"/>
              </w:rPr>
              <w:t>分）的为蓝色；</w:t>
            </w:r>
            <w:r>
              <w:rPr>
                <w:rFonts w:ascii="宋体" w:hAnsi="宋体" w:eastAsia="宋体" w:cs="宋体"/>
                <w:bCs/>
                <w:color w:val="auto"/>
                <w:sz w:val="21"/>
                <w:szCs w:val="21"/>
              </w:rPr>
              <w:t>75</w:t>
            </w:r>
            <w:r>
              <w:rPr>
                <w:rFonts w:hint="eastAsia" w:ascii="宋体" w:hAnsi="宋体" w:eastAsia="宋体" w:cs="宋体"/>
                <w:bCs/>
                <w:color w:val="auto"/>
                <w:sz w:val="21"/>
                <w:szCs w:val="21"/>
              </w:rPr>
              <w:t>分（含</w:t>
            </w:r>
            <w:r>
              <w:rPr>
                <w:rFonts w:ascii="宋体" w:hAnsi="宋体" w:eastAsia="宋体" w:cs="宋体"/>
                <w:bCs/>
                <w:color w:val="auto"/>
                <w:sz w:val="21"/>
                <w:szCs w:val="21"/>
              </w:rPr>
              <w:t>75</w:t>
            </w:r>
            <w:r>
              <w:rPr>
                <w:rFonts w:hint="eastAsia" w:ascii="宋体" w:hAnsi="宋体" w:eastAsia="宋体" w:cs="宋体"/>
                <w:bCs/>
                <w:color w:val="auto"/>
                <w:sz w:val="21"/>
                <w:szCs w:val="21"/>
              </w:rPr>
              <w:t>分）至</w:t>
            </w:r>
            <w:r>
              <w:rPr>
                <w:rFonts w:ascii="宋体" w:hAnsi="宋体" w:eastAsia="宋体" w:cs="宋体"/>
                <w:bCs/>
                <w:color w:val="auto"/>
                <w:sz w:val="21"/>
                <w:szCs w:val="21"/>
              </w:rPr>
              <w:t>90</w:t>
            </w:r>
            <w:r>
              <w:rPr>
                <w:rFonts w:hint="eastAsia" w:ascii="宋体" w:hAnsi="宋体" w:eastAsia="宋体" w:cs="宋体"/>
                <w:bCs/>
                <w:color w:val="auto"/>
                <w:sz w:val="21"/>
                <w:szCs w:val="21"/>
              </w:rPr>
              <w:t>分的为黄色；</w:t>
            </w:r>
            <w:r>
              <w:rPr>
                <w:rFonts w:ascii="宋体" w:hAnsi="宋体" w:eastAsia="宋体" w:cs="宋体"/>
                <w:bCs/>
                <w:color w:val="auto"/>
                <w:sz w:val="21"/>
                <w:szCs w:val="21"/>
              </w:rPr>
              <w:t>60</w:t>
            </w:r>
            <w:r>
              <w:rPr>
                <w:rFonts w:hint="eastAsia" w:ascii="宋体" w:hAnsi="宋体" w:eastAsia="宋体" w:cs="宋体"/>
                <w:bCs/>
                <w:color w:val="auto"/>
                <w:sz w:val="21"/>
                <w:szCs w:val="21"/>
              </w:rPr>
              <w:t>分（含</w:t>
            </w:r>
            <w:r>
              <w:rPr>
                <w:rFonts w:ascii="宋体" w:hAnsi="宋体" w:eastAsia="宋体" w:cs="宋体"/>
                <w:bCs/>
                <w:color w:val="auto"/>
                <w:sz w:val="21"/>
                <w:szCs w:val="21"/>
              </w:rPr>
              <w:t>60</w:t>
            </w:r>
            <w:r>
              <w:rPr>
                <w:rFonts w:hint="eastAsia" w:ascii="宋体" w:hAnsi="宋体" w:eastAsia="宋体" w:cs="宋体"/>
                <w:bCs/>
                <w:color w:val="auto"/>
                <w:sz w:val="21"/>
                <w:szCs w:val="21"/>
              </w:rPr>
              <w:t>分）至</w:t>
            </w:r>
            <w:r>
              <w:rPr>
                <w:rFonts w:ascii="宋体" w:hAnsi="宋体" w:eastAsia="宋体" w:cs="宋体"/>
                <w:bCs/>
                <w:color w:val="auto"/>
                <w:sz w:val="21"/>
                <w:szCs w:val="21"/>
              </w:rPr>
              <w:t>75</w:t>
            </w:r>
            <w:r>
              <w:rPr>
                <w:rFonts w:hint="eastAsia" w:ascii="宋体" w:hAnsi="宋体" w:eastAsia="宋体" w:cs="宋体"/>
                <w:bCs/>
                <w:color w:val="auto"/>
                <w:sz w:val="21"/>
                <w:szCs w:val="21"/>
              </w:rPr>
              <w:t>分的为橙色；</w:t>
            </w:r>
            <w:r>
              <w:rPr>
                <w:rFonts w:ascii="宋体" w:hAnsi="宋体" w:eastAsia="宋体" w:cs="宋体"/>
                <w:bCs/>
                <w:color w:val="auto"/>
                <w:sz w:val="21"/>
                <w:szCs w:val="21"/>
              </w:rPr>
              <w:t>60</w:t>
            </w:r>
            <w:r>
              <w:rPr>
                <w:rFonts w:hint="eastAsia" w:ascii="宋体" w:hAnsi="宋体" w:eastAsia="宋体" w:cs="宋体"/>
                <w:bCs/>
                <w:color w:val="auto"/>
                <w:sz w:val="21"/>
                <w:szCs w:val="21"/>
              </w:rPr>
              <w:t>分以下的为红色。</w:t>
            </w:r>
          </w:p>
          <w:p>
            <w:pPr>
              <w:widowControl/>
              <w:spacing w:line="440" w:lineRule="exact"/>
              <w:rPr>
                <w:rFonts w:ascii="宋体" w:hAnsi="宋体" w:eastAsia="宋体" w:cs="宋体"/>
                <w:bCs/>
                <w:color w:val="auto"/>
                <w:sz w:val="21"/>
                <w:szCs w:val="21"/>
              </w:rPr>
            </w:pPr>
            <w:r>
              <w:rPr>
                <w:rFonts w:ascii="宋体" w:hAnsi="宋体" w:eastAsia="宋体" w:cs="宋体"/>
                <w:bCs/>
                <w:color w:val="auto"/>
                <w:sz w:val="21"/>
                <w:szCs w:val="21"/>
              </w:rPr>
              <w:t xml:space="preserve"> 2.</w:t>
            </w:r>
            <w:r>
              <w:rPr>
                <w:rFonts w:hint="eastAsia" w:ascii="宋体" w:hAnsi="宋体" w:eastAsia="宋体" w:cs="宋体"/>
                <w:bCs/>
                <w:color w:val="auto"/>
                <w:sz w:val="21"/>
                <w:szCs w:val="21"/>
              </w:rPr>
              <w:t>每个项目分值扣完为止，最低为</w:t>
            </w:r>
            <w:r>
              <w:rPr>
                <w:rFonts w:ascii="宋体" w:hAnsi="宋体" w:eastAsia="宋体" w:cs="宋体"/>
                <w:bCs/>
                <w:color w:val="auto"/>
                <w:sz w:val="21"/>
                <w:szCs w:val="21"/>
              </w:rPr>
              <w:t>0</w:t>
            </w:r>
            <w:r>
              <w:rPr>
                <w:rFonts w:hint="eastAsia" w:ascii="宋体" w:hAnsi="宋体" w:eastAsia="宋体" w:cs="宋体"/>
                <w:bCs/>
                <w:color w:val="auto"/>
                <w:sz w:val="21"/>
                <w:szCs w:val="21"/>
              </w:rPr>
              <w:t>分。</w:t>
            </w:r>
          </w:p>
          <w:p>
            <w:pPr>
              <w:widowControl/>
              <w:spacing w:line="440" w:lineRule="exact"/>
              <w:rPr>
                <w:rFonts w:ascii="宋体" w:hAnsi="宋体" w:eastAsia="宋体" w:cs="宋体"/>
                <w:bCs/>
                <w:color w:val="auto"/>
                <w:sz w:val="21"/>
                <w:szCs w:val="21"/>
              </w:rPr>
            </w:pPr>
            <w:r>
              <w:rPr>
                <w:rFonts w:ascii="宋体" w:hAnsi="宋体" w:eastAsia="宋体" w:cs="宋体"/>
                <w:bCs/>
                <w:color w:val="auto"/>
                <w:sz w:val="21"/>
                <w:szCs w:val="21"/>
              </w:rPr>
              <w:t xml:space="preserve"> 3.</w:t>
            </w:r>
            <w:r>
              <w:rPr>
                <w:rFonts w:hint="eastAsia" w:ascii="宋体" w:hAnsi="宋体" w:eastAsia="宋体" w:cs="宋体"/>
                <w:bCs/>
                <w:color w:val="auto"/>
                <w:sz w:val="21"/>
                <w:szCs w:val="21"/>
              </w:rPr>
              <w:t>储存企业指带储存的经营企业。</w:t>
            </w:r>
          </w:p>
        </w:tc>
      </w:tr>
    </w:tbl>
    <w:p>
      <w:pPr>
        <w:spacing w:line="560" w:lineRule="exact"/>
        <w:ind w:firstLine="425" w:firstLineChars="152"/>
        <w:rPr>
          <w:rFonts w:ascii="宋体" w:hAnsi="宋体" w:eastAsia="宋体"/>
          <w:color w:val="auto"/>
          <w:sz w:val="28"/>
          <w:szCs w:val="28"/>
          <w:lang w:eastAsia="zh-CN"/>
        </w:rPr>
      </w:pPr>
      <w:r>
        <w:rPr>
          <w:rFonts w:hint="eastAsia" w:ascii="宋体" w:hAnsi="宋体" w:eastAsia="宋体"/>
          <w:color w:val="auto"/>
          <w:sz w:val="28"/>
          <w:szCs w:val="28"/>
        </w:rPr>
        <w:t>根据上表分析结果可知，总得分</w:t>
      </w:r>
      <w:r>
        <w:rPr>
          <w:rFonts w:hint="eastAsia" w:ascii="宋体" w:hAnsi="宋体" w:eastAsia="宋体"/>
          <w:color w:val="auto"/>
          <w:sz w:val="28"/>
          <w:szCs w:val="28"/>
          <w:lang w:eastAsia="zh-CN"/>
        </w:rPr>
        <w:t>9</w:t>
      </w:r>
      <w:r>
        <w:rPr>
          <w:rFonts w:hint="eastAsia" w:ascii="宋体" w:hAnsi="宋体" w:eastAsia="宋体"/>
          <w:color w:val="auto"/>
          <w:sz w:val="28"/>
          <w:szCs w:val="28"/>
          <w:lang w:val="en-US" w:eastAsia="zh-CN"/>
        </w:rPr>
        <w:t>9</w:t>
      </w:r>
      <w:r>
        <w:rPr>
          <w:rFonts w:hint="eastAsia" w:ascii="宋体" w:hAnsi="宋体" w:eastAsia="宋体"/>
          <w:color w:val="auto"/>
          <w:sz w:val="28"/>
          <w:szCs w:val="28"/>
          <w:lang w:eastAsia="zh-CN"/>
        </w:rPr>
        <w:t>.7</w:t>
      </w:r>
      <w:r>
        <w:rPr>
          <w:rFonts w:hint="eastAsia" w:ascii="宋体" w:hAnsi="宋体" w:eastAsia="宋体"/>
          <w:color w:val="auto"/>
          <w:sz w:val="28"/>
          <w:szCs w:val="28"/>
        </w:rPr>
        <w:t>分，安全风险分级为蓝色。</w:t>
      </w:r>
    </w:p>
    <w:p>
      <w:pPr>
        <w:spacing w:line="560" w:lineRule="exact"/>
        <w:jc w:val="both"/>
        <w:outlineLvl w:val="2"/>
        <w:rPr>
          <w:rFonts w:ascii="宋体" w:hAnsi="宋体" w:eastAsia="宋体" w:cs="Times New Roman"/>
          <w:bCs/>
          <w:color w:val="auto"/>
          <w:kern w:val="2"/>
          <w:sz w:val="28"/>
          <w:szCs w:val="28"/>
          <w:lang w:val="en-US" w:eastAsia="zh-CN" w:bidi="ar-SA"/>
        </w:rPr>
      </w:pPr>
      <w:bookmarkStart w:id="202" w:name="bookmark141"/>
      <w:r>
        <w:rPr>
          <w:rFonts w:ascii="宋体" w:hAnsi="宋体" w:eastAsia="宋体" w:cs="Times New Roman"/>
          <w:bCs/>
          <w:color w:val="auto"/>
          <w:kern w:val="2"/>
          <w:sz w:val="28"/>
          <w:szCs w:val="28"/>
          <w:lang w:val="en-US" w:eastAsia="zh-CN" w:bidi="ar-SA"/>
        </w:rPr>
        <w:t>2.1.</w:t>
      </w:r>
      <w:r>
        <w:rPr>
          <w:rFonts w:hint="eastAsia" w:ascii="宋体" w:hAnsi="宋体" w:eastAsia="宋体" w:cs="Times New Roman"/>
          <w:bCs/>
          <w:color w:val="auto"/>
          <w:kern w:val="2"/>
          <w:sz w:val="28"/>
          <w:szCs w:val="28"/>
          <w:lang w:val="en-US" w:eastAsia="zh-CN" w:bidi="ar-SA"/>
        </w:rPr>
        <w:t>9</w:t>
      </w:r>
      <w:r>
        <w:rPr>
          <w:rFonts w:ascii="宋体" w:hAnsi="宋体" w:eastAsia="宋体" w:cs="Times New Roman"/>
          <w:bCs/>
          <w:color w:val="auto"/>
          <w:kern w:val="2"/>
          <w:sz w:val="28"/>
          <w:szCs w:val="28"/>
          <w:lang w:val="en-US" w:eastAsia="zh-CN" w:bidi="ar-SA"/>
        </w:rPr>
        <w:t>卫生防护距离符合性分析评价</w:t>
      </w:r>
      <w:bookmarkEnd w:id="202"/>
    </w:p>
    <w:p>
      <w:pPr>
        <w:spacing w:line="560" w:lineRule="exact"/>
        <w:ind w:firstLine="425" w:firstLineChars="152"/>
        <w:rPr>
          <w:rFonts w:ascii="宋体" w:hAnsi="宋体" w:eastAsia="宋体"/>
          <w:color w:val="auto"/>
          <w:sz w:val="28"/>
          <w:szCs w:val="28"/>
          <w:lang w:eastAsia="zh-CN"/>
        </w:rPr>
      </w:pPr>
      <w:bookmarkStart w:id="203" w:name="bookmark142"/>
      <w:r>
        <w:rPr>
          <w:rFonts w:hint="eastAsia" w:ascii="宋体" w:hAnsi="宋体" w:eastAsia="宋体"/>
          <w:color w:val="auto"/>
          <w:sz w:val="28"/>
          <w:szCs w:val="28"/>
          <w:lang w:eastAsia="zh-CN"/>
        </w:rPr>
        <w:t>1)根据《油漆厂卫生防护距离标准》GB18070-2000第3.1条规定：油漆厂的卫生防护距离，按其所在地区近五年平均风速规定如下表所示。</w:t>
      </w:r>
    </w:p>
    <w:p>
      <w:pPr>
        <w:spacing w:line="560" w:lineRule="exact"/>
        <w:jc w:val="center"/>
        <w:rPr>
          <w:rFonts w:ascii="宋体" w:hAnsi="宋体" w:eastAsia="宋体"/>
          <w:b/>
          <w:color w:val="auto"/>
          <w:lang w:eastAsia="zh-CN"/>
        </w:rPr>
      </w:pPr>
    </w:p>
    <w:p>
      <w:pPr>
        <w:spacing w:line="560" w:lineRule="exact"/>
        <w:jc w:val="center"/>
        <w:rPr>
          <w:rFonts w:ascii="宋体" w:hAnsi="宋体" w:eastAsia="宋体"/>
          <w:b/>
          <w:color w:val="auto"/>
        </w:rPr>
      </w:pPr>
      <w:r>
        <w:rPr>
          <w:rFonts w:hint="eastAsia" w:ascii="宋体" w:hAnsi="宋体" w:eastAsia="宋体"/>
          <w:b/>
          <w:color w:val="auto"/>
        </w:rPr>
        <w:t>附表2-</w:t>
      </w:r>
      <w:r>
        <w:rPr>
          <w:rFonts w:hint="eastAsia" w:ascii="宋体" w:hAnsi="宋体" w:eastAsia="宋体"/>
          <w:b/>
          <w:color w:val="auto"/>
          <w:lang w:eastAsia="zh-CN"/>
        </w:rPr>
        <w:t>8</w:t>
      </w:r>
      <w:r>
        <w:rPr>
          <w:rFonts w:hint="eastAsia" w:ascii="宋体" w:hAnsi="宋体" w:eastAsia="宋体"/>
          <w:b/>
          <w:color w:val="auto"/>
        </w:rPr>
        <w:t>油漆厂的卫生防护距离风速表</w:t>
      </w:r>
    </w:p>
    <w:tbl>
      <w:tblPr>
        <w:tblStyle w:val="45"/>
        <w:tblW w:w="5000" w:type="pct"/>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4932"/>
        <w:gridCol w:w="4462"/>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780" w:type="dxa"/>
            <w:vAlign w:val="center"/>
          </w:tcPr>
          <w:p>
            <w:pPr>
              <w:spacing w:line="360" w:lineRule="exact"/>
              <w:jc w:val="center"/>
              <w:rPr>
                <w:rFonts w:ascii="宋体" w:hAnsi="宋体" w:eastAsia="宋体"/>
                <w:color w:val="auto"/>
                <w:kern w:val="21"/>
                <w:sz w:val="21"/>
                <w:szCs w:val="21"/>
              </w:rPr>
            </w:pPr>
            <w:r>
              <w:rPr>
                <w:rFonts w:hint="eastAsia" w:ascii="宋体" w:hAnsi="宋体" w:eastAsia="宋体"/>
                <w:color w:val="auto"/>
                <w:kern w:val="21"/>
                <w:sz w:val="21"/>
                <w:szCs w:val="21"/>
              </w:rPr>
              <w:t>风速，m/s</w:t>
            </w:r>
          </w:p>
        </w:tc>
        <w:tc>
          <w:tcPr>
            <w:tcW w:w="3420" w:type="dxa"/>
            <w:vAlign w:val="center"/>
          </w:tcPr>
          <w:p>
            <w:pPr>
              <w:spacing w:line="360" w:lineRule="exact"/>
              <w:jc w:val="center"/>
              <w:rPr>
                <w:rFonts w:ascii="宋体" w:hAnsi="宋体" w:eastAsia="宋体"/>
                <w:color w:val="auto"/>
                <w:kern w:val="21"/>
                <w:sz w:val="21"/>
                <w:szCs w:val="21"/>
              </w:rPr>
            </w:pPr>
            <w:r>
              <w:rPr>
                <w:rFonts w:hint="eastAsia" w:ascii="宋体" w:hAnsi="宋体" w:eastAsia="宋体"/>
                <w:color w:val="auto"/>
                <w:kern w:val="21"/>
                <w:sz w:val="21"/>
                <w:szCs w:val="21"/>
              </w:rPr>
              <w:t>距离，m</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780" w:type="dxa"/>
            <w:vAlign w:val="center"/>
          </w:tcPr>
          <w:p>
            <w:pPr>
              <w:spacing w:line="360" w:lineRule="exact"/>
              <w:jc w:val="center"/>
              <w:rPr>
                <w:rFonts w:ascii="宋体" w:hAnsi="宋体" w:eastAsia="宋体"/>
                <w:color w:val="auto"/>
                <w:kern w:val="21"/>
                <w:sz w:val="21"/>
                <w:szCs w:val="21"/>
              </w:rPr>
            </w:pPr>
            <w:r>
              <w:rPr>
                <w:rFonts w:hint="eastAsia" w:ascii="宋体" w:hAnsi="宋体" w:eastAsia="宋体"/>
                <w:color w:val="auto"/>
                <w:kern w:val="21"/>
                <w:sz w:val="21"/>
                <w:szCs w:val="21"/>
              </w:rPr>
              <w:t>＜2</w:t>
            </w:r>
          </w:p>
        </w:tc>
        <w:tc>
          <w:tcPr>
            <w:tcW w:w="3420" w:type="dxa"/>
            <w:vAlign w:val="center"/>
          </w:tcPr>
          <w:p>
            <w:pPr>
              <w:spacing w:line="360" w:lineRule="exact"/>
              <w:jc w:val="center"/>
              <w:rPr>
                <w:rFonts w:ascii="宋体" w:hAnsi="宋体" w:eastAsia="宋体"/>
                <w:color w:val="auto"/>
                <w:kern w:val="21"/>
                <w:sz w:val="21"/>
                <w:szCs w:val="21"/>
              </w:rPr>
            </w:pPr>
            <w:r>
              <w:rPr>
                <w:rFonts w:hint="eastAsia" w:ascii="宋体" w:hAnsi="宋体" w:eastAsia="宋体"/>
                <w:color w:val="auto"/>
                <w:kern w:val="21"/>
                <w:sz w:val="21"/>
                <w:szCs w:val="21"/>
              </w:rPr>
              <w:t>700</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rPr>
          <w:trHeight w:val="510" w:hRule="atLeast"/>
          <w:jc w:val="center"/>
        </w:trPr>
        <w:tc>
          <w:tcPr>
            <w:tcW w:w="3780" w:type="dxa"/>
            <w:vAlign w:val="center"/>
          </w:tcPr>
          <w:p>
            <w:pPr>
              <w:spacing w:line="360" w:lineRule="exact"/>
              <w:jc w:val="center"/>
              <w:rPr>
                <w:rFonts w:ascii="宋体" w:hAnsi="宋体" w:eastAsia="宋体"/>
                <w:color w:val="auto"/>
                <w:kern w:val="21"/>
                <w:sz w:val="21"/>
                <w:szCs w:val="21"/>
              </w:rPr>
            </w:pPr>
            <w:r>
              <w:rPr>
                <w:rFonts w:hint="eastAsia" w:ascii="宋体" w:hAnsi="宋体" w:eastAsia="宋体"/>
                <w:color w:val="auto"/>
                <w:kern w:val="21"/>
                <w:sz w:val="21"/>
                <w:szCs w:val="21"/>
              </w:rPr>
              <w:t>2～4</w:t>
            </w:r>
          </w:p>
        </w:tc>
        <w:tc>
          <w:tcPr>
            <w:tcW w:w="3420" w:type="dxa"/>
            <w:vAlign w:val="center"/>
          </w:tcPr>
          <w:p>
            <w:pPr>
              <w:spacing w:line="360" w:lineRule="exact"/>
              <w:jc w:val="center"/>
              <w:rPr>
                <w:rFonts w:ascii="宋体" w:hAnsi="宋体" w:eastAsia="宋体"/>
                <w:color w:val="auto"/>
                <w:kern w:val="21"/>
                <w:sz w:val="21"/>
                <w:szCs w:val="21"/>
              </w:rPr>
            </w:pPr>
            <w:r>
              <w:rPr>
                <w:rFonts w:hint="eastAsia" w:ascii="宋体" w:hAnsi="宋体" w:eastAsia="宋体"/>
                <w:color w:val="auto"/>
                <w:kern w:val="21"/>
                <w:sz w:val="21"/>
                <w:szCs w:val="21"/>
              </w:rPr>
              <w:t>600</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3780" w:type="dxa"/>
            <w:vAlign w:val="center"/>
          </w:tcPr>
          <w:p>
            <w:pPr>
              <w:spacing w:line="360" w:lineRule="exact"/>
              <w:jc w:val="center"/>
              <w:rPr>
                <w:rFonts w:ascii="宋体" w:hAnsi="宋体" w:eastAsia="宋体"/>
                <w:color w:val="auto"/>
                <w:kern w:val="21"/>
                <w:sz w:val="21"/>
                <w:szCs w:val="21"/>
              </w:rPr>
            </w:pPr>
            <w:r>
              <w:rPr>
                <w:rFonts w:hint="eastAsia" w:ascii="宋体" w:hAnsi="宋体" w:eastAsia="宋体"/>
                <w:color w:val="auto"/>
                <w:kern w:val="21"/>
                <w:sz w:val="21"/>
                <w:szCs w:val="21"/>
              </w:rPr>
              <w:t>＞4</w:t>
            </w:r>
          </w:p>
        </w:tc>
        <w:tc>
          <w:tcPr>
            <w:tcW w:w="3420" w:type="dxa"/>
            <w:vAlign w:val="center"/>
          </w:tcPr>
          <w:p>
            <w:pPr>
              <w:spacing w:line="360" w:lineRule="exact"/>
              <w:jc w:val="center"/>
              <w:rPr>
                <w:rFonts w:ascii="宋体" w:hAnsi="宋体" w:eastAsia="宋体"/>
                <w:color w:val="auto"/>
                <w:kern w:val="21"/>
                <w:sz w:val="21"/>
                <w:szCs w:val="21"/>
              </w:rPr>
            </w:pPr>
            <w:r>
              <w:rPr>
                <w:rFonts w:hint="eastAsia" w:ascii="宋体" w:hAnsi="宋体" w:eastAsia="宋体"/>
                <w:color w:val="auto"/>
                <w:kern w:val="21"/>
                <w:sz w:val="21"/>
                <w:szCs w:val="21"/>
              </w:rPr>
              <w:t>500</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7200" w:type="dxa"/>
            <w:gridSpan w:val="2"/>
            <w:vAlign w:val="center"/>
          </w:tcPr>
          <w:p>
            <w:pPr>
              <w:spacing w:line="360" w:lineRule="exact"/>
              <w:rPr>
                <w:rFonts w:ascii="宋体" w:hAnsi="宋体" w:eastAsia="宋体"/>
                <w:color w:val="auto"/>
                <w:kern w:val="21"/>
                <w:sz w:val="21"/>
                <w:szCs w:val="21"/>
              </w:rPr>
            </w:pPr>
            <w:r>
              <w:rPr>
                <w:rFonts w:hint="eastAsia" w:ascii="宋体" w:hAnsi="宋体" w:eastAsia="宋体"/>
                <w:color w:val="auto"/>
                <w:kern w:val="21"/>
                <w:sz w:val="21"/>
                <w:szCs w:val="21"/>
              </w:rPr>
              <w:t>注：卫生防护距离是指产生有害因素的部门(车间或工段)的边界至居住区边界的最小距离。</w:t>
            </w:r>
          </w:p>
        </w:tc>
      </w:tr>
    </w:tbl>
    <w:p>
      <w:pPr>
        <w:spacing w:line="560" w:lineRule="exact"/>
        <w:ind w:firstLine="425" w:firstLineChars="152"/>
        <w:rPr>
          <w:rFonts w:ascii="宋体" w:hAnsi="宋体" w:eastAsia="宋体"/>
          <w:color w:val="auto"/>
          <w:sz w:val="28"/>
          <w:szCs w:val="28"/>
          <w:lang w:eastAsia="zh-CN"/>
        </w:rPr>
      </w:pPr>
      <w:r>
        <w:rPr>
          <w:rFonts w:hint="eastAsia" w:ascii="宋体" w:hAnsi="宋体" w:eastAsia="宋体"/>
          <w:color w:val="auto"/>
          <w:sz w:val="28"/>
          <w:szCs w:val="28"/>
          <w:lang w:eastAsia="zh-CN"/>
        </w:rPr>
        <w:t>2)根据《城市居住区规划设计标准》(GB50180-2018)规定，居住区，指居住人口规模在5000人以上，配建有社区服务设施的地区。</w:t>
      </w:r>
    </w:p>
    <w:p>
      <w:pPr>
        <w:spacing w:line="560" w:lineRule="exact"/>
        <w:ind w:firstLine="425" w:firstLineChars="152"/>
        <w:rPr>
          <w:rFonts w:ascii="宋体" w:hAnsi="宋体" w:eastAsia="宋体"/>
          <w:color w:val="auto"/>
          <w:sz w:val="28"/>
          <w:szCs w:val="28"/>
          <w:lang w:eastAsia="zh-CN"/>
        </w:rPr>
      </w:pPr>
      <w:r>
        <w:rPr>
          <w:rFonts w:hint="eastAsia" w:ascii="宋体" w:hAnsi="宋体" w:eastAsia="宋体"/>
          <w:color w:val="auto"/>
          <w:sz w:val="28"/>
          <w:szCs w:val="28"/>
          <w:lang w:eastAsia="zh-CN"/>
        </w:rPr>
        <w:t>东莞市平均风速为2.0m/s，东莞市华龙实业有限公司周边600m范围内无居住区、中小学或其他重要公共建筑，其卫生防护距离符合《油漆厂卫生防护距离标准》(GB18070-2000)的要求。</w:t>
      </w:r>
    </w:p>
    <w:p>
      <w:pPr>
        <w:spacing w:line="560" w:lineRule="exact"/>
        <w:jc w:val="both"/>
        <w:outlineLvl w:val="2"/>
        <w:rPr>
          <w:rFonts w:ascii="宋体" w:hAnsi="宋体" w:eastAsia="宋体" w:cs="Times New Roman"/>
          <w:bCs/>
          <w:color w:val="auto"/>
          <w:kern w:val="2"/>
          <w:sz w:val="28"/>
          <w:szCs w:val="28"/>
          <w:lang w:val="en-US" w:eastAsia="zh-CN" w:bidi="ar-SA"/>
        </w:rPr>
      </w:pPr>
      <w:r>
        <w:rPr>
          <w:rFonts w:ascii="宋体" w:hAnsi="宋体" w:eastAsia="宋体" w:cs="Times New Roman"/>
          <w:bCs/>
          <w:color w:val="auto"/>
          <w:kern w:val="2"/>
          <w:sz w:val="28"/>
          <w:szCs w:val="28"/>
          <w:lang w:val="en-US" w:eastAsia="zh-CN" w:bidi="ar-SA"/>
        </w:rPr>
        <w:t>2.1.7装置爆炸区域划分情况</w:t>
      </w:r>
      <w:bookmarkEnd w:id="203"/>
    </w:p>
    <w:p>
      <w:pPr>
        <w:spacing w:line="560" w:lineRule="exact"/>
        <w:ind w:firstLine="425" w:firstLineChars="152"/>
        <w:rPr>
          <w:rFonts w:ascii="宋体" w:hAnsi="宋体" w:eastAsia="宋体"/>
          <w:color w:val="auto"/>
          <w:sz w:val="28"/>
          <w:szCs w:val="28"/>
          <w:lang w:eastAsia="zh-CN"/>
        </w:rPr>
      </w:pPr>
      <w:r>
        <w:rPr>
          <w:rFonts w:ascii="宋体" w:hAnsi="宋体" w:eastAsia="宋体"/>
          <w:color w:val="auto"/>
          <w:sz w:val="28"/>
          <w:szCs w:val="28"/>
          <w:lang w:eastAsia="zh-CN"/>
        </w:rPr>
        <w:t>爆炸危险区域的等级定义应符合现行国家标准《爆炸危险环境电力装置设计规范》(GB50058-2014)的规定。</w:t>
      </w:r>
    </w:p>
    <w:p>
      <w:pPr>
        <w:spacing w:line="560" w:lineRule="exact"/>
        <w:ind w:firstLine="425" w:firstLineChars="152"/>
        <w:rPr>
          <w:rFonts w:ascii="宋体" w:hAnsi="宋体" w:eastAsia="宋体"/>
          <w:color w:val="auto"/>
          <w:sz w:val="28"/>
          <w:szCs w:val="28"/>
          <w:lang w:eastAsia="zh-CN"/>
        </w:rPr>
      </w:pPr>
      <w:r>
        <w:rPr>
          <w:rFonts w:ascii="宋体" w:hAnsi="宋体" w:eastAsia="PMingLiU"/>
          <w:color w:val="auto"/>
          <w:sz w:val="28"/>
          <w:szCs w:val="28"/>
        </w:rPr>
        <w:t>1</w:t>
      </w:r>
      <w:r>
        <w:rPr>
          <w:rFonts w:hint="eastAsia" w:ascii="宋体" w:hAnsi="宋体" w:eastAsia="宋体"/>
          <w:color w:val="auto"/>
          <w:sz w:val="28"/>
          <w:szCs w:val="28"/>
          <w:lang w:eastAsia="zh-CN"/>
        </w:rPr>
        <w:t>)</w:t>
      </w:r>
      <w:r>
        <w:rPr>
          <w:rFonts w:ascii="宋体" w:hAnsi="宋体" w:eastAsia="宋体"/>
          <w:color w:val="auto"/>
          <w:sz w:val="28"/>
          <w:szCs w:val="28"/>
          <w:lang w:eastAsia="zh-CN"/>
        </w:rPr>
        <w:t>爆炸危险区域划分依据《爆炸危险环境电力装置设计规范》第3.2.5条，爆炸危险区域的划分应按释放源级别和通风条件确定，并应符合下列规定。</w:t>
      </w:r>
    </w:p>
    <w:p>
      <w:pPr>
        <w:spacing w:line="560" w:lineRule="exact"/>
        <w:ind w:firstLine="425" w:firstLineChars="152"/>
        <w:rPr>
          <w:rFonts w:ascii="宋体" w:hAnsi="宋体" w:eastAsia="宋体"/>
          <w:color w:val="auto"/>
          <w:sz w:val="28"/>
          <w:szCs w:val="28"/>
          <w:lang w:eastAsia="zh-CN"/>
        </w:rPr>
      </w:pPr>
      <w:r>
        <w:rPr>
          <w:rFonts w:ascii="宋体" w:hAnsi="宋体" w:eastAsia="PMingLiU"/>
          <w:color w:val="auto"/>
          <w:sz w:val="28"/>
          <w:szCs w:val="28"/>
        </w:rPr>
        <w:t>(1</w:t>
      </w:r>
      <w:r>
        <w:rPr>
          <w:rFonts w:hint="eastAsia" w:ascii="宋体" w:hAnsi="宋体" w:eastAsia="宋体"/>
          <w:color w:val="auto"/>
          <w:sz w:val="28"/>
          <w:szCs w:val="28"/>
          <w:lang w:eastAsia="zh-CN"/>
        </w:rPr>
        <w:t>)</w:t>
      </w:r>
      <w:r>
        <w:rPr>
          <w:rFonts w:ascii="宋体" w:hAnsi="宋体" w:eastAsia="宋体"/>
          <w:color w:val="auto"/>
          <w:sz w:val="28"/>
          <w:szCs w:val="28"/>
          <w:lang w:eastAsia="zh-CN"/>
        </w:rPr>
        <w:t>首先应按下列释放源的级别划分区域：①存在连续级释放源的区域划分为0区；②存在第一级释放源的的区可划分为1区；③存在第二级释放源的区域可划分区2区。</w:t>
      </w:r>
    </w:p>
    <w:p>
      <w:pPr>
        <w:spacing w:line="560" w:lineRule="exact"/>
        <w:ind w:firstLine="425" w:firstLineChars="152"/>
        <w:rPr>
          <w:rFonts w:ascii="宋体" w:hAnsi="宋体" w:eastAsia="宋体"/>
          <w:color w:val="auto"/>
          <w:sz w:val="28"/>
          <w:szCs w:val="28"/>
        </w:rPr>
      </w:pPr>
      <w:r>
        <w:rPr>
          <w:rFonts w:ascii="宋体" w:hAnsi="宋体" w:eastAsia="PMingLiU"/>
          <w:color w:val="auto"/>
          <w:sz w:val="28"/>
          <w:szCs w:val="28"/>
        </w:rPr>
        <w:t>(2</w:t>
      </w:r>
      <w:r>
        <w:rPr>
          <w:rFonts w:hint="eastAsia" w:ascii="宋体" w:hAnsi="宋体" w:eastAsia="宋体"/>
          <w:color w:val="auto"/>
          <w:sz w:val="28"/>
          <w:szCs w:val="28"/>
          <w:lang w:eastAsia="zh-CN"/>
        </w:rPr>
        <w:t>)</w:t>
      </w:r>
      <w:r>
        <w:rPr>
          <w:rFonts w:ascii="宋体" w:hAnsi="宋体" w:eastAsia="宋体"/>
          <w:color w:val="auto"/>
          <w:sz w:val="28"/>
          <w:szCs w:val="28"/>
        </w:rPr>
        <w:t>其次应根据通风条件调整区域划分：①当通风良好时，应降低爆炸危险区域等级，当通风不良时应提高爆炸危险区域等级。②局部机械通风在降低爆炸性气体混合物浓度方面比自然通风和一般机械通风更为有效时，可采用局部通风降低爆炸危险区域等级。③在障碍物、凹坑和死角处，应局部提高爆炸危险区域等级。④利用堤或墙等障碍物，限制比空气重的爆炸性气体混合物的扩散，可缩小爆炸危险区域的范围。当符合下列条件之一时，可划为非爆炸危险区域：a.没有释放源并不可能有易燃物质侵入的区域；b.易燃物质可能出现的最高浓度不超过爆炸下限值的10%；c.在生产过程中使用明火的设备附近，或炽热部件的表面温度不超过区域内易燃物质引燃温度的设备附近；d.在生产装置区外，露天或开敞设置的输送易燃物质的架空管道地带，但其阀门处按具体情况定。</w:t>
      </w:r>
    </w:p>
    <w:p>
      <w:pPr>
        <w:spacing w:line="560" w:lineRule="exact"/>
        <w:ind w:firstLine="425" w:firstLineChars="152"/>
        <w:rPr>
          <w:rFonts w:ascii="宋体" w:hAnsi="宋体" w:eastAsia="宋体"/>
          <w:color w:val="auto"/>
          <w:sz w:val="28"/>
          <w:szCs w:val="28"/>
        </w:rPr>
      </w:pPr>
      <w:r>
        <w:rPr>
          <w:rFonts w:ascii="宋体" w:hAnsi="宋体" w:eastAsia="PMingLiU"/>
          <w:color w:val="auto"/>
          <w:sz w:val="28"/>
          <w:szCs w:val="28"/>
        </w:rPr>
        <w:t>2</w:t>
      </w:r>
      <w:r>
        <w:rPr>
          <w:rFonts w:hint="eastAsia" w:ascii="宋体" w:hAnsi="宋体" w:eastAsia="宋体"/>
          <w:color w:val="auto"/>
          <w:sz w:val="28"/>
          <w:szCs w:val="28"/>
          <w:lang w:eastAsia="zh-CN"/>
        </w:rPr>
        <w:t>)</w:t>
      </w:r>
      <w:r>
        <w:rPr>
          <w:rFonts w:ascii="宋体" w:hAnsi="宋体" w:eastAsia="宋体"/>
          <w:color w:val="auto"/>
          <w:sz w:val="28"/>
          <w:szCs w:val="28"/>
        </w:rPr>
        <w:t>爆炸危险区域范围对于易燃物质重于空气、通风良好且为第二级释放源的主要生产装置区，其爆炸危险区域的范围划分，宜符合下列规定(附图2-1及附图2-2)：</w:t>
      </w:r>
    </w:p>
    <w:p>
      <w:pPr>
        <w:jc w:val="center"/>
        <w:rPr>
          <w:color w:val="auto"/>
        </w:rPr>
      </w:pPr>
      <w:r>
        <w:rPr>
          <w:color w:val="auto"/>
          <w:lang w:val="en-US" w:eastAsia="zh-CN" w:bidi="ar-SA"/>
        </w:rPr>
        <w:drawing>
          <wp:inline distT="0" distB="0" distL="0" distR="0">
            <wp:extent cx="5495925" cy="1652270"/>
            <wp:effectExtent l="0" t="0" r="9525" b="5080"/>
            <wp:docPr id="1" name="图片 1" descr="C:/Users/mayn/AppData/Local/Temp/picturecompress_20211118100829/output_21.jpgoutput_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mayn/AppData/Local/Temp/picturecompress_20211118100829/output_21.jpgoutput_21"/>
                    <pic:cNvPicPr>
                      <a:picLocks noChangeAspect="1" noChangeArrowheads="1"/>
                    </pic:cNvPicPr>
                  </pic:nvPicPr>
                  <pic:blipFill>
                    <a:blip r:embed="rId10"/>
                    <a:srcRect/>
                    <a:stretch>
                      <a:fillRect/>
                    </a:stretch>
                  </pic:blipFill>
                  <pic:spPr>
                    <a:xfrm>
                      <a:off x="0" y="0"/>
                      <a:ext cx="5495925" cy="1652270"/>
                    </a:xfrm>
                    <a:prstGeom prst="rect">
                      <a:avLst/>
                    </a:prstGeom>
                    <a:noFill/>
                    <a:ln>
                      <a:noFill/>
                    </a:ln>
                  </pic:spPr>
                </pic:pic>
              </a:graphicData>
            </a:graphic>
          </wp:inline>
        </w:drawing>
      </w:r>
    </w:p>
    <w:p>
      <w:pPr>
        <w:spacing w:line="600" w:lineRule="exact"/>
        <w:jc w:val="center"/>
        <w:rPr>
          <w:rFonts w:ascii="宋体" w:hAnsi="宋体" w:eastAsia="宋体"/>
          <w:b/>
          <w:color w:val="auto"/>
        </w:rPr>
      </w:pPr>
      <w:r>
        <w:rPr>
          <w:rFonts w:ascii="宋体" w:hAnsi="宋体" w:eastAsia="宋体"/>
          <w:b/>
          <w:color w:val="auto"/>
        </w:rPr>
        <w:t>附图2-1释放源接近地坪时易燃物质重于空气、通风良好的生产装置区</w:t>
      </w:r>
    </w:p>
    <w:p>
      <w:pPr>
        <w:jc w:val="center"/>
        <w:rPr>
          <w:color w:val="auto"/>
        </w:rPr>
      </w:pPr>
      <w:r>
        <w:rPr>
          <w:color w:val="auto"/>
          <w:lang w:val="en-US" w:eastAsia="zh-CN" w:bidi="ar-SA"/>
        </w:rPr>
        <w:drawing>
          <wp:inline distT="0" distB="0" distL="0" distR="0">
            <wp:extent cx="5067300" cy="2292350"/>
            <wp:effectExtent l="0" t="0" r="0" b="12700"/>
            <wp:docPr id="2" name="图片 2" descr="C:/Users/mayn/AppData/Local/Temp/picturecompress_20211118100829/output_22.jpgoutput_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mayn/AppData/Local/Temp/picturecompress_20211118100829/output_22.jpgoutput_22"/>
                    <pic:cNvPicPr>
                      <a:picLocks noChangeAspect="1" noChangeArrowheads="1"/>
                    </pic:cNvPicPr>
                  </pic:nvPicPr>
                  <pic:blipFill>
                    <a:blip r:embed="rId11"/>
                    <a:srcRect/>
                    <a:stretch>
                      <a:fillRect/>
                    </a:stretch>
                  </pic:blipFill>
                  <pic:spPr>
                    <a:xfrm>
                      <a:off x="0" y="0"/>
                      <a:ext cx="5067300" cy="2292350"/>
                    </a:xfrm>
                    <a:prstGeom prst="rect">
                      <a:avLst/>
                    </a:prstGeom>
                    <a:noFill/>
                    <a:ln>
                      <a:noFill/>
                    </a:ln>
                  </pic:spPr>
                </pic:pic>
              </a:graphicData>
            </a:graphic>
          </wp:inline>
        </w:drawing>
      </w:r>
    </w:p>
    <w:p>
      <w:pPr>
        <w:spacing w:line="560" w:lineRule="exact"/>
        <w:ind w:firstLine="425" w:firstLineChars="152"/>
        <w:rPr>
          <w:rFonts w:ascii="宋体" w:hAnsi="宋体" w:eastAsia="宋体"/>
          <w:color w:val="auto"/>
          <w:sz w:val="28"/>
          <w:szCs w:val="28"/>
        </w:rPr>
      </w:pPr>
      <w:r>
        <w:rPr>
          <w:rFonts w:ascii="宋体" w:hAnsi="宋体" w:eastAsia="宋体"/>
          <w:color w:val="auto"/>
          <w:sz w:val="28"/>
          <w:szCs w:val="28"/>
        </w:rPr>
        <w:t>(1)在爆炸危险区域内，地坪下的坑、沟划为1区；</w:t>
      </w:r>
    </w:p>
    <w:p>
      <w:pPr>
        <w:spacing w:line="560" w:lineRule="exact"/>
        <w:ind w:firstLine="425" w:firstLineChars="152"/>
        <w:rPr>
          <w:rFonts w:ascii="宋体" w:hAnsi="宋体" w:eastAsia="宋体"/>
          <w:color w:val="auto"/>
          <w:sz w:val="28"/>
          <w:szCs w:val="28"/>
        </w:rPr>
      </w:pPr>
      <w:r>
        <w:rPr>
          <w:rFonts w:ascii="宋体" w:hAnsi="宋体" w:eastAsia="宋体"/>
          <w:color w:val="auto"/>
          <w:sz w:val="28"/>
          <w:szCs w:val="28"/>
        </w:rPr>
        <w:t>⑵以释放源为中心，半径为15m，地坪上的高度为7.5m及半径为7.5m，顶部与释放源的距离为7.5m的范围内划为2区；</w:t>
      </w:r>
    </w:p>
    <w:p>
      <w:pPr>
        <w:spacing w:line="560" w:lineRule="exact"/>
        <w:ind w:firstLine="425" w:firstLineChars="152"/>
        <w:rPr>
          <w:rFonts w:ascii="宋体" w:hAnsi="宋体" w:eastAsia="宋体"/>
          <w:color w:val="auto"/>
          <w:sz w:val="28"/>
          <w:szCs w:val="28"/>
        </w:rPr>
      </w:pPr>
      <w:r>
        <w:rPr>
          <w:rFonts w:ascii="宋体" w:hAnsi="宋体" w:eastAsia="宋体"/>
          <w:color w:val="auto"/>
          <w:sz w:val="28"/>
          <w:szCs w:val="28"/>
        </w:rPr>
        <w:t>⑶以释放源为中心，总半径为30m，地坪上的高度为0.6m，且在2区</w:t>
      </w:r>
    </w:p>
    <w:p>
      <w:pPr>
        <w:spacing w:line="560" w:lineRule="exact"/>
        <w:ind w:firstLine="425" w:firstLineChars="152"/>
        <w:rPr>
          <w:rFonts w:ascii="宋体" w:hAnsi="宋体" w:eastAsia="宋体"/>
          <w:color w:val="auto"/>
          <w:sz w:val="28"/>
          <w:szCs w:val="28"/>
        </w:rPr>
      </w:pPr>
      <w:bookmarkStart w:id="204" w:name="bookmark143"/>
      <w:r>
        <w:rPr>
          <w:rFonts w:ascii="宋体" w:hAnsi="宋体" w:eastAsia="宋体"/>
          <w:color w:val="auto"/>
          <w:sz w:val="28"/>
          <w:szCs w:val="28"/>
        </w:rPr>
        <w:t>以外的范围内划为附加2区。</w:t>
      </w:r>
      <w:bookmarkEnd w:id="204"/>
    </w:p>
    <w:p>
      <w:pPr>
        <w:spacing w:line="560" w:lineRule="exact"/>
        <w:ind w:firstLine="425" w:firstLineChars="152"/>
        <w:rPr>
          <w:rFonts w:ascii="宋体" w:hAnsi="宋体" w:eastAsia="宋体"/>
          <w:color w:val="auto"/>
          <w:sz w:val="28"/>
          <w:szCs w:val="28"/>
        </w:rPr>
      </w:pPr>
      <w:r>
        <w:rPr>
          <w:rFonts w:ascii="宋体" w:hAnsi="宋体" w:eastAsia="宋体"/>
          <w:color w:val="auto"/>
          <w:sz w:val="28"/>
          <w:szCs w:val="28"/>
        </w:rPr>
        <w:t>结论：爆炸危险区域划分结果该项目的甲类车间及甲类仓库属于爆炸危险2区，其余场所属于正常场所。</w:t>
      </w:r>
    </w:p>
    <w:p>
      <w:pPr>
        <w:spacing w:line="560" w:lineRule="exact"/>
        <w:jc w:val="both"/>
        <w:outlineLvl w:val="2"/>
        <w:rPr>
          <w:rFonts w:ascii="宋体" w:hAnsi="宋体" w:eastAsia="宋体" w:cs="Times New Roman"/>
          <w:bCs/>
          <w:color w:val="auto"/>
          <w:kern w:val="2"/>
          <w:sz w:val="28"/>
          <w:szCs w:val="28"/>
          <w:lang w:val="en-US" w:eastAsia="zh-CN" w:bidi="ar-SA"/>
        </w:rPr>
      </w:pPr>
      <w:bookmarkStart w:id="205" w:name="bookmark144"/>
      <w:r>
        <w:rPr>
          <w:rFonts w:ascii="宋体" w:hAnsi="宋体" w:eastAsia="宋体" w:cs="Times New Roman"/>
          <w:bCs/>
          <w:color w:val="auto"/>
          <w:kern w:val="2"/>
          <w:sz w:val="28"/>
          <w:szCs w:val="28"/>
          <w:lang w:val="en-US" w:eastAsia="zh-CN" w:bidi="ar-SA"/>
        </w:rPr>
        <w:t>2.1.8安全检查表评价结果小结</w:t>
      </w:r>
      <w:bookmarkEnd w:id="205"/>
    </w:p>
    <w:p>
      <w:pPr>
        <w:spacing w:line="560" w:lineRule="exact"/>
        <w:ind w:firstLine="425" w:firstLineChars="152"/>
        <w:rPr>
          <w:rFonts w:ascii="宋体" w:hAnsi="宋体" w:eastAsia="宋体"/>
          <w:color w:val="auto"/>
          <w:sz w:val="28"/>
          <w:szCs w:val="28"/>
        </w:rPr>
      </w:pPr>
      <w:r>
        <w:rPr>
          <w:rFonts w:ascii="宋体" w:hAnsi="宋体" w:eastAsia="宋体"/>
          <w:color w:val="auto"/>
          <w:sz w:val="28"/>
          <w:szCs w:val="28"/>
        </w:rPr>
        <w:t>通过对企业的安全管理、生产区、储存区、平面布局、建筑间防火间距、对危险化学品生产企业的安全生产许可条件要求编制安全检查表检查，该公司检查项</w:t>
      </w:r>
      <w:r>
        <w:rPr>
          <w:rFonts w:hint="eastAsia" w:ascii="宋体" w:hAnsi="宋体" w:eastAsia="宋体"/>
          <w:color w:val="auto"/>
          <w:sz w:val="28"/>
          <w:szCs w:val="28"/>
          <w:lang w:eastAsia="zh-CN"/>
        </w:rPr>
        <w:t>共有4项不符合要求。该公司根据整改建议进行了整改，整改后全部符合</w:t>
      </w:r>
      <w:r>
        <w:rPr>
          <w:rFonts w:ascii="宋体" w:hAnsi="宋体" w:eastAsia="宋体"/>
          <w:color w:val="auto"/>
          <w:sz w:val="28"/>
          <w:szCs w:val="28"/>
        </w:rPr>
        <w:t>要求。</w:t>
      </w:r>
    </w:p>
    <w:p>
      <w:pPr>
        <w:spacing w:line="560" w:lineRule="exact"/>
        <w:jc w:val="both"/>
        <w:outlineLvl w:val="1"/>
        <w:rPr>
          <w:rFonts w:ascii="楷体_GB2312" w:hAnsi="Times New Roman" w:eastAsia="楷体_GB2312" w:cs="Times New Roman"/>
          <w:bCs/>
          <w:color w:val="auto"/>
          <w:kern w:val="2"/>
          <w:sz w:val="32"/>
          <w:lang w:val="en-US" w:eastAsia="zh-CN" w:bidi="ar-SA"/>
        </w:rPr>
      </w:pPr>
      <w:bookmarkStart w:id="206" w:name="bookmark145"/>
      <w:bookmarkStart w:id="207" w:name="_Toc40045944"/>
      <w:r>
        <w:rPr>
          <w:rFonts w:ascii="楷体_GB2312" w:hAnsi="Times New Roman" w:eastAsia="楷体_GB2312" w:cs="Times New Roman"/>
          <w:bCs/>
          <w:color w:val="auto"/>
          <w:kern w:val="2"/>
          <w:sz w:val="32"/>
          <w:lang w:val="en-US" w:eastAsia="zh-CN" w:bidi="ar-SA"/>
        </w:rPr>
        <w:t>附件2.2事故树分析法评价法</w:t>
      </w:r>
      <w:bookmarkEnd w:id="206"/>
      <w:bookmarkEnd w:id="207"/>
    </w:p>
    <w:p>
      <w:pPr>
        <w:spacing w:line="560" w:lineRule="exact"/>
        <w:ind w:firstLine="425" w:firstLineChars="152"/>
        <w:rPr>
          <w:rFonts w:ascii="宋体" w:hAnsi="宋体" w:eastAsia="宋体"/>
          <w:color w:val="auto"/>
          <w:sz w:val="28"/>
          <w:szCs w:val="28"/>
        </w:rPr>
      </w:pPr>
      <w:r>
        <w:rPr>
          <w:rFonts w:ascii="宋体" w:hAnsi="宋体" w:eastAsia="宋体"/>
          <w:color w:val="auto"/>
          <w:sz w:val="28"/>
          <w:szCs w:val="28"/>
        </w:rPr>
        <w:t>该公司最主要的危险是火灾爆炸危险。对此，采用事故树分析法对甲类车间的火灾爆炸危险进行评价。</w:t>
      </w:r>
    </w:p>
    <w:p>
      <w:pPr>
        <w:spacing w:line="560" w:lineRule="exact"/>
        <w:jc w:val="both"/>
        <w:outlineLvl w:val="2"/>
        <w:rPr>
          <w:rFonts w:ascii="宋体" w:hAnsi="宋体" w:eastAsia="宋体" w:cs="Times New Roman"/>
          <w:bCs/>
          <w:color w:val="auto"/>
          <w:kern w:val="2"/>
          <w:sz w:val="28"/>
          <w:szCs w:val="28"/>
          <w:lang w:val="en-US" w:eastAsia="zh-CN" w:bidi="ar-SA"/>
        </w:rPr>
      </w:pPr>
      <w:bookmarkStart w:id="208" w:name="bookmark146"/>
      <w:r>
        <w:rPr>
          <w:rFonts w:ascii="宋体" w:hAnsi="宋体" w:eastAsia="宋体" w:cs="Times New Roman"/>
          <w:bCs/>
          <w:color w:val="auto"/>
          <w:kern w:val="2"/>
          <w:sz w:val="28"/>
          <w:szCs w:val="28"/>
          <w:lang w:val="en-US" w:eastAsia="zh-CN" w:bidi="ar-SA"/>
        </w:rPr>
        <w:t>2.2.1评价方法简介</w:t>
      </w:r>
      <w:bookmarkEnd w:id="208"/>
    </w:p>
    <w:p>
      <w:pPr>
        <w:spacing w:line="560" w:lineRule="exact"/>
        <w:ind w:firstLine="425" w:firstLineChars="152"/>
        <w:rPr>
          <w:rFonts w:ascii="宋体" w:hAnsi="宋体" w:eastAsia="宋体"/>
          <w:color w:val="auto"/>
          <w:sz w:val="28"/>
          <w:szCs w:val="28"/>
        </w:rPr>
      </w:pPr>
      <w:r>
        <w:rPr>
          <w:rFonts w:ascii="宋体" w:hAnsi="宋体" w:eastAsia="宋体"/>
          <w:color w:val="auto"/>
          <w:sz w:val="28"/>
          <w:szCs w:val="28"/>
        </w:rPr>
        <w:t>事故树分析(FaultTreeAnalysis，缩写FTA)又称故障树分析，是一种演绎的系统安全分析方法。它是从要分析的特定事故或故障开始，层层分析其发生的原因，一直分析到不能再分解为止；再将特定的事故和各层原因(危险因素)之间用逻辑门符号连接起来，得到形象、简洁地表达其逻辑关系(因果关系)的逻辑树图形，即事故树。通过对事故树的化简、计算达到分析和评价的目的。事故树分析能够详细查明系统各种固有的、潜在的危险因素或事故原因，为制定安全技术对策、采取安全管理措施和事故的调查分析提供依据。</w:t>
      </w:r>
    </w:p>
    <w:p>
      <w:pPr>
        <w:spacing w:line="560" w:lineRule="exact"/>
        <w:ind w:firstLine="425" w:firstLineChars="152"/>
        <w:rPr>
          <w:rFonts w:ascii="宋体" w:hAnsi="宋体" w:eastAsia="宋体"/>
          <w:color w:val="auto"/>
          <w:sz w:val="28"/>
          <w:szCs w:val="28"/>
        </w:rPr>
      </w:pPr>
      <w:r>
        <w:rPr>
          <w:rFonts w:ascii="宋体" w:hAnsi="宋体" w:eastAsia="宋体"/>
          <w:color w:val="auto"/>
          <w:sz w:val="28"/>
          <w:szCs w:val="28"/>
        </w:rPr>
        <w:t>1</w:t>
      </w:r>
      <w:r>
        <w:rPr>
          <w:rFonts w:hint="eastAsia" w:ascii="宋体" w:hAnsi="宋体" w:eastAsia="宋体"/>
          <w:color w:val="auto"/>
          <w:sz w:val="28"/>
          <w:szCs w:val="28"/>
        </w:rPr>
        <w:t>)</w:t>
      </w:r>
      <w:r>
        <w:rPr>
          <w:rFonts w:ascii="宋体" w:hAnsi="宋体" w:eastAsia="宋体"/>
          <w:color w:val="auto"/>
          <w:sz w:val="28"/>
          <w:szCs w:val="28"/>
        </w:rPr>
        <w:t>事故树分析采取以下的评价步骤：</w:t>
      </w:r>
    </w:p>
    <w:p>
      <w:pPr>
        <w:spacing w:line="560" w:lineRule="exact"/>
        <w:ind w:firstLine="425" w:firstLineChars="152"/>
        <w:rPr>
          <w:rFonts w:ascii="宋体" w:hAnsi="宋体" w:eastAsia="宋体"/>
          <w:color w:val="auto"/>
          <w:sz w:val="28"/>
          <w:szCs w:val="28"/>
        </w:rPr>
      </w:pPr>
      <w:r>
        <w:rPr>
          <w:rFonts w:ascii="宋体" w:hAnsi="宋体" w:eastAsia="宋体"/>
          <w:color w:val="auto"/>
          <w:sz w:val="28"/>
          <w:szCs w:val="28"/>
        </w:rPr>
        <w:t>确定分析对象系统和需要分析的对象事件(顶上事件的确定)。通过事故影响分析确定顶上事件(何时、何地、何类)；明确对象系统的边界、分析深度、初始条件、前提条件和不考虑条件，熟悉系统、收集相关资料(工艺、设备、操作、环境、事故等方面的情况和资料)。</w:t>
      </w:r>
    </w:p>
    <w:p>
      <w:pPr>
        <w:spacing w:line="560" w:lineRule="exact"/>
        <w:ind w:firstLine="425" w:firstLineChars="152"/>
        <w:rPr>
          <w:rFonts w:ascii="宋体" w:hAnsi="宋体" w:eastAsia="宋体"/>
          <w:color w:val="auto"/>
          <w:sz w:val="28"/>
          <w:szCs w:val="28"/>
        </w:rPr>
      </w:pPr>
      <w:r>
        <w:rPr>
          <w:rFonts w:ascii="宋体" w:hAnsi="宋体" w:eastAsia="宋体"/>
          <w:color w:val="auto"/>
          <w:sz w:val="28"/>
          <w:szCs w:val="28"/>
        </w:rPr>
        <w:t>2</w:t>
      </w:r>
      <w:r>
        <w:rPr>
          <w:rFonts w:hint="eastAsia" w:ascii="宋体" w:hAnsi="宋体" w:eastAsia="宋体"/>
          <w:color w:val="auto"/>
          <w:sz w:val="28"/>
          <w:szCs w:val="28"/>
        </w:rPr>
        <w:t>)</w:t>
      </w:r>
      <w:r>
        <w:rPr>
          <w:rFonts w:ascii="宋体" w:hAnsi="宋体" w:eastAsia="宋体"/>
          <w:color w:val="auto"/>
          <w:sz w:val="28"/>
          <w:szCs w:val="28"/>
        </w:rPr>
        <w:t>调查原因事故。调查与事故有关的所有直接原因和各种因素(设备故障、人员失误和环境不良因素等)。</w:t>
      </w:r>
    </w:p>
    <w:p>
      <w:pPr>
        <w:spacing w:line="560" w:lineRule="exact"/>
        <w:ind w:firstLine="425" w:firstLineChars="152"/>
        <w:rPr>
          <w:rFonts w:ascii="宋体" w:hAnsi="宋体" w:eastAsia="宋体"/>
          <w:color w:val="auto"/>
          <w:sz w:val="28"/>
          <w:szCs w:val="28"/>
        </w:rPr>
      </w:pPr>
      <w:r>
        <w:rPr>
          <w:rFonts w:ascii="宋体" w:hAnsi="宋体" w:eastAsia="宋体"/>
          <w:color w:val="auto"/>
          <w:sz w:val="28"/>
          <w:szCs w:val="28"/>
        </w:rPr>
        <w:t>3</w:t>
      </w:r>
      <w:r>
        <w:rPr>
          <w:rFonts w:hint="eastAsia" w:ascii="宋体" w:hAnsi="宋体" w:eastAsia="宋体"/>
          <w:color w:val="auto"/>
          <w:sz w:val="28"/>
          <w:szCs w:val="28"/>
        </w:rPr>
        <w:t>)</w:t>
      </w:r>
      <w:r>
        <w:rPr>
          <w:rFonts w:ascii="宋体" w:hAnsi="宋体" w:eastAsia="宋体"/>
          <w:color w:val="auto"/>
          <w:sz w:val="28"/>
          <w:szCs w:val="28"/>
        </w:rPr>
        <w:t>编制事故树。从顶上事件起，逐级分析找出所有原因事件直到最基本的原因事件为止，按其逻辑关系画出事故树。</w:t>
      </w:r>
    </w:p>
    <w:p>
      <w:pPr>
        <w:spacing w:line="560" w:lineRule="exact"/>
        <w:ind w:firstLine="425" w:firstLineChars="152"/>
        <w:rPr>
          <w:rFonts w:ascii="宋体" w:hAnsi="宋体" w:eastAsia="宋体"/>
          <w:color w:val="auto"/>
          <w:sz w:val="28"/>
          <w:szCs w:val="28"/>
        </w:rPr>
      </w:pPr>
      <w:r>
        <w:rPr>
          <w:rFonts w:ascii="宋体" w:hAnsi="宋体" w:eastAsia="宋体"/>
          <w:color w:val="auto"/>
          <w:sz w:val="28"/>
          <w:szCs w:val="28"/>
        </w:rPr>
        <w:t>4</w:t>
      </w:r>
      <w:r>
        <w:rPr>
          <w:rFonts w:hint="eastAsia" w:ascii="宋体" w:hAnsi="宋体" w:eastAsia="宋体"/>
          <w:color w:val="auto"/>
          <w:sz w:val="28"/>
          <w:szCs w:val="28"/>
        </w:rPr>
        <w:t>)</w:t>
      </w:r>
      <w:r>
        <w:rPr>
          <w:rFonts w:ascii="宋体" w:hAnsi="宋体" w:eastAsia="宋体"/>
          <w:color w:val="auto"/>
          <w:sz w:val="28"/>
          <w:szCs w:val="28"/>
        </w:rPr>
        <w:t>事故树定性分析。事故树定性分析是在事故树编制完成后，应用数学方法(主要运用而尔代数法)对事故树中在不同位置重复的基本事件进行简化处理，求出最小径集(不能导致顶上事件发生的最低限度的基本事件的集合)，根据导致事故的最低限度的基本事件，分析确定采取对策措施的重点和先后顺序，从而得出评价结论。</w:t>
      </w:r>
    </w:p>
    <w:p>
      <w:pPr>
        <w:spacing w:line="560" w:lineRule="exact"/>
        <w:jc w:val="both"/>
        <w:outlineLvl w:val="2"/>
        <w:rPr>
          <w:rFonts w:ascii="宋体" w:hAnsi="宋体" w:eastAsia="宋体" w:cs="Times New Roman"/>
          <w:bCs/>
          <w:color w:val="auto"/>
          <w:kern w:val="2"/>
          <w:sz w:val="28"/>
          <w:szCs w:val="28"/>
          <w:lang w:val="en-US" w:eastAsia="zh-CN" w:bidi="ar-SA"/>
        </w:rPr>
      </w:pPr>
      <w:bookmarkStart w:id="209" w:name="bookmark147"/>
      <w:r>
        <w:rPr>
          <w:rFonts w:ascii="宋体" w:hAnsi="宋体" w:eastAsia="宋体" w:cs="Times New Roman"/>
          <w:bCs/>
          <w:color w:val="auto"/>
          <w:kern w:val="2"/>
          <w:sz w:val="28"/>
          <w:szCs w:val="28"/>
          <w:lang w:val="en-US" w:eastAsia="zh-CN" w:bidi="ar-SA"/>
        </w:rPr>
        <w:t>2.2.2火灾爆炸事故树分析过程</w:t>
      </w:r>
      <w:bookmarkEnd w:id="209"/>
    </w:p>
    <w:p>
      <w:pPr>
        <w:spacing w:line="560" w:lineRule="exact"/>
        <w:ind w:firstLine="425" w:firstLineChars="152"/>
        <w:rPr>
          <w:rFonts w:ascii="宋体" w:hAnsi="宋体" w:eastAsia="宋体"/>
          <w:color w:val="auto"/>
          <w:sz w:val="28"/>
          <w:szCs w:val="28"/>
        </w:rPr>
      </w:pPr>
      <w:r>
        <w:rPr>
          <w:rFonts w:ascii="宋体" w:hAnsi="宋体" w:eastAsia="PMingLiU"/>
          <w:color w:val="auto"/>
          <w:sz w:val="28"/>
          <w:szCs w:val="28"/>
        </w:rPr>
        <w:t>1</w:t>
      </w:r>
      <w:r>
        <w:rPr>
          <w:rFonts w:hint="eastAsia" w:ascii="宋体" w:hAnsi="宋体" w:eastAsia="宋体"/>
          <w:color w:val="auto"/>
          <w:sz w:val="28"/>
          <w:szCs w:val="28"/>
          <w:lang w:eastAsia="zh-CN"/>
        </w:rPr>
        <w:t>)</w:t>
      </w:r>
      <w:r>
        <w:rPr>
          <w:rFonts w:ascii="宋体" w:hAnsi="宋体" w:eastAsia="宋体"/>
          <w:color w:val="auto"/>
          <w:sz w:val="28"/>
          <w:szCs w:val="28"/>
        </w:rPr>
        <w:t>编制事故树</w:t>
      </w:r>
    </w:p>
    <w:p>
      <w:pPr>
        <w:spacing w:line="560" w:lineRule="exact"/>
        <w:ind w:firstLine="425" w:firstLineChars="152"/>
        <w:rPr>
          <w:rFonts w:ascii="宋体" w:hAnsi="宋体" w:eastAsia="宋体"/>
          <w:color w:val="auto"/>
          <w:sz w:val="28"/>
          <w:szCs w:val="28"/>
        </w:rPr>
      </w:pPr>
      <w:r>
        <w:rPr>
          <w:rFonts w:ascii="宋体" w:hAnsi="宋体" w:eastAsia="宋体"/>
          <w:color w:val="auto"/>
          <w:sz w:val="28"/>
          <w:szCs w:val="28"/>
        </w:rPr>
        <w:t>本系统的事故为火灾爆炸，根据对系统的研究和现场考察，确定以生产车间火灾爆炸为顶上事故，编制出本系统的事故树，具体见下图。</w:t>
      </w:r>
    </w:p>
    <w:p>
      <w:pPr>
        <w:spacing w:line="560" w:lineRule="exact"/>
        <w:ind w:firstLine="425" w:firstLineChars="152"/>
        <w:rPr>
          <w:rFonts w:ascii="宋体" w:hAnsi="宋体" w:eastAsia="宋体"/>
          <w:color w:val="auto"/>
          <w:sz w:val="28"/>
          <w:szCs w:val="28"/>
        </w:rPr>
      </w:pPr>
      <w:r>
        <w:rPr>
          <w:rFonts w:ascii="宋体" w:hAnsi="宋体" w:eastAsia="宋体"/>
          <w:color w:val="auto"/>
          <w:sz w:val="28"/>
          <w:szCs w:val="28"/>
        </w:rPr>
        <w:t>各事件的符号所代表的意义见附表2-6。</w:t>
      </w:r>
    </w:p>
    <w:p>
      <w:pPr>
        <w:ind w:firstLine="425" w:firstLineChars="152"/>
        <w:rPr>
          <w:color w:val="auto"/>
        </w:rPr>
      </w:pPr>
      <w:r>
        <w:rPr>
          <w:rFonts w:ascii="宋体" w:hAnsi="宋体" w:eastAsia="宋体"/>
          <w:color w:val="auto"/>
          <w:sz w:val="28"/>
          <w:szCs w:val="28"/>
          <w:lang w:val="en-US" w:eastAsia="zh-CN" w:bidi="ar-SA"/>
        </w:rPr>
        <w:pict>
          <v:rect id="Rectangle 33" o:spid="_x0000_s1026" o:spt="1" style="position:absolute;left:0pt;margin-left:94.95pt;margin-top:256.6pt;height:26.4pt;width:28.8pt;mso-position-horizontal-relative:page;mso-position-vertical-relative:page;z-index:-251656192;mso-width-relative:page;mso-height-relative:page;" fillcolor="#FEFEFE" filled="t"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">
            <v:path/>
            <v:fill on="t" focussize="0,0"/>
            <v:stroke on="f"/>
            <v:imagedata o:title=""/>
            <o:lock v:ext="edit"/>
          </v:rect>
        </w:pict>
      </w:r>
      <w:r>
        <w:rPr>
          <w:rFonts w:ascii="宋体" w:hAnsi="宋体" w:eastAsia="宋体"/>
          <w:color w:val="auto"/>
          <w:sz w:val="28"/>
          <w:szCs w:val="28"/>
          <w:lang w:val="en-US" w:eastAsia="zh-CN" w:bidi="ar-SA"/>
        </w:rPr>
        <w:pict>
          <v:rect id="Rectangle 32" o:spid="_x0000_s1606" o:spt="1" style="position:absolute;left:0pt;margin-left:118.2pt;margin-top:295.25pt;height:26.65pt;width:28.55pt;mso-position-horizontal-relative:page;mso-position-vertical-relative:page;z-index:-251656192;mso-width-relative:page;mso-height-relative:page;" fillcolor="#FEFEFE" filled="t"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">
            <v:path/>
            <v:fill on="t" focussize="0,0"/>
            <v:stroke on="f"/>
            <v:imagedata o:title=""/>
            <o:lock v:ext="edit"/>
          </v:rect>
        </w:pict>
      </w:r>
      <w:r>
        <w:rPr>
          <w:rFonts w:ascii="宋体" w:hAnsi="宋体" w:eastAsia="宋体"/>
          <w:color w:val="auto"/>
          <w:sz w:val="28"/>
          <w:szCs w:val="28"/>
          <w:lang w:val="en-US" w:eastAsia="zh-CN" w:bidi="ar-SA"/>
        </w:rPr>
        <w:pict>
          <v:rect id="Rectangle 31" o:spid="_x0000_s1605" o:spt="1" style="position:absolute;left:0pt;margin-left:128.55pt;margin-top:255.65pt;height:26.4pt;width:28.8pt;mso-position-horizontal-relative:page;mso-position-vertical-relative:page;z-index:-251656192;mso-width-relative:page;mso-height-relative:page;" fillcolor="#FEFEFE" filled="t"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">
            <v:path/>
            <v:fill on="t" focussize="0,0"/>
            <v:stroke on="f"/>
            <v:imagedata o:title=""/>
            <o:lock v:ext="edit"/>
          </v:rect>
        </w:pict>
      </w:r>
      <w:r>
        <w:rPr>
          <w:rFonts w:ascii="宋体" w:hAnsi="宋体" w:eastAsia="宋体"/>
          <w:color w:val="auto"/>
          <w:sz w:val="28"/>
          <w:szCs w:val="28"/>
          <w:lang w:val="en-US" w:eastAsia="zh-CN" w:bidi="ar-SA"/>
        </w:rPr>
        <w:pict>
          <v:rect id="Rectangle 30" o:spid="_x0000_s1604" o:spt="1" style="position:absolute;left:0pt;margin-left:156.85pt;margin-top:297.15pt;height:26.65pt;width:28.55pt;mso-position-horizontal-relative:page;mso-position-vertical-relative:page;z-index:-251656192;mso-width-relative:page;mso-height-relative:page;" fillcolor="#FEFEFE" filled="t"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">
            <v:path/>
            <v:fill on="t" focussize="0,0"/>
            <v:stroke on="f"/>
            <v:imagedata o:title=""/>
            <o:lock v:ext="edit"/>
          </v:rect>
        </w:pict>
      </w:r>
      <w:r>
        <w:rPr>
          <w:rFonts w:ascii="宋体" w:hAnsi="宋体" w:eastAsia="宋体"/>
          <w:color w:val="auto"/>
          <w:sz w:val="28"/>
          <w:szCs w:val="28"/>
          <w:lang w:val="en-US" w:eastAsia="zh-CN" w:bidi="ar-SA"/>
        </w:rPr>
        <w:pict>
          <v:rect id="Rectangle 29" o:spid="_x0000_s1603" o:spt="1" style="position:absolute;left:0pt;margin-left:171.75pt;margin-top:430.35pt;height:30.5pt;width:32.4pt;mso-position-horizontal-relative:page;mso-position-vertical-relative:page;z-index:-251656192;mso-width-relative:page;mso-height-relative:page;" fillcolor="#FEFEFE" filled="t"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">
            <v:path/>
            <v:fill on="t" focussize="0,0"/>
            <v:stroke on="f"/>
            <v:imagedata o:title=""/>
            <o:lock v:ext="edit"/>
          </v:rect>
        </w:pict>
      </w:r>
      <w:r>
        <w:rPr>
          <w:rFonts w:ascii="宋体" w:hAnsi="宋体" w:eastAsia="宋体"/>
          <w:color w:val="auto"/>
          <w:sz w:val="28"/>
          <w:szCs w:val="28"/>
          <w:lang w:val="en-US" w:eastAsia="zh-CN" w:bidi="ar-SA"/>
        </w:rPr>
        <w:pict>
          <v:rect id="Rectangle 28" o:spid="_x0000_s1602" o:spt="1" style="position:absolute;left:0pt;margin-left:237.75pt;margin-top:367.7pt;height:26.65pt;width:28.8pt;mso-position-horizontal-relative:page;mso-position-vertical-relative:page;z-index:-251656192;mso-width-relative:page;mso-height-relative:page;" fillcolor="#FEFEFE" filled="t"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">
            <v:path/>
            <v:fill on="t" focussize="0,0"/>
            <v:stroke on="f"/>
            <v:imagedata o:title=""/>
            <o:lock v:ext="edit"/>
          </v:rect>
        </w:pict>
      </w:r>
      <w:r>
        <w:rPr>
          <w:rFonts w:ascii="宋体" w:hAnsi="宋体" w:eastAsia="宋体"/>
          <w:color w:val="auto"/>
          <w:sz w:val="28"/>
          <w:szCs w:val="28"/>
          <w:lang w:val="en-US" w:eastAsia="zh-CN" w:bidi="ar-SA"/>
        </w:rPr>
        <w:pict>
          <v:rect id="Rectangle 27" o:spid="_x0000_s1601" o:spt="1" style="position:absolute;left:0pt;margin-left:243.25pt;margin-top:430.6pt;height:29.5pt;width:32.65pt;mso-position-horizontal-relative:page;mso-position-vertical-relative:page;z-index:-251656192;mso-width-relative:page;mso-height-relative:page;" fillcolor="#FEFEFE" filled="t"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">
            <v:path/>
            <v:fill on="t" focussize="0,0"/>
            <v:stroke on="f"/>
            <v:imagedata o:title=""/>
            <o:lock v:ext="edit"/>
          </v:rect>
        </w:pict>
      </w:r>
      <w:r>
        <w:rPr>
          <w:rFonts w:ascii="宋体" w:hAnsi="宋体" w:eastAsia="宋体"/>
          <w:color w:val="auto"/>
          <w:sz w:val="28"/>
          <w:szCs w:val="28"/>
          <w:lang w:val="en-US" w:eastAsia="zh-CN" w:bidi="ar-SA"/>
        </w:rPr>
        <w:pict>
          <v:rect id="Rectangle 26" o:spid="_x0000_s1600" o:spt="1" style="position:absolute;left:0pt;margin-left:277.35pt;margin-top:433pt;height:27.6pt;width:31.2pt;mso-position-horizontal-relative:page;mso-position-vertical-relative:page;z-index:-251656192;mso-width-relative:page;mso-height-relative:page;" fillcolor="#FEFEFE" filled="t"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">
            <v:path/>
            <v:fill on="t" focussize="0,0"/>
            <v:stroke on="f"/>
            <v:imagedata o:title=""/>
            <o:lock v:ext="edit"/>
          </v:rect>
        </w:pict>
      </w:r>
      <w:r>
        <w:rPr>
          <w:rFonts w:ascii="宋体" w:hAnsi="宋体" w:eastAsia="宋体"/>
          <w:color w:val="auto"/>
          <w:sz w:val="28"/>
          <w:szCs w:val="28"/>
          <w:lang w:val="en-US" w:eastAsia="zh-CN" w:bidi="ar-SA"/>
        </w:rPr>
        <w:pict>
          <v:rect id="Rectangle 25" o:spid="_x0000_s1599" o:spt="1" style="position:absolute;left:0pt;margin-left:304.95pt;margin-top:261.65pt;height:28.1pt;width:32.15pt;mso-position-horizontal-relative:page;mso-position-vertical-relative:page;z-index:-251656192;mso-width-relative:page;mso-height-relative:page;" fillcolor="#FEFEFE" filled="t"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">
            <v:path/>
            <v:fill on="t" focussize="0,0"/>
            <v:stroke on="f"/>
            <v:imagedata o:title=""/>
            <o:lock v:ext="edit"/>
          </v:rect>
        </w:pict>
      </w:r>
      <w:r>
        <w:rPr>
          <w:rFonts w:ascii="宋体" w:hAnsi="宋体" w:eastAsia="宋体"/>
          <w:color w:val="auto"/>
          <w:sz w:val="28"/>
          <w:szCs w:val="28"/>
          <w:lang w:val="en-US" w:eastAsia="zh-CN" w:bidi="ar-SA"/>
        </w:rPr>
        <w:pict>
          <v:rect id="Rectangle 24" o:spid="_x0000_s1598" o:spt="1" style="position:absolute;left:0pt;margin-left:447.75pt;margin-top:272.9pt;height:28.8pt;width:31.2pt;mso-position-horizontal-relative:page;mso-position-vertical-relative:page;z-index:-251656192;mso-width-relative:page;mso-height-relative:page;" fillcolor="#FEFEFE" filled="t"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">
            <v:path/>
            <v:fill on="t" focussize="0,0"/>
            <v:stroke on="f"/>
            <v:imagedata o:title=""/>
            <o:lock v:ext="edit"/>
          </v:rect>
        </w:pict>
      </w:r>
      <w:r>
        <w:rPr>
          <w:color w:val="auto"/>
          <w:lang w:val="en-US" w:eastAsia="zh-CN" w:bidi="ar-SA"/>
        </w:rPr>
        <w:drawing>
          <wp:inline distT="0" distB="0" distL="0" distR="0">
            <wp:extent cx="5524500" cy="4968240"/>
            <wp:effectExtent l="0" t="0" r="0" b="3810"/>
            <wp:docPr id="3" name="图片 3" descr="C:/Users/mayn/AppData/Local/Temp/picturecompress_20211118100829/output_23.jpgoutput_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mayn/AppData/Local/Temp/picturecompress_20211118100829/output_23.jpgoutput_23"/>
                    <pic:cNvPicPr>
                      <a:picLocks noChangeAspect="1" noChangeArrowheads="1"/>
                    </pic:cNvPicPr>
                  </pic:nvPicPr>
                  <pic:blipFill>
                    <a:blip r:embed="rId12"/>
                    <a:srcRect/>
                    <a:stretch>
                      <a:fillRect/>
                    </a:stretch>
                  </pic:blipFill>
                  <pic:spPr>
                    <a:xfrm>
                      <a:off x="0" y="0"/>
                      <a:ext cx="5524500" cy="4968240"/>
                    </a:xfrm>
                    <a:prstGeom prst="rect">
                      <a:avLst/>
                    </a:prstGeom>
                    <a:noFill/>
                    <a:ln>
                      <a:noFill/>
                    </a:ln>
                  </pic:spPr>
                </pic:pic>
              </a:graphicData>
            </a:graphic>
          </wp:inline>
        </w:drawing>
      </w:r>
    </w:p>
    <w:p>
      <w:pPr>
        <w:spacing w:line="600" w:lineRule="exact"/>
        <w:jc w:val="center"/>
        <w:rPr>
          <w:rFonts w:ascii="宋体" w:hAnsi="宋体" w:eastAsia="宋体"/>
          <w:b/>
          <w:color w:val="auto"/>
        </w:rPr>
      </w:pPr>
      <w:r>
        <w:rPr>
          <w:rFonts w:ascii="宋体" w:hAnsi="宋体" w:eastAsia="宋体"/>
          <w:b/>
          <w:color w:val="auto"/>
        </w:rPr>
        <w:t>附图2-3生产车间燃烧爆炸事故树模型图</w:t>
      </w:r>
    </w:p>
    <w:p>
      <w:pPr>
        <w:widowControl/>
        <w:rPr>
          <w:rFonts w:ascii="宋体" w:hAnsi="宋体" w:eastAsia="宋体" w:cs="宋体"/>
          <w:color w:val="auto"/>
          <w:lang w:val="en-US" w:eastAsia="zh-CN" w:bidi="ar-SA"/>
        </w:rPr>
      </w:pPr>
      <w:r>
        <w:rPr>
          <w:rFonts w:ascii="宋体" w:hAnsi="宋体" w:eastAsia="宋体" w:cs="宋体"/>
          <w:color w:val="auto"/>
          <w:lang w:val="en-US" w:eastAsia="zh-CN" w:bidi="ar-SA"/>
        </w:rPr>
        <w:drawing>
          <wp:inline distT="0" distB="0" distL="0" distR="0">
            <wp:extent cx="5457825" cy="2228850"/>
            <wp:effectExtent l="0" t="0" r="9525" b="0"/>
            <wp:docPr id="19" name="图片 19" descr="C:/Users/mayn/AppData/Local/Temp/picturecompress_20211118100829/output_24.jpgoutput_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C:/Users/mayn/AppData/Local/Temp/picturecompress_20211118100829/output_24.jpgoutput_24"/>
                    <pic:cNvPicPr>
                      <a:picLocks noChangeAspect="1" noChangeArrowheads="1"/>
                    </pic:cNvPicPr>
                  </pic:nvPicPr>
                  <pic:blipFill>
                    <a:blip r:embed="rId13"/>
                    <a:srcRect/>
                    <a:stretch>
                      <a:fillRect/>
                    </a:stretch>
                  </pic:blipFill>
                  <pic:spPr>
                    <a:xfrm>
                      <a:off x="0" y="0"/>
                      <a:ext cx="5457825" cy="2228850"/>
                    </a:xfrm>
                    <a:prstGeom prst="rect">
                      <a:avLst/>
                    </a:prstGeom>
                    <a:noFill/>
                    <a:ln>
                      <a:noFill/>
                    </a:ln>
                  </pic:spPr>
                </pic:pic>
              </a:graphicData>
            </a:graphic>
          </wp:inline>
        </w:drawing>
      </w:r>
    </w:p>
    <w:p>
      <w:pPr>
        <w:spacing w:line="600" w:lineRule="exact"/>
        <w:jc w:val="center"/>
        <w:rPr>
          <w:rFonts w:ascii="宋体" w:hAnsi="宋体" w:eastAsia="PMingLiU"/>
          <w:b/>
          <w:color w:val="auto"/>
        </w:rPr>
      </w:pPr>
      <w:r>
        <w:rPr>
          <w:rFonts w:ascii="宋体" w:hAnsi="宋体" w:eastAsia="宋体"/>
          <w:b/>
          <w:color w:val="auto"/>
        </w:rPr>
        <w:t>附表2-</w:t>
      </w:r>
      <w:r>
        <w:rPr>
          <w:rFonts w:hint="eastAsia" w:ascii="宋体" w:hAnsi="宋体" w:eastAsia="宋体"/>
          <w:b/>
          <w:color w:val="auto"/>
          <w:lang w:eastAsia="zh-CN"/>
        </w:rPr>
        <w:t>9</w:t>
      </w:r>
      <w:r>
        <w:rPr>
          <w:rFonts w:ascii="宋体" w:hAnsi="宋体" w:eastAsia="宋体"/>
          <w:b/>
          <w:color w:val="auto"/>
        </w:rPr>
        <w:t>生产车间火灾爆炸事故树符号含义</w:t>
      </w:r>
    </w:p>
    <w:tbl>
      <w:tblPr>
        <w:tblStyle w:val="45"/>
        <w:tblW w:w="5000" w:type="pct"/>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1044"/>
        <w:gridCol w:w="3365"/>
        <w:gridCol w:w="947"/>
        <w:gridCol w:w="4038"/>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1019"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T</w:t>
            </w:r>
          </w:p>
        </w:tc>
        <w:tc>
          <w:tcPr>
            <w:tcW w:w="3285"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生产车间发生燃烧爆炸事故</w:t>
            </w:r>
          </w:p>
        </w:tc>
        <w:tc>
          <w:tcPr>
            <w:tcW w:w="925" w:type="dxa"/>
            <w:vAlign w:val="center"/>
          </w:tcPr>
          <w:p>
            <w:pPr>
              <w:spacing w:line="360" w:lineRule="exact"/>
              <w:jc w:val="center"/>
              <w:rPr>
                <w:rFonts w:ascii="宋体" w:hAnsi="宋体" w:eastAsia="宋体"/>
                <w:color w:val="auto"/>
                <w:sz w:val="21"/>
                <w:szCs w:val="21"/>
                <w:vertAlign w:val="subscript"/>
              </w:rPr>
            </w:pPr>
          </w:p>
        </w:tc>
        <w:tc>
          <w:tcPr>
            <w:tcW w:w="3943" w:type="dxa"/>
            <w:vAlign w:val="center"/>
          </w:tcPr>
          <w:p>
            <w:pPr>
              <w:spacing w:line="360" w:lineRule="exact"/>
              <w:jc w:val="center"/>
              <w:rPr>
                <w:rFonts w:ascii="宋体" w:hAnsi="宋体" w:eastAsia="宋体"/>
                <w:color w:val="auto"/>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1019" w:type="dxa"/>
            <w:vAlign w:val="center"/>
          </w:tcPr>
          <w:p>
            <w:pPr>
              <w:spacing w:line="360" w:lineRule="exact"/>
              <w:jc w:val="center"/>
              <w:rPr>
                <w:rFonts w:ascii="宋体" w:hAnsi="宋体" w:eastAsia="宋体"/>
                <w:color w:val="auto"/>
                <w:sz w:val="21"/>
                <w:szCs w:val="21"/>
                <w:vertAlign w:val="subscript"/>
              </w:rPr>
            </w:pPr>
            <w:r>
              <w:rPr>
                <w:rFonts w:hint="eastAsia" w:ascii="宋体" w:hAnsi="宋体" w:eastAsia="宋体"/>
                <w:color w:val="auto"/>
                <w:sz w:val="21"/>
                <w:szCs w:val="21"/>
              </w:rPr>
              <w:t>A</w:t>
            </w:r>
            <w:r>
              <w:rPr>
                <w:rFonts w:hint="eastAsia" w:ascii="宋体" w:hAnsi="宋体" w:eastAsia="宋体"/>
                <w:color w:val="auto"/>
                <w:sz w:val="21"/>
                <w:szCs w:val="21"/>
                <w:vertAlign w:val="subscript"/>
              </w:rPr>
              <w:t>1</w:t>
            </w:r>
          </w:p>
        </w:tc>
        <w:tc>
          <w:tcPr>
            <w:tcW w:w="3285"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火源</w:t>
            </w:r>
          </w:p>
        </w:tc>
        <w:tc>
          <w:tcPr>
            <w:tcW w:w="925" w:type="dxa"/>
            <w:vAlign w:val="center"/>
          </w:tcPr>
          <w:p>
            <w:pPr>
              <w:spacing w:line="360" w:lineRule="exact"/>
              <w:jc w:val="center"/>
              <w:rPr>
                <w:rFonts w:ascii="宋体" w:hAnsi="宋体" w:eastAsia="宋体"/>
                <w:color w:val="auto"/>
                <w:sz w:val="21"/>
                <w:szCs w:val="21"/>
                <w:vertAlign w:val="subscript"/>
              </w:rPr>
            </w:pPr>
            <w:r>
              <w:rPr>
                <w:rFonts w:hint="eastAsia" w:ascii="宋体" w:hAnsi="宋体" w:eastAsia="宋体"/>
                <w:color w:val="auto"/>
                <w:sz w:val="21"/>
                <w:szCs w:val="21"/>
              </w:rPr>
              <w:t>A</w:t>
            </w:r>
            <w:r>
              <w:rPr>
                <w:rFonts w:hint="eastAsia" w:ascii="宋体" w:hAnsi="宋体" w:eastAsia="宋体"/>
                <w:color w:val="auto"/>
                <w:sz w:val="21"/>
                <w:szCs w:val="21"/>
                <w:vertAlign w:val="subscript"/>
              </w:rPr>
              <w:t>2</w:t>
            </w:r>
          </w:p>
        </w:tc>
        <w:tc>
          <w:tcPr>
            <w:tcW w:w="3943"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挥发的蒸气与空气达到爆炸极限</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1019" w:type="dxa"/>
            <w:vAlign w:val="center"/>
          </w:tcPr>
          <w:p>
            <w:pPr>
              <w:spacing w:line="360" w:lineRule="exact"/>
              <w:jc w:val="center"/>
              <w:rPr>
                <w:rFonts w:ascii="宋体" w:hAnsi="宋体" w:eastAsia="宋体"/>
                <w:color w:val="auto"/>
                <w:sz w:val="21"/>
                <w:szCs w:val="21"/>
                <w:vertAlign w:val="subscript"/>
              </w:rPr>
            </w:pPr>
            <w:r>
              <w:rPr>
                <w:rFonts w:hint="eastAsia" w:ascii="宋体" w:hAnsi="宋体" w:eastAsia="宋体"/>
                <w:color w:val="auto"/>
                <w:sz w:val="21"/>
                <w:szCs w:val="21"/>
              </w:rPr>
              <w:t>B</w:t>
            </w:r>
            <w:r>
              <w:rPr>
                <w:rFonts w:hint="eastAsia" w:ascii="宋体" w:hAnsi="宋体" w:eastAsia="宋体"/>
                <w:color w:val="auto"/>
                <w:sz w:val="21"/>
                <w:szCs w:val="21"/>
                <w:vertAlign w:val="subscript"/>
              </w:rPr>
              <w:t>1</w:t>
            </w:r>
          </w:p>
        </w:tc>
        <w:tc>
          <w:tcPr>
            <w:tcW w:w="3285"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明火</w:t>
            </w:r>
          </w:p>
        </w:tc>
        <w:tc>
          <w:tcPr>
            <w:tcW w:w="925" w:type="dxa"/>
            <w:vAlign w:val="center"/>
          </w:tcPr>
          <w:p>
            <w:pPr>
              <w:spacing w:line="360" w:lineRule="exact"/>
              <w:jc w:val="center"/>
              <w:rPr>
                <w:rFonts w:ascii="宋体" w:hAnsi="宋体" w:eastAsia="宋体"/>
                <w:color w:val="auto"/>
                <w:sz w:val="21"/>
                <w:szCs w:val="21"/>
                <w:vertAlign w:val="subscript"/>
              </w:rPr>
            </w:pPr>
            <w:r>
              <w:rPr>
                <w:rFonts w:hint="eastAsia" w:ascii="宋体" w:hAnsi="宋体" w:eastAsia="宋体"/>
                <w:color w:val="auto"/>
                <w:sz w:val="21"/>
                <w:szCs w:val="21"/>
              </w:rPr>
              <w:t>B</w:t>
            </w:r>
            <w:r>
              <w:rPr>
                <w:rFonts w:hint="eastAsia" w:ascii="宋体" w:hAnsi="宋体" w:eastAsia="宋体"/>
                <w:color w:val="auto"/>
                <w:sz w:val="21"/>
                <w:szCs w:val="21"/>
                <w:vertAlign w:val="subscript"/>
              </w:rPr>
              <w:t>2</w:t>
            </w:r>
          </w:p>
        </w:tc>
        <w:tc>
          <w:tcPr>
            <w:tcW w:w="3943"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电火花</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1019" w:type="dxa"/>
            <w:vAlign w:val="center"/>
          </w:tcPr>
          <w:p>
            <w:pPr>
              <w:spacing w:line="360" w:lineRule="exact"/>
              <w:jc w:val="center"/>
              <w:rPr>
                <w:rFonts w:ascii="宋体" w:hAnsi="宋体" w:eastAsia="宋体"/>
                <w:color w:val="auto"/>
                <w:sz w:val="21"/>
                <w:szCs w:val="21"/>
                <w:vertAlign w:val="subscript"/>
              </w:rPr>
            </w:pPr>
            <w:r>
              <w:rPr>
                <w:rFonts w:hint="eastAsia" w:ascii="宋体" w:hAnsi="宋体" w:eastAsia="宋体"/>
                <w:color w:val="auto"/>
                <w:sz w:val="21"/>
                <w:szCs w:val="21"/>
              </w:rPr>
              <w:t>B</w:t>
            </w:r>
            <w:r>
              <w:rPr>
                <w:rFonts w:hint="eastAsia" w:ascii="宋体" w:hAnsi="宋体" w:eastAsia="宋体"/>
                <w:color w:val="auto"/>
                <w:sz w:val="21"/>
                <w:szCs w:val="21"/>
                <w:vertAlign w:val="subscript"/>
              </w:rPr>
              <w:t>3</w:t>
            </w:r>
          </w:p>
        </w:tc>
        <w:tc>
          <w:tcPr>
            <w:tcW w:w="3285"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撞击火花</w:t>
            </w:r>
          </w:p>
        </w:tc>
        <w:tc>
          <w:tcPr>
            <w:tcW w:w="925" w:type="dxa"/>
            <w:vAlign w:val="center"/>
          </w:tcPr>
          <w:p>
            <w:pPr>
              <w:spacing w:line="360" w:lineRule="exact"/>
              <w:jc w:val="center"/>
              <w:rPr>
                <w:rFonts w:ascii="宋体" w:hAnsi="宋体" w:eastAsia="宋体"/>
                <w:color w:val="auto"/>
                <w:sz w:val="21"/>
                <w:szCs w:val="21"/>
                <w:vertAlign w:val="subscript"/>
              </w:rPr>
            </w:pPr>
            <w:r>
              <w:rPr>
                <w:rFonts w:hint="eastAsia" w:ascii="宋体" w:hAnsi="宋体" w:eastAsia="宋体"/>
                <w:color w:val="auto"/>
                <w:sz w:val="21"/>
                <w:szCs w:val="21"/>
              </w:rPr>
              <w:t>B</w:t>
            </w:r>
            <w:r>
              <w:rPr>
                <w:rFonts w:hint="eastAsia" w:ascii="宋体" w:hAnsi="宋体" w:eastAsia="宋体"/>
                <w:color w:val="auto"/>
                <w:sz w:val="21"/>
                <w:szCs w:val="21"/>
                <w:vertAlign w:val="subscript"/>
              </w:rPr>
              <w:t>4</w:t>
            </w:r>
          </w:p>
        </w:tc>
        <w:tc>
          <w:tcPr>
            <w:tcW w:w="3943"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静电火花</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1019" w:type="dxa"/>
            <w:vAlign w:val="center"/>
          </w:tcPr>
          <w:p>
            <w:pPr>
              <w:spacing w:line="360" w:lineRule="exact"/>
              <w:jc w:val="center"/>
              <w:rPr>
                <w:rFonts w:ascii="宋体" w:hAnsi="宋体" w:eastAsia="宋体"/>
                <w:color w:val="auto"/>
                <w:sz w:val="21"/>
                <w:szCs w:val="21"/>
                <w:vertAlign w:val="subscript"/>
              </w:rPr>
            </w:pPr>
            <w:r>
              <w:rPr>
                <w:rFonts w:hint="eastAsia" w:ascii="宋体" w:hAnsi="宋体" w:eastAsia="宋体"/>
                <w:color w:val="auto"/>
                <w:sz w:val="21"/>
                <w:szCs w:val="21"/>
              </w:rPr>
              <w:t>B</w:t>
            </w:r>
            <w:r>
              <w:rPr>
                <w:rFonts w:hint="eastAsia" w:ascii="宋体" w:hAnsi="宋体" w:eastAsia="宋体"/>
                <w:color w:val="auto"/>
                <w:sz w:val="21"/>
                <w:szCs w:val="21"/>
                <w:vertAlign w:val="subscript"/>
              </w:rPr>
              <w:t>5</w:t>
            </w:r>
          </w:p>
        </w:tc>
        <w:tc>
          <w:tcPr>
            <w:tcW w:w="3285"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高温物体或高温表面</w:t>
            </w:r>
          </w:p>
        </w:tc>
        <w:tc>
          <w:tcPr>
            <w:tcW w:w="925" w:type="dxa"/>
            <w:vAlign w:val="center"/>
          </w:tcPr>
          <w:p>
            <w:pPr>
              <w:spacing w:line="360" w:lineRule="exact"/>
              <w:jc w:val="center"/>
              <w:rPr>
                <w:rFonts w:ascii="宋体" w:hAnsi="宋体" w:eastAsia="宋体"/>
                <w:color w:val="auto"/>
                <w:sz w:val="21"/>
                <w:szCs w:val="21"/>
                <w:vertAlign w:val="subscript"/>
              </w:rPr>
            </w:pPr>
            <w:r>
              <w:rPr>
                <w:rFonts w:hint="eastAsia" w:ascii="宋体" w:hAnsi="宋体" w:eastAsia="宋体"/>
                <w:color w:val="auto"/>
                <w:sz w:val="21"/>
                <w:szCs w:val="21"/>
              </w:rPr>
              <w:t>B</w:t>
            </w:r>
            <w:r>
              <w:rPr>
                <w:rFonts w:hint="eastAsia" w:ascii="宋体" w:hAnsi="宋体" w:eastAsia="宋体"/>
                <w:color w:val="auto"/>
                <w:sz w:val="21"/>
                <w:szCs w:val="21"/>
                <w:vertAlign w:val="subscript"/>
              </w:rPr>
              <w:t>6</w:t>
            </w:r>
          </w:p>
        </w:tc>
        <w:tc>
          <w:tcPr>
            <w:tcW w:w="3943"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物体自燃</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1019" w:type="dxa"/>
            <w:vAlign w:val="center"/>
          </w:tcPr>
          <w:p>
            <w:pPr>
              <w:spacing w:line="360" w:lineRule="exact"/>
              <w:jc w:val="center"/>
              <w:rPr>
                <w:rFonts w:ascii="宋体" w:hAnsi="宋体" w:eastAsia="宋体"/>
                <w:color w:val="auto"/>
                <w:sz w:val="21"/>
                <w:szCs w:val="21"/>
                <w:vertAlign w:val="subscript"/>
              </w:rPr>
            </w:pPr>
            <w:r>
              <w:rPr>
                <w:rFonts w:hint="eastAsia" w:ascii="宋体" w:hAnsi="宋体" w:eastAsia="宋体"/>
                <w:color w:val="auto"/>
                <w:sz w:val="21"/>
                <w:szCs w:val="21"/>
              </w:rPr>
              <w:t>B</w:t>
            </w:r>
            <w:r>
              <w:rPr>
                <w:rFonts w:hint="eastAsia" w:ascii="宋体" w:hAnsi="宋体" w:eastAsia="宋体"/>
                <w:color w:val="auto"/>
                <w:sz w:val="21"/>
                <w:szCs w:val="21"/>
                <w:vertAlign w:val="subscript"/>
              </w:rPr>
              <w:t>7</w:t>
            </w:r>
          </w:p>
        </w:tc>
        <w:tc>
          <w:tcPr>
            <w:tcW w:w="3285"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雷击火花</w:t>
            </w:r>
          </w:p>
        </w:tc>
        <w:tc>
          <w:tcPr>
            <w:tcW w:w="925" w:type="dxa"/>
            <w:vAlign w:val="center"/>
          </w:tcPr>
          <w:p>
            <w:pPr>
              <w:spacing w:line="360" w:lineRule="exact"/>
              <w:jc w:val="center"/>
              <w:rPr>
                <w:rFonts w:ascii="宋体" w:hAnsi="宋体" w:eastAsia="宋体"/>
                <w:color w:val="auto"/>
                <w:sz w:val="21"/>
                <w:szCs w:val="21"/>
                <w:vertAlign w:val="subscript"/>
              </w:rPr>
            </w:pPr>
            <w:r>
              <w:rPr>
                <w:rFonts w:hint="eastAsia" w:ascii="宋体" w:hAnsi="宋体" w:eastAsia="宋体"/>
                <w:color w:val="auto"/>
                <w:sz w:val="21"/>
                <w:szCs w:val="21"/>
              </w:rPr>
              <w:t>B</w:t>
            </w:r>
            <w:r>
              <w:rPr>
                <w:rFonts w:hint="eastAsia" w:ascii="宋体" w:hAnsi="宋体" w:eastAsia="宋体"/>
                <w:color w:val="auto"/>
                <w:sz w:val="21"/>
                <w:szCs w:val="21"/>
                <w:vertAlign w:val="subscript"/>
              </w:rPr>
              <w:t>8</w:t>
            </w:r>
          </w:p>
        </w:tc>
        <w:tc>
          <w:tcPr>
            <w:tcW w:w="3943"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爆炸性混合物发生泄漏</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1019" w:type="dxa"/>
            <w:vAlign w:val="center"/>
          </w:tcPr>
          <w:p>
            <w:pPr>
              <w:spacing w:line="360" w:lineRule="exact"/>
              <w:jc w:val="center"/>
              <w:rPr>
                <w:rFonts w:ascii="宋体" w:hAnsi="宋体" w:eastAsia="宋体"/>
                <w:color w:val="auto"/>
                <w:sz w:val="21"/>
                <w:szCs w:val="21"/>
                <w:vertAlign w:val="subscript"/>
              </w:rPr>
            </w:pPr>
            <w:r>
              <w:rPr>
                <w:rFonts w:hint="eastAsia" w:ascii="宋体" w:hAnsi="宋体" w:eastAsia="宋体"/>
                <w:color w:val="auto"/>
                <w:sz w:val="21"/>
                <w:szCs w:val="21"/>
              </w:rPr>
              <w:t>C</w:t>
            </w:r>
            <w:r>
              <w:rPr>
                <w:rFonts w:hint="eastAsia" w:ascii="宋体" w:hAnsi="宋体" w:eastAsia="宋体"/>
                <w:color w:val="auto"/>
                <w:sz w:val="21"/>
                <w:szCs w:val="21"/>
                <w:vertAlign w:val="subscript"/>
              </w:rPr>
              <w:t>1</w:t>
            </w:r>
          </w:p>
        </w:tc>
        <w:tc>
          <w:tcPr>
            <w:tcW w:w="3285"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人体静电放电</w:t>
            </w:r>
          </w:p>
        </w:tc>
        <w:tc>
          <w:tcPr>
            <w:tcW w:w="925" w:type="dxa"/>
            <w:vAlign w:val="center"/>
          </w:tcPr>
          <w:p>
            <w:pPr>
              <w:spacing w:line="360" w:lineRule="exact"/>
              <w:jc w:val="center"/>
              <w:rPr>
                <w:rFonts w:ascii="宋体" w:hAnsi="宋体" w:eastAsia="宋体"/>
                <w:color w:val="auto"/>
                <w:sz w:val="21"/>
                <w:szCs w:val="21"/>
                <w:vertAlign w:val="subscript"/>
              </w:rPr>
            </w:pPr>
            <w:r>
              <w:rPr>
                <w:rFonts w:hint="eastAsia" w:ascii="宋体" w:hAnsi="宋体" w:eastAsia="宋体"/>
                <w:color w:val="auto"/>
                <w:sz w:val="21"/>
                <w:szCs w:val="21"/>
              </w:rPr>
              <w:t>C</w:t>
            </w:r>
            <w:r>
              <w:rPr>
                <w:rFonts w:hint="eastAsia" w:ascii="宋体" w:hAnsi="宋体" w:eastAsia="宋体"/>
                <w:color w:val="auto"/>
                <w:sz w:val="21"/>
                <w:szCs w:val="21"/>
                <w:vertAlign w:val="subscript"/>
              </w:rPr>
              <w:t>2</w:t>
            </w:r>
          </w:p>
        </w:tc>
        <w:tc>
          <w:tcPr>
            <w:tcW w:w="3943"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设备静电放电</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1019" w:type="dxa"/>
            <w:vAlign w:val="center"/>
          </w:tcPr>
          <w:p>
            <w:pPr>
              <w:spacing w:line="360" w:lineRule="exact"/>
              <w:jc w:val="center"/>
              <w:rPr>
                <w:rFonts w:ascii="宋体" w:hAnsi="宋体" w:eastAsia="宋体"/>
                <w:color w:val="auto"/>
                <w:sz w:val="21"/>
                <w:szCs w:val="21"/>
                <w:vertAlign w:val="subscript"/>
              </w:rPr>
            </w:pPr>
            <w:r>
              <w:rPr>
                <w:rFonts w:hint="eastAsia" w:ascii="宋体" w:hAnsi="宋体" w:eastAsia="宋体"/>
                <w:color w:val="auto"/>
                <w:sz w:val="21"/>
                <w:szCs w:val="21"/>
              </w:rPr>
              <w:t>C</w:t>
            </w:r>
            <w:r>
              <w:rPr>
                <w:rFonts w:hint="eastAsia" w:ascii="宋体" w:hAnsi="宋体" w:eastAsia="宋体"/>
                <w:color w:val="auto"/>
                <w:sz w:val="21"/>
                <w:szCs w:val="21"/>
                <w:vertAlign w:val="subscript"/>
              </w:rPr>
              <w:t>3</w:t>
            </w:r>
          </w:p>
        </w:tc>
        <w:tc>
          <w:tcPr>
            <w:tcW w:w="3285"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避雷装置失效</w:t>
            </w:r>
          </w:p>
        </w:tc>
        <w:tc>
          <w:tcPr>
            <w:tcW w:w="925" w:type="dxa"/>
            <w:vAlign w:val="center"/>
          </w:tcPr>
          <w:p>
            <w:pPr>
              <w:spacing w:line="360" w:lineRule="exact"/>
              <w:jc w:val="center"/>
              <w:rPr>
                <w:rFonts w:ascii="宋体" w:hAnsi="宋体" w:eastAsia="宋体"/>
                <w:color w:val="auto"/>
                <w:sz w:val="21"/>
                <w:szCs w:val="21"/>
                <w:vertAlign w:val="subscript"/>
              </w:rPr>
            </w:pPr>
          </w:p>
        </w:tc>
        <w:tc>
          <w:tcPr>
            <w:tcW w:w="3943" w:type="dxa"/>
            <w:vAlign w:val="center"/>
          </w:tcPr>
          <w:p>
            <w:pPr>
              <w:spacing w:line="360" w:lineRule="exact"/>
              <w:jc w:val="center"/>
              <w:rPr>
                <w:rFonts w:ascii="宋体" w:hAnsi="宋体" w:eastAsia="宋体"/>
                <w:color w:val="auto"/>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1019" w:type="dxa"/>
            <w:vAlign w:val="center"/>
          </w:tcPr>
          <w:p>
            <w:pPr>
              <w:spacing w:line="360" w:lineRule="exact"/>
              <w:jc w:val="center"/>
              <w:rPr>
                <w:rFonts w:ascii="宋体" w:hAnsi="宋体" w:eastAsia="宋体"/>
                <w:color w:val="auto"/>
                <w:sz w:val="21"/>
                <w:szCs w:val="21"/>
                <w:vertAlign w:val="subscript"/>
              </w:rPr>
            </w:pPr>
            <w:r>
              <w:rPr>
                <w:rFonts w:hint="eastAsia" w:ascii="宋体" w:hAnsi="宋体" w:eastAsia="宋体"/>
                <w:color w:val="auto"/>
                <w:sz w:val="21"/>
                <w:szCs w:val="21"/>
              </w:rPr>
              <w:t>D</w:t>
            </w:r>
            <w:r>
              <w:rPr>
                <w:rFonts w:hint="eastAsia" w:ascii="宋体" w:hAnsi="宋体" w:eastAsia="宋体"/>
                <w:color w:val="auto"/>
                <w:sz w:val="21"/>
                <w:szCs w:val="21"/>
                <w:vertAlign w:val="subscript"/>
              </w:rPr>
              <w:t>1</w:t>
            </w:r>
          </w:p>
        </w:tc>
        <w:tc>
          <w:tcPr>
            <w:tcW w:w="3285"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静电积累</w:t>
            </w:r>
          </w:p>
        </w:tc>
        <w:tc>
          <w:tcPr>
            <w:tcW w:w="925" w:type="dxa"/>
            <w:vAlign w:val="center"/>
          </w:tcPr>
          <w:p>
            <w:pPr>
              <w:spacing w:line="360" w:lineRule="exact"/>
              <w:jc w:val="center"/>
              <w:rPr>
                <w:rFonts w:ascii="宋体" w:hAnsi="宋体" w:eastAsia="宋体"/>
                <w:color w:val="auto"/>
                <w:sz w:val="21"/>
                <w:szCs w:val="21"/>
                <w:vertAlign w:val="subscript"/>
              </w:rPr>
            </w:pPr>
            <w:r>
              <w:rPr>
                <w:rFonts w:hint="eastAsia" w:ascii="宋体" w:hAnsi="宋体" w:eastAsia="宋体"/>
                <w:color w:val="auto"/>
                <w:sz w:val="21"/>
                <w:szCs w:val="21"/>
              </w:rPr>
              <w:t>D</w:t>
            </w:r>
            <w:r>
              <w:rPr>
                <w:rFonts w:hint="eastAsia" w:ascii="宋体" w:hAnsi="宋体" w:eastAsia="宋体"/>
                <w:color w:val="auto"/>
                <w:sz w:val="21"/>
                <w:szCs w:val="21"/>
                <w:vertAlign w:val="subscript"/>
              </w:rPr>
              <w:t>2</w:t>
            </w:r>
          </w:p>
        </w:tc>
        <w:tc>
          <w:tcPr>
            <w:tcW w:w="3943"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接地不良</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1019" w:type="dxa"/>
            <w:vAlign w:val="center"/>
          </w:tcPr>
          <w:p>
            <w:pPr>
              <w:spacing w:line="360" w:lineRule="exact"/>
              <w:jc w:val="center"/>
              <w:rPr>
                <w:rFonts w:ascii="宋体" w:hAnsi="宋体" w:eastAsia="宋体"/>
                <w:color w:val="auto"/>
                <w:sz w:val="21"/>
                <w:szCs w:val="21"/>
                <w:vertAlign w:val="subscript"/>
              </w:rPr>
            </w:pPr>
            <w:r>
              <w:rPr>
                <w:rFonts w:hint="eastAsia" w:ascii="宋体" w:hAnsi="宋体" w:eastAsia="宋体"/>
                <w:color w:val="auto"/>
                <w:sz w:val="21"/>
                <w:szCs w:val="21"/>
              </w:rPr>
              <w:t>D</w:t>
            </w:r>
            <w:r>
              <w:rPr>
                <w:rFonts w:hint="eastAsia" w:ascii="宋体" w:hAnsi="宋体" w:eastAsia="宋体"/>
                <w:color w:val="auto"/>
                <w:sz w:val="21"/>
                <w:szCs w:val="21"/>
                <w:vertAlign w:val="subscript"/>
              </w:rPr>
              <w:t>3</w:t>
            </w:r>
          </w:p>
        </w:tc>
        <w:tc>
          <w:tcPr>
            <w:tcW w:w="3285"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避雷装置故障</w:t>
            </w:r>
          </w:p>
        </w:tc>
        <w:tc>
          <w:tcPr>
            <w:tcW w:w="925" w:type="dxa"/>
            <w:vAlign w:val="center"/>
          </w:tcPr>
          <w:p>
            <w:pPr>
              <w:spacing w:line="360" w:lineRule="exact"/>
              <w:jc w:val="center"/>
              <w:rPr>
                <w:rFonts w:ascii="宋体" w:hAnsi="宋体" w:eastAsia="宋体"/>
                <w:color w:val="auto"/>
                <w:sz w:val="21"/>
                <w:szCs w:val="21"/>
                <w:vertAlign w:val="subscript"/>
              </w:rPr>
            </w:pPr>
          </w:p>
        </w:tc>
        <w:tc>
          <w:tcPr>
            <w:tcW w:w="3943" w:type="dxa"/>
            <w:vAlign w:val="center"/>
          </w:tcPr>
          <w:p>
            <w:pPr>
              <w:spacing w:line="360" w:lineRule="exact"/>
              <w:jc w:val="center"/>
              <w:rPr>
                <w:rFonts w:ascii="宋体" w:hAnsi="宋体" w:eastAsia="宋体"/>
                <w:color w:val="auto"/>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1019" w:type="dxa"/>
            <w:vAlign w:val="center"/>
          </w:tcPr>
          <w:p>
            <w:pPr>
              <w:spacing w:line="360" w:lineRule="exact"/>
              <w:jc w:val="center"/>
              <w:rPr>
                <w:rFonts w:ascii="宋体" w:hAnsi="宋体" w:eastAsia="宋体"/>
                <w:color w:val="auto"/>
                <w:sz w:val="21"/>
                <w:szCs w:val="21"/>
                <w:vertAlign w:val="subscript"/>
              </w:rPr>
            </w:pPr>
            <w:r>
              <w:rPr>
                <w:rFonts w:hint="eastAsia" w:ascii="宋体" w:hAnsi="宋体" w:eastAsia="宋体"/>
                <w:color w:val="auto"/>
                <w:sz w:val="21"/>
                <w:szCs w:val="21"/>
              </w:rPr>
              <w:t>X</w:t>
            </w:r>
            <w:r>
              <w:rPr>
                <w:rFonts w:hint="eastAsia" w:ascii="宋体" w:hAnsi="宋体" w:eastAsia="宋体"/>
                <w:color w:val="auto"/>
                <w:sz w:val="21"/>
                <w:szCs w:val="21"/>
                <w:vertAlign w:val="subscript"/>
              </w:rPr>
              <w:t>1</w:t>
            </w:r>
          </w:p>
        </w:tc>
        <w:tc>
          <w:tcPr>
            <w:tcW w:w="3285"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生产车间内吸烟</w:t>
            </w:r>
          </w:p>
        </w:tc>
        <w:tc>
          <w:tcPr>
            <w:tcW w:w="925" w:type="dxa"/>
            <w:vAlign w:val="center"/>
          </w:tcPr>
          <w:p>
            <w:pPr>
              <w:spacing w:line="360" w:lineRule="exact"/>
              <w:jc w:val="center"/>
              <w:rPr>
                <w:rFonts w:ascii="宋体" w:hAnsi="宋体" w:eastAsia="宋体"/>
                <w:color w:val="auto"/>
                <w:sz w:val="21"/>
                <w:szCs w:val="21"/>
                <w:vertAlign w:val="subscript"/>
              </w:rPr>
            </w:pPr>
            <w:r>
              <w:rPr>
                <w:rFonts w:hint="eastAsia" w:ascii="宋体" w:hAnsi="宋体" w:eastAsia="宋体"/>
                <w:color w:val="auto"/>
                <w:sz w:val="21"/>
                <w:szCs w:val="21"/>
              </w:rPr>
              <w:t>X</w:t>
            </w:r>
            <w:r>
              <w:rPr>
                <w:rFonts w:hint="eastAsia" w:ascii="宋体" w:hAnsi="宋体" w:eastAsia="宋体"/>
                <w:color w:val="auto"/>
                <w:sz w:val="21"/>
                <w:szCs w:val="21"/>
                <w:vertAlign w:val="subscript"/>
              </w:rPr>
              <w:t>2</w:t>
            </w:r>
          </w:p>
        </w:tc>
        <w:tc>
          <w:tcPr>
            <w:tcW w:w="3943"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危险区动火</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1019" w:type="dxa"/>
            <w:vAlign w:val="center"/>
          </w:tcPr>
          <w:p>
            <w:pPr>
              <w:spacing w:line="360" w:lineRule="exact"/>
              <w:jc w:val="center"/>
              <w:rPr>
                <w:rFonts w:ascii="宋体" w:hAnsi="宋体" w:eastAsia="宋体"/>
                <w:color w:val="auto"/>
                <w:sz w:val="21"/>
                <w:szCs w:val="21"/>
                <w:vertAlign w:val="subscript"/>
              </w:rPr>
            </w:pPr>
            <w:r>
              <w:rPr>
                <w:rFonts w:hint="eastAsia" w:ascii="宋体" w:hAnsi="宋体" w:eastAsia="宋体"/>
                <w:color w:val="auto"/>
                <w:sz w:val="21"/>
                <w:szCs w:val="21"/>
              </w:rPr>
              <w:t>X</w:t>
            </w:r>
            <w:r>
              <w:rPr>
                <w:rFonts w:hint="eastAsia" w:ascii="宋体" w:hAnsi="宋体" w:eastAsia="宋体"/>
                <w:color w:val="auto"/>
                <w:sz w:val="21"/>
                <w:szCs w:val="21"/>
                <w:vertAlign w:val="subscript"/>
              </w:rPr>
              <w:t>3</w:t>
            </w:r>
          </w:p>
        </w:tc>
        <w:tc>
          <w:tcPr>
            <w:tcW w:w="3285"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电气设施不防爆</w:t>
            </w:r>
          </w:p>
        </w:tc>
        <w:tc>
          <w:tcPr>
            <w:tcW w:w="925" w:type="dxa"/>
            <w:vAlign w:val="center"/>
          </w:tcPr>
          <w:p>
            <w:pPr>
              <w:spacing w:line="360" w:lineRule="exact"/>
              <w:jc w:val="center"/>
              <w:rPr>
                <w:rFonts w:ascii="宋体" w:hAnsi="宋体" w:eastAsia="宋体"/>
                <w:color w:val="auto"/>
                <w:sz w:val="21"/>
                <w:szCs w:val="21"/>
                <w:vertAlign w:val="subscript"/>
              </w:rPr>
            </w:pPr>
            <w:r>
              <w:rPr>
                <w:rFonts w:hint="eastAsia" w:ascii="宋体" w:hAnsi="宋体" w:eastAsia="宋体"/>
                <w:color w:val="auto"/>
                <w:sz w:val="21"/>
                <w:szCs w:val="21"/>
              </w:rPr>
              <w:t>X</w:t>
            </w:r>
            <w:r>
              <w:rPr>
                <w:rFonts w:hint="eastAsia" w:ascii="宋体" w:hAnsi="宋体" w:eastAsia="宋体"/>
                <w:color w:val="auto"/>
                <w:sz w:val="21"/>
                <w:szCs w:val="21"/>
                <w:vertAlign w:val="subscript"/>
              </w:rPr>
              <w:t>4</w:t>
            </w:r>
          </w:p>
        </w:tc>
        <w:tc>
          <w:tcPr>
            <w:tcW w:w="3943"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防爆电器损坏</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1019" w:type="dxa"/>
            <w:vAlign w:val="center"/>
          </w:tcPr>
          <w:p>
            <w:pPr>
              <w:spacing w:line="360" w:lineRule="exact"/>
              <w:jc w:val="center"/>
              <w:rPr>
                <w:rFonts w:ascii="宋体" w:hAnsi="宋体" w:eastAsia="宋体"/>
                <w:color w:val="auto"/>
                <w:sz w:val="21"/>
                <w:szCs w:val="21"/>
                <w:vertAlign w:val="subscript"/>
              </w:rPr>
            </w:pPr>
            <w:r>
              <w:rPr>
                <w:rFonts w:hint="eastAsia" w:ascii="宋体" w:hAnsi="宋体" w:eastAsia="宋体"/>
                <w:color w:val="auto"/>
                <w:sz w:val="21"/>
                <w:szCs w:val="21"/>
              </w:rPr>
              <w:t>X</w:t>
            </w:r>
            <w:r>
              <w:rPr>
                <w:rFonts w:hint="eastAsia" w:ascii="宋体" w:hAnsi="宋体" w:eastAsia="宋体"/>
                <w:color w:val="auto"/>
                <w:sz w:val="21"/>
                <w:szCs w:val="21"/>
                <w:vertAlign w:val="subscript"/>
              </w:rPr>
              <w:t>5</w:t>
            </w:r>
          </w:p>
        </w:tc>
        <w:tc>
          <w:tcPr>
            <w:tcW w:w="3285"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物料桶撞击</w:t>
            </w:r>
          </w:p>
        </w:tc>
        <w:tc>
          <w:tcPr>
            <w:tcW w:w="925" w:type="dxa"/>
            <w:vAlign w:val="center"/>
          </w:tcPr>
          <w:p>
            <w:pPr>
              <w:spacing w:line="360" w:lineRule="exact"/>
              <w:jc w:val="center"/>
              <w:rPr>
                <w:rFonts w:ascii="宋体" w:hAnsi="宋体" w:eastAsia="宋体"/>
                <w:color w:val="auto"/>
                <w:sz w:val="21"/>
                <w:szCs w:val="21"/>
                <w:vertAlign w:val="subscript"/>
              </w:rPr>
            </w:pPr>
            <w:r>
              <w:rPr>
                <w:rFonts w:hint="eastAsia" w:ascii="宋体" w:hAnsi="宋体" w:eastAsia="宋体"/>
                <w:color w:val="auto"/>
                <w:sz w:val="21"/>
                <w:szCs w:val="21"/>
              </w:rPr>
              <w:t>X</w:t>
            </w:r>
            <w:r>
              <w:rPr>
                <w:rFonts w:hint="eastAsia" w:ascii="宋体" w:hAnsi="宋体" w:eastAsia="宋体"/>
                <w:color w:val="auto"/>
                <w:sz w:val="21"/>
                <w:szCs w:val="21"/>
                <w:vertAlign w:val="subscript"/>
              </w:rPr>
              <w:t>6</w:t>
            </w:r>
          </w:p>
        </w:tc>
        <w:tc>
          <w:tcPr>
            <w:tcW w:w="3943"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使用易发火工具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1019" w:type="dxa"/>
            <w:vAlign w:val="center"/>
          </w:tcPr>
          <w:p>
            <w:pPr>
              <w:spacing w:line="360" w:lineRule="exact"/>
              <w:jc w:val="center"/>
              <w:rPr>
                <w:rFonts w:ascii="宋体" w:hAnsi="宋体" w:eastAsia="宋体"/>
                <w:color w:val="auto"/>
                <w:sz w:val="21"/>
                <w:szCs w:val="21"/>
                <w:vertAlign w:val="subscript"/>
              </w:rPr>
            </w:pPr>
            <w:r>
              <w:rPr>
                <w:rFonts w:hint="eastAsia" w:ascii="宋体" w:hAnsi="宋体" w:eastAsia="宋体"/>
                <w:color w:val="auto"/>
                <w:sz w:val="21"/>
                <w:szCs w:val="21"/>
              </w:rPr>
              <w:t>X</w:t>
            </w:r>
            <w:r>
              <w:rPr>
                <w:rFonts w:hint="eastAsia" w:ascii="宋体" w:hAnsi="宋体" w:eastAsia="宋体"/>
                <w:color w:val="auto"/>
                <w:sz w:val="21"/>
                <w:szCs w:val="21"/>
                <w:vertAlign w:val="subscript"/>
              </w:rPr>
              <w:t>7</w:t>
            </w:r>
          </w:p>
        </w:tc>
        <w:tc>
          <w:tcPr>
            <w:tcW w:w="3285"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穿有铁钉的鞋操作</w:t>
            </w:r>
          </w:p>
        </w:tc>
        <w:tc>
          <w:tcPr>
            <w:tcW w:w="925" w:type="dxa"/>
            <w:vAlign w:val="center"/>
          </w:tcPr>
          <w:p>
            <w:pPr>
              <w:spacing w:line="360" w:lineRule="exact"/>
              <w:jc w:val="center"/>
              <w:rPr>
                <w:rFonts w:ascii="宋体" w:hAnsi="宋体" w:eastAsia="宋体"/>
                <w:color w:val="auto"/>
                <w:sz w:val="21"/>
                <w:szCs w:val="21"/>
                <w:vertAlign w:val="subscript"/>
              </w:rPr>
            </w:pPr>
            <w:r>
              <w:rPr>
                <w:rFonts w:hint="eastAsia" w:ascii="宋体" w:hAnsi="宋体" w:eastAsia="宋体"/>
                <w:color w:val="auto"/>
                <w:sz w:val="21"/>
                <w:szCs w:val="21"/>
              </w:rPr>
              <w:t>X</w:t>
            </w:r>
            <w:r>
              <w:rPr>
                <w:rFonts w:hint="eastAsia" w:ascii="宋体" w:hAnsi="宋体" w:eastAsia="宋体"/>
                <w:color w:val="auto"/>
                <w:sz w:val="21"/>
                <w:szCs w:val="21"/>
                <w:vertAlign w:val="subscript"/>
              </w:rPr>
              <w:t>8</w:t>
            </w:r>
          </w:p>
        </w:tc>
        <w:tc>
          <w:tcPr>
            <w:tcW w:w="3943"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操作中与导体接近</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1019" w:type="dxa"/>
            <w:vAlign w:val="center"/>
          </w:tcPr>
          <w:p>
            <w:pPr>
              <w:spacing w:line="360" w:lineRule="exact"/>
              <w:jc w:val="center"/>
              <w:rPr>
                <w:rFonts w:ascii="宋体" w:hAnsi="宋体" w:eastAsia="宋体"/>
                <w:color w:val="auto"/>
                <w:sz w:val="21"/>
                <w:szCs w:val="21"/>
                <w:vertAlign w:val="subscript"/>
              </w:rPr>
            </w:pPr>
            <w:r>
              <w:rPr>
                <w:rFonts w:hint="eastAsia" w:ascii="宋体" w:hAnsi="宋体" w:eastAsia="宋体"/>
                <w:color w:val="auto"/>
                <w:sz w:val="21"/>
                <w:szCs w:val="21"/>
              </w:rPr>
              <w:t>X</w:t>
            </w:r>
            <w:r>
              <w:rPr>
                <w:rFonts w:hint="eastAsia" w:ascii="宋体" w:hAnsi="宋体" w:eastAsia="宋体"/>
                <w:color w:val="auto"/>
                <w:sz w:val="21"/>
                <w:szCs w:val="21"/>
                <w:vertAlign w:val="subscript"/>
              </w:rPr>
              <w:t>9</w:t>
            </w:r>
          </w:p>
        </w:tc>
        <w:tc>
          <w:tcPr>
            <w:tcW w:w="3285"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化纤品与人体摩擦</w:t>
            </w:r>
          </w:p>
        </w:tc>
        <w:tc>
          <w:tcPr>
            <w:tcW w:w="925" w:type="dxa"/>
            <w:vAlign w:val="center"/>
          </w:tcPr>
          <w:p>
            <w:pPr>
              <w:spacing w:line="360" w:lineRule="exact"/>
              <w:jc w:val="center"/>
              <w:rPr>
                <w:rFonts w:ascii="宋体" w:hAnsi="宋体" w:eastAsia="宋体"/>
                <w:color w:val="auto"/>
                <w:sz w:val="21"/>
                <w:szCs w:val="21"/>
                <w:vertAlign w:val="subscript"/>
              </w:rPr>
            </w:pPr>
            <w:r>
              <w:rPr>
                <w:rFonts w:hint="eastAsia" w:ascii="宋体" w:hAnsi="宋体" w:eastAsia="宋体"/>
                <w:color w:val="auto"/>
                <w:sz w:val="21"/>
                <w:szCs w:val="21"/>
              </w:rPr>
              <w:t>X</w:t>
            </w:r>
            <w:r>
              <w:rPr>
                <w:rFonts w:hint="eastAsia" w:ascii="宋体" w:hAnsi="宋体" w:eastAsia="宋体"/>
                <w:color w:val="auto"/>
                <w:sz w:val="21"/>
                <w:szCs w:val="21"/>
                <w:vertAlign w:val="subscript"/>
              </w:rPr>
              <w:t>10</w:t>
            </w:r>
          </w:p>
        </w:tc>
        <w:tc>
          <w:tcPr>
            <w:tcW w:w="3943"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液体流速高</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1019" w:type="dxa"/>
            <w:vAlign w:val="center"/>
          </w:tcPr>
          <w:p>
            <w:pPr>
              <w:spacing w:line="360" w:lineRule="exact"/>
              <w:jc w:val="center"/>
              <w:rPr>
                <w:rFonts w:ascii="宋体" w:hAnsi="宋体" w:eastAsia="宋体"/>
                <w:color w:val="auto"/>
                <w:sz w:val="21"/>
                <w:szCs w:val="21"/>
                <w:vertAlign w:val="subscript"/>
              </w:rPr>
            </w:pPr>
            <w:r>
              <w:rPr>
                <w:rFonts w:hint="eastAsia" w:ascii="宋体" w:hAnsi="宋体" w:eastAsia="宋体"/>
                <w:color w:val="auto"/>
                <w:sz w:val="21"/>
                <w:szCs w:val="21"/>
              </w:rPr>
              <w:t>X</w:t>
            </w:r>
            <w:r>
              <w:rPr>
                <w:rFonts w:hint="eastAsia" w:ascii="宋体" w:hAnsi="宋体" w:eastAsia="宋体"/>
                <w:color w:val="auto"/>
                <w:sz w:val="21"/>
                <w:szCs w:val="21"/>
                <w:vertAlign w:val="subscript"/>
              </w:rPr>
              <w:t>11</w:t>
            </w:r>
          </w:p>
        </w:tc>
        <w:tc>
          <w:tcPr>
            <w:tcW w:w="3285"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流体输送管道内壁粗糙</w:t>
            </w:r>
          </w:p>
        </w:tc>
        <w:tc>
          <w:tcPr>
            <w:tcW w:w="925" w:type="dxa"/>
            <w:vAlign w:val="center"/>
          </w:tcPr>
          <w:p>
            <w:pPr>
              <w:spacing w:line="360" w:lineRule="exact"/>
              <w:jc w:val="center"/>
              <w:rPr>
                <w:rFonts w:ascii="宋体" w:hAnsi="宋体" w:eastAsia="宋体"/>
                <w:color w:val="auto"/>
                <w:sz w:val="21"/>
                <w:szCs w:val="21"/>
                <w:vertAlign w:val="subscript"/>
              </w:rPr>
            </w:pPr>
            <w:r>
              <w:rPr>
                <w:rFonts w:hint="eastAsia" w:ascii="宋体" w:hAnsi="宋体" w:eastAsia="宋体"/>
                <w:color w:val="auto"/>
                <w:sz w:val="21"/>
                <w:szCs w:val="21"/>
              </w:rPr>
              <w:t>X</w:t>
            </w:r>
            <w:r>
              <w:rPr>
                <w:rFonts w:hint="eastAsia" w:ascii="宋体" w:hAnsi="宋体" w:eastAsia="宋体"/>
                <w:color w:val="auto"/>
                <w:sz w:val="21"/>
                <w:szCs w:val="21"/>
                <w:vertAlign w:val="subscript"/>
              </w:rPr>
              <w:t>12</w:t>
            </w:r>
          </w:p>
        </w:tc>
        <w:tc>
          <w:tcPr>
            <w:tcW w:w="3943"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液体冲击金属容器</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1019" w:type="dxa"/>
            <w:vAlign w:val="center"/>
          </w:tcPr>
          <w:p>
            <w:pPr>
              <w:spacing w:line="360" w:lineRule="exact"/>
              <w:jc w:val="center"/>
              <w:rPr>
                <w:rFonts w:ascii="宋体" w:hAnsi="宋体" w:eastAsia="宋体"/>
                <w:color w:val="auto"/>
                <w:sz w:val="21"/>
                <w:szCs w:val="21"/>
                <w:vertAlign w:val="subscript"/>
              </w:rPr>
            </w:pPr>
            <w:r>
              <w:rPr>
                <w:rFonts w:hint="eastAsia" w:ascii="宋体" w:hAnsi="宋体" w:eastAsia="宋体"/>
                <w:color w:val="auto"/>
                <w:sz w:val="21"/>
                <w:szCs w:val="21"/>
              </w:rPr>
              <w:t>X</w:t>
            </w:r>
            <w:r>
              <w:rPr>
                <w:rFonts w:hint="eastAsia" w:ascii="宋体" w:hAnsi="宋体" w:eastAsia="宋体"/>
                <w:color w:val="auto"/>
                <w:sz w:val="21"/>
                <w:szCs w:val="21"/>
                <w:vertAlign w:val="subscript"/>
              </w:rPr>
              <w:t>13</w:t>
            </w:r>
          </w:p>
        </w:tc>
        <w:tc>
          <w:tcPr>
            <w:tcW w:w="3285"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飞溅出的液体与空气摩擦</w:t>
            </w:r>
          </w:p>
        </w:tc>
        <w:tc>
          <w:tcPr>
            <w:tcW w:w="925" w:type="dxa"/>
            <w:vAlign w:val="center"/>
          </w:tcPr>
          <w:p>
            <w:pPr>
              <w:spacing w:line="360" w:lineRule="exact"/>
              <w:jc w:val="center"/>
              <w:rPr>
                <w:rFonts w:ascii="宋体" w:hAnsi="宋体" w:eastAsia="宋体"/>
                <w:color w:val="auto"/>
                <w:sz w:val="21"/>
                <w:szCs w:val="21"/>
                <w:vertAlign w:val="subscript"/>
              </w:rPr>
            </w:pPr>
            <w:r>
              <w:rPr>
                <w:rFonts w:hint="eastAsia" w:ascii="宋体" w:hAnsi="宋体" w:eastAsia="宋体"/>
                <w:color w:val="auto"/>
                <w:sz w:val="21"/>
                <w:szCs w:val="21"/>
              </w:rPr>
              <w:t>X</w:t>
            </w:r>
            <w:r>
              <w:rPr>
                <w:rFonts w:hint="eastAsia" w:ascii="宋体" w:hAnsi="宋体" w:eastAsia="宋体"/>
                <w:color w:val="auto"/>
                <w:sz w:val="21"/>
                <w:szCs w:val="21"/>
                <w:vertAlign w:val="subscript"/>
              </w:rPr>
              <w:t>14</w:t>
            </w:r>
          </w:p>
        </w:tc>
        <w:tc>
          <w:tcPr>
            <w:tcW w:w="3943"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没有设置静电接地装置</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1019" w:type="dxa"/>
            <w:vAlign w:val="center"/>
          </w:tcPr>
          <w:p>
            <w:pPr>
              <w:spacing w:line="360" w:lineRule="exact"/>
              <w:jc w:val="center"/>
              <w:rPr>
                <w:rFonts w:ascii="宋体" w:hAnsi="宋体" w:eastAsia="宋体"/>
                <w:color w:val="auto"/>
                <w:sz w:val="21"/>
                <w:szCs w:val="21"/>
                <w:vertAlign w:val="subscript"/>
              </w:rPr>
            </w:pPr>
            <w:r>
              <w:rPr>
                <w:rFonts w:hint="eastAsia" w:ascii="宋体" w:hAnsi="宋体" w:eastAsia="宋体"/>
                <w:color w:val="auto"/>
                <w:sz w:val="21"/>
                <w:szCs w:val="21"/>
              </w:rPr>
              <w:t>X</w:t>
            </w:r>
            <w:r>
              <w:rPr>
                <w:rFonts w:hint="eastAsia" w:ascii="宋体" w:hAnsi="宋体" w:eastAsia="宋体"/>
                <w:color w:val="auto"/>
                <w:sz w:val="21"/>
                <w:szCs w:val="21"/>
                <w:vertAlign w:val="subscript"/>
              </w:rPr>
              <w:t>15</w:t>
            </w:r>
          </w:p>
        </w:tc>
        <w:tc>
          <w:tcPr>
            <w:tcW w:w="3285"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接地电阻不符合要求</w:t>
            </w:r>
          </w:p>
        </w:tc>
        <w:tc>
          <w:tcPr>
            <w:tcW w:w="925" w:type="dxa"/>
            <w:vAlign w:val="center"/>
          </w:tcPr>
          <w:p>
            <w:pPr>
              <w:spacing w:line="360" w:lineRule="exact"/>
              <w:jc w:val="center"/>
              <w:rPr>
                <w:rFonts w:ascii="宋体" w:hAnsi="宋体" w:eastAsia="宋体"/>
                <w:color w:val="auto"/>
                <w:sz w:val="21"/>
                <w:szCs w:val="21"/>
                <w:vertAlign w:val="subscript"/>
              </w:rPr>
            </w:pPr>
            <w:r>
              <w:rPr>
                <w:rFonts w:hint="eastAsia" w:ascii="宋体" w:hAnsi="宋体" w:eastAsia="宋体"/>
                <w:color w:val="auto"/>
                <w:sz w:val="21"/>
                <w:szCs w:val="21"/>
              </w:rPr>
              <w:t>X</w:t>
            </w:r>
            <w:r>
              <w:rPr>
                <w:rFonts w:hint="eastAsia" w:ascii="宋体" w:hAnsi="宋体" w:eastAsia="宋体"/>
                <w:color w:val="auto"/>
                <w:sz w:val="21"/>
                <w:szCs w:val="21"/>
                <w:vertAlign w:val="subscript"/>
              </w:rPr>
              <w:t>16</w:t>
            </w:r>
          </w:p>
        </w:tc>
        <w:tc>
          <w:tcPr>
            <w:tcW w:w="3943"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静电接地线损坏</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1019" w:type="dxa"/>
            <w:vAlign w:val="center"/>
          </w:tcPr>
          <w:p>
            <w:pPr>
              <w:spacing w:line="360" w:lineRule="exact"/>
              <w:jc w:val="center"/>
              <w:rPr>
                <w:rFonts w:ascii="宋体" w:hAnsi="宋体" w:eastAsia="宋体"/>
                <w:color w:val="auto"/>
                <w:sz w:val="21"/>
                <w:szCs w:val="21"/>
                <w:vertAlign w:val="subscript"/>
              </w:rPr>
            </w:pPr>
            <w:r>
              <w:rPr>
                <w:rFonts w:hint="eastAsia" w:ascii="宋体" w:hAnsi="宋体" w:eastAsia="宋体"/>
                <w:color w:val="auto"/>
                <w:sz w:val="21"/>
                <w:szCs w:val="21"/>
              </w:rPr>
              <w:t>X</w:t>
            </w:r>
            <w:r>
              <w:rPr>
                <w:rFonts w:hint="eastAsia" w:ascii="宋体" w:hAnsi="宋体" w:eastAsia="宋体"/>
                <w:color w:val="auto"/>
                <w:sz w:val="21"/>
                <w:szCs w:val="21"/>
                <w:vertAlign w:val="subscript"/>
              </w:rPr>
              <w:t>17</w:t>
            </w:r>
          </w:p>
        </w:tc>
        <w:tc>
          <w:tcPr>
            <w:tcW w:w="3285"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雷击</w:t>
            </w:r>
          </w:p>
        </w:tc>
        <w:tc>
          <w:tcPr>
            <w:tcW w:w="925" w:type="dxa"/>
            <w:vAlign w:val="center"/>
          </w:tcPr>
          <w:p>
            <w:pPr>
              <w:spacing w:line="360" w:lineRule="exact"/>
              <w:jc w:val="center"/>
              <w:rPr>
                <w:rFonts w:ascii="宋体" w:hAnsi="宋体" w:eastAsia="宋体"/>
                <w:color w:val="auto"/>
                <w:sz w:val="21"/>
                <w:szCs w:val="21"/>
                <w:vertAlign w:val="subscript"/>
              </w:rPr>
            </w:pPr>
            <w:r>
              <w:rPr>
                <w:rFonts w:hint="eastAsia" w:ascii="宋体" w:hAnsi="宋体" w:eastAsia="宋体"/>
                <w:color w:val="auto"/>
                <w:sz w:val="21"/>
                <w:szCs w:val="21"/>
              </w:rPr>
              <w:t>X</w:t>
            </w:r>
            <w:r>
              <w:rPr>
                <w:rFonts w:hint="eastAsia" w:ascii="宋体" w:hAnsi="宋体" w:eastAsia="宋体"/>
                <w:color w:val="auto"/>
                <w:sz w:val="21"/>
                <w:szCs w:val="21"/>
                <w:vertAlign w:val="subscript"/>
              </w:rPr>
              <w:t>18</w:t>
            </w:r>
          </w:p>
        </w:tc>
        <w:tc>
          <w:tcPr>
            <w:tcW w:w="3943"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没有安装避雷设施</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1019" w:type="dxa"/>
            <w:vAlign w:val="center"/>
          </w:tcPr>
          <w:p>
            <w:pPr>
              <w:spacing w:line="360" w:lineRule="exact"/>
              <w:jc w:val="center"/>
              <w:rPr>
                <w:rFonts w:ascii="宋体" w:hAnsi="宋体" w:eastAsia="宋体"/>
                <w:color w:val="auto"/>
                <w:sz w:val="21"/>
                <w:szCs w:val="21"/>
                <w:vertAlign w:val="subscript"/>
              </w:rPr>
            </w:pPr>
            <w:r>
              <w:rPr>
                <w:rFonts w:hint="eastAsia" w:ascii="宋体" w:hAnsi="宋体" w:eastAsia="宋体"/>
                <w:color w:val="auto"/>
                <w:sz w:val="21"/>
                <w:szCs w:val="21"/>
              </w:rPr>
              <w:t>X</w:t>
            </w:r>
            <w:r>
              <w:rPr>
                <w:rFonts w:hint="eastAsia" w:ascii="宋体" w:hAnsi="宋体" w:eastAsia="宋体"/>
                <w:color w:val="auto"/>
                <w:sz w:val="21"/>
                <w:szCs w:val="21"/>
                <w:vertAlign w:val="subscript"/>
              </w:rPr>
              <w:t>19</w:t>
            </w:r>
          </w:p>
        </w:tc>
        <w:tc>
          <w:tcPr>
            <w:tcW w:w="3285"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避雷装置设计有缺陷</w:t>
            </w:r>
          </w:p>
        </w:tc>
        <w:tc>
          <w:tcPr>
            <w:tcW w:w="925" w:type="dxa"/>
            <w:vAlign w:val="center"/>
          </w:tcPr>
          <w:p>
            <w:pPr>
              <w:spacing w:line="360" w:lineRule="exact"/>
              <w:jc w:val="center"/>
              <w:rPr>
                <w:rFonts w:ascii="宋体" w:hAnsi="宋体" w:eastAsia="宋体"/>
                <w:color w:val="auto"/>
                <w:sz w:val="21"/>
                <w:szCs w:val="21"/>
                <w:vertAlign w:val="subscript"/>
              </w:rPr>
            </w:pPr>
            <w:r>
              <w:rPr>
                <w:rFonts w:hint="eastAsia" w:ascii="宋体" w:hAnsi="宋体" w:eastAsia="宋体"/>
                <w:color w:val="auto"/>
                <w:sz w:val="21"/>
                <w:szCs w:val="21"/>
              </w:rPr>
              <w:t>X</w:t>
            </w:r>
            <w:r>
              <w:rPr>
                <w:rFonts w:hint="eastAsia" w:ascii="宋体" w:hAnsi="宋体" w:eastAsia="宋体"/>
                <w:color w:val="auto"/>
                <w:sz w:val="21"/>
                <w:szCs w:val="21"/>
                <w:vertAlign w:val="subscript"/>
              </w:rPr>
              <w:t>20</w:t>
            </w:r>
          </w:p>
        </w:tc>
        <w:tc>
          <w:tcPr>
            <w:tcW w:w="3943"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防雷接地电阻超标</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1019" w:type="dxa"/>
            <w:vAlign w:val="center"/>
          </w:tcPr>
          <w:p>
            <w:pPr>
              <w:spacing w:line="360" w:lineRule="exact"/>
              <w:jc w:val="center"/>
              <w:rPr>
                <w:rFonts w:ascii="宋体" w:hAnsi="宋体" w:eastAsia="宋体"/>
                <w:color w:val="auto"/>
                <w:sz w:val="21"/>
                <w:szCs w:val="21"/>
                <w:vertAlign w:val="subscript"/>
              </w:rPr>
            </w:pPr>
            <w:r>
              <w:rPr>
                <w:rFonts w:hint="eastAsia" w:ascii="宋体" w:hAnsi="宋体" w:eastAsia="宋体"/>
                <w:color w:val="auto"/>
                <w:sz w:val="21"/>
                <w:szCs w:val="21"/>
              </w:rPr>
              <w:t>X</w:t>
            </w:r>
            <w:r>
              <w:rPr>
                <w:rFonts w:hint="eastAsia" w:ascii="宋体" w:hAnsi="宋体" w:eastAsia="宋体"/>
                <w:color w:val="auto"/>
                <w:sz w:val="21"/>
                <w:szCs w:val="21"/>
                <w:vertAlign w:val="subscript"/>
              </w:rPr>
              <w:t>21</w:t>
            </w:r>
          </w:p>
        </w:tc>
        <w:tc>
          <w:tcPr>
            <w:tcW w:w="3285"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避雷装置损坏</w:t>
            </w:r>
          </w:p>
        </w:tc>
        <w:tc>
          <w:tcPr>
            <w:tcW w:w="925" w:type="dxa"/>
            <w:vAlign w:val="center"/>
          </w:tcPr>
          <w:p>
            <w:pPr>
              <w:spacing w:line="360" w:lineRule="exact"/>
              <w:jc w:val="center"/>
              <w:rPr>
                <w:rFonts w:ascii="宋体" w:hAnsi="宋体" w:eastAsia="宋体"/>
                <w:color w:val="auto"/>
                <w:sz w:val="21"/>
                <w:szCs w:val="21"/>
                <w:vertAlign w:val="subscript"/>
              </w:rPr>
            </w:pPr>
            <w:r>
              <w:rPr>
                <w:rFonts w:hint="eastAsia" w:ascii="宋体" w:hAnsi="宋体" w:eastAsia="宋体"/>
                <w:color w:val="auto"/>
                <w:sz w:val="21"/>
                <w:szCs w:val="21"/>
              </w:rPr>
              <w:t>X</w:t>
            </w:r>
            <w:r>
              <w:rPr>
                <w:rFonts w:hint="eastAsia" w:ascii="宋体" w:hAnsi="宋体" w:eastAsia="宋体"/>
                <w:color w:val="auto"/>
                <w:sz w:val="21"/>
                <w:szCs w:val="21"/>
                <w:vertAlign w:val="subscript"/>
              </w:rPr>
              <w:t>22</w:t>
            </w:r>
          </w:p>
        </w:tc>
        <w:tc>
          <w:tcPr>
            <w:tcW w:w="3943"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机械设备表面温度过高</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1019"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X</w:t>
            </w:r>
            <w:r>
              <w:rPr>
                <w:rFonts w:hint="eastAsia" w:ascii="宋体" w:hAnsi="宋体" w:eastAsia="宋体"/>
                <w:color w:val="auto"/>
                <w:sz w:val="21"/>
                <w:szCs w:val="21"/>
                <w:vertAlign w:val="subscript"/>
              </w:rPr>
              <w:t>23</w:t>
            </w:r>
          </w:p>
        </w:tc>
        <w:tc>
          <w:tcPr>
            <w:tcW w:w="3285"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检修中使用棉布擦洗</w:t>
            </w:r>
          </w:p>
        </w:tc>
        <w:tc>
          <w:tcPr>
            <w:tcW w:w="925" w:type="dxa"/>
            <w:vAlign w:val="center"/>
          </w:tcPr>
          <w:p>
            <w:pPr>
              <w:spacing w:line="360" w:lineRule="exact"/>
              <w:jc w:val="center"/>
              <w:rPr>
                <w:rFonts w:ascii="宋体" w:hAnsi="宋体" w:eastAsia="宋体"/>
                <w:color w:val="auto"/>
                <w:sz w:val="21"/>
                <w:szCs w:val="21"/>
                <w:vertAlign w:val="subscript"/>
              </w:rPr>
            </w:pPr>
            <w:r>
              <w:rPr>
                <w:rFonts w:hint="eastAsia" w:ascii="宋体" w:hAnsi="宋体" w:eastAsia="宋体"/>
                <w:color w:val="auto"/>
                <w:sz w:val="21"/>
                <w:szCs w:val="21"/>
              </w:rPr>
              <w:t>X</w:t>
            </w:r>
            <w:r>
              <w:rPr>
                <w:rFonts w:hint="eastAsia" w:ascii="宋体" w:hAnsi="宋体" w:eastAsia="宋体"/>
                <w:color w:val="auto"/>
                <w:sz w:val="21"/>
                <w:szCs w:val="21"/>
                <w:vertAlign w:val="subscript"/>
              </w:rPr>
              <w:t>24</w:t>
            </w:r>
          </w:p>
        </w:tc>
        <w:tc>
          <w:tcPr>
            <w:tcW w:w="3943"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棉布自燃</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1019" w:type="dxa"/>
            <w:vAlign w:val="center"/>
          </w:tcPr>
          <w:p>
            <w:pPr>
              <w:spacing w:line="360" w:lineRule="exact"/>
              <w:jc w:val="center"/>
              <w:rPr>
                <w:rFonts w:ascii="宋体" w:hAnsi="宋体" w:eastAsia="宋体"/>
                <w:color w:val="auto"/>
                <w:sz w:val="21"/>
                <w:szCs w:val="21"/>
                <w:vertAlign w:val="subscript"/>
              </w:rPr>
            </w:pPr>
            <w:r>
              <w:rPr>
                <w:rFonts w:hint="eastAsia" w:ascii="宋体" w:hAnsi="宋体" w:eastAsia="宋体"/>
                <w:color w:val="auto"/>
                <w:sz w:val="21"/>
                <w:szCs w:val="21"/>
              </w:rPr>
              <w:t>X</w:t>
            </w:r>
            <w:r>
              <w:rPr>
                <w:rFonts w:hint="eastAsia" w:ascii="宋体" w:hAnsi="宋体" w:eastAsia="宋体"/>
                <w:color w:val="auto"/>
                <w:sz w:val="21"/>
                <w:szCs w:val="21"/>
                <w:vertAlign w:val="subscript"/>
              </w:rPr>
              <w:t>25</w:t>
            </w:r>
          </w:p>
        </w:tc>
        <w:tc>
          <w:tcPr>
            <w:tcW w:w="3285"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通风不良</w:t>
            </w:r>
          </w:p>
        </w:tc>
        <w:tc>
          <w:tcPr>
            <w:tcW w:w="925" w:type="dxa"/>
            <w:vAlign w:val="center"/>
          </w:tcPr>
          <w:p>
            <w:pPr>
              <w:spacing w:line="360" w:lineRule="exact"/>
              <w:jc w:val="center"/>
              <w:rPr>
                <w:rFonts w:ascii="宋体" w:hAnsi="宋体" w:eastAsia="宋体"/>
                <w:color w:val="auto"/>
                <w:sz w:val="21"/>
                <w:szCs w:val="21"/>
                <w:vertAlign w:val="subscript"/>
              </w:rPr>
            </w:pPr>
            <w:r>
              <w:rPr>
                <w:rFonts w:hint="eastAsia" w:ascii="宋体" w:hAnsi="宋体" w:eastAsia="宋体"/>
                <w:color w:val="auto"/>
                <w:sz w:val="21"/>
                <w:szCs w:val="21"/>
              </w:rPr>
              <w:t>X</w:t>
            </w:r>
            <w:r>
              <w:rPr>
                <w:rFonts w:hint="eastAsia" w:ascii="宋体" w:hAnsi="宋体" w:eastAsia="宋体"/>
                <w:color w:val="auto"/>
                <w:sz w:val="21"/>
                <w:szCs w:val="21"/>
                <w:vertAlign w:val="subscript"/>
              </w:rPr>
              <w:t>26</w:t>
            </w:r>
          </w:p>
        </w:tc>
        <w:tc>
          <w:tcPr>
            <w:tcW w:w="3943"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密封不良</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1019" w:type="dxa"/>
            <w:vAlign w:val="center"/>
          </w:tcPr>
          <w:p>
            <w:pPr>
              <w:spacing w:line="360" w:lineRule="exact"/>
              <w:jc w:val="center"/>
              <w:rPr>
                <w:rFonts w:ascii="宋体" w:hAnsi="宋体" w:eastAsia="宋体"/>
                <w:color w:val="auto"/>
                <w:sz w:val="21"/>
                <w:szCs w:val="21"/>
                <w:vertAlign w:val="subscript"/>
              </w:rPr>
            </w:pPr>
            <w:r>
              <w:rPr>
                <w:rFonts w:hint="eastAsia" w:ascii="宋体" w:hAnsi="宋体" w:eastAsia="宋体"/>
                <w:color w:val="auto"/>
                <w:sz w:val="21"/>
                <w:szCs w:val="21"/>
              </w:rPr>
              <w:t>X</w:t>
            </w:r>
            <w:r>
              <w:rPr>
                <w:rFonts w:hint="eastAsia" w:ascii="宋体" w:hAnsi="宋体" w:eastAsia="宋体"/>
                <w:color w:val="auto"/>
                <w:sz w:val="21"/>
                <w:szCs w:val="21"/>
                <w:vertAlign w:val="subscript"/>
              </w:rPr>
              <w:t>27</w:t>
            </w:r>
          </w:p>
        </w:tc>
        <w:tc>
          <w:tcPr>
            <w:tcW w:w="3285"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装卸方式不当</w:t>
            </w:r>
          </w:p>
        </w:tc>
        <w:tc>
          <w:tcPr>
            <w:tcW w:w="925" w:type="dxa"/>
            <w:vAlign w:val="center"/>
          </w:tcPr>
          <w:p>
            <w:pPr>
              <w:spacing w:line="360" w:lineRule="exact"/>
              <w:jc w:val="center"/>
              <w:rPr>
                <w:rFonts w:ascii="宋体" w:hAnsi="宋体" w:eastAsia="宋体"/>
                <w:color w:val="auto"/>
                <w:sz w:val="21"/>
                <w:szCs w:val="21"/>
                <w:vertAlign w:val="subscript"/>
              </w:rPr>
            </w:pPr>
            <w:r>
              <w:rPr>
                <w:rFonts w:hint="eastAsia" w:ascii="宋体" w:hAnsi="宋体" w:eastAsia="宋体"/>
                <w:color w:val="auto"/>
                <w:sz w:val="21"/>
                <w:szCs w:val="21"/>
              </w:rPr>
              <w:t>X</w:t>
            </w:r>
            <w:r>
              <w:rPr>
                <w:rFonts w:hint="eastAsia" w:ascii="宋体" w:hAnsi="宋体" w:eastAsia="宋体"/>
                <w:color w:val="auto"/>
                <w:sz w:val="21"/>
                <w:szCs w:val="21"/>
                <w:vertAlign w:val="subscript"/>
              </w:rPr>
              <w:t>28</w:t>
            </w:r>
          </w:p>
        </w:tc>
        <w:tc>
          <w:tcPr>
            <w:tcW w:w="3943"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反应釜敞开</w:t>
            </w:r>
          </w:p>
        </w:tc>
      </w:tr>
    </w:tbl>
    <w:p>
      <w:pPr>
        <w:spacing w:line="560" w:lineRule="exact"/>
        <w:ind w:firstLine="560" w:firstLineChars="200"/>
        <w:rPr>
          <w:rFonts w:ascii="宋体" w:hAnsi="宋体" w:eastAsia="宋体"/>
          <w:color w:val="auto"/>
          <w:kern w:val="28"/>
          <w:sz w:val="28"/>
          <w:szCs w:val="28"/>
        </w:rPr>
      </w:pPr>
      <w:r>
        <w:rPr>
          <w:rFonts w:hint="eastAsia" w:ascii="宋体" w:hAnsi="宋体" w:eastAsia="宋体"/>
          <w:color w:val="auto"/>
          <w:kern w:val="28"/>
          <w:sz w:val="28"/>
          <w:szCs w:val="28"/>
        </w:rPr>
        <w:t>2)事故树定性分析</w:t>
      </w:r>
    </w:p>
    <w:p>
      <w:pPr>
        <w:spacing w:line="560" w:lineRule="exact"/>
        <w:ind w:firstLine="560" w:firstLineChars="200"/>
        <w:rPr>
          <w:rFonts w:ascii="宋体" w:hAnsi="宋体" w:eastAsia="宋体"/>
          <w:color w:val="auto"/>
          <w:kern w:val="28"/>
          <w:sz w:val="28"/>
          <w:szCs w:val="28"/>
        </w:rPr>
      </w:pPr>
      <w:r>
        <w:rPr>
          <w:rFonts w:hint="eastAsia" w:ascii="宋体" w:hAnsi="宋体" w:eastAsia="宋体"/>
          <w:color w:val="auto"/>
          <w:kern w:val="28"/>
          <w:sz w:val="28"/>
          <w:szCs w:val="28"/>
        </w:rPr>
        <w:t>①求最小径集</w:t>
      </w:r>
    </w:p>
    <w:p>
      <w:pPr>
        <w:spacing w:line="560" w:lineRule="exact"/>
        <w:ind w:firstLine="560" w:firstLineChars="200"/>
        <w:rPr>
          <w:rFonts w:ascii="宋体" w:hAnsi="宋体" w:eastAsia="宋体"/>
          <w:color w:val="auto"/>
          <w:kern w:val="28"/>
          <w:sz w:val="28"/>
          <w:szCs w:val="28"/>
        </w:rPr>
      </w:pPr>
      <w:r>
        <w:rPr>
          <w:rFonts w:hint="eastAsia" w:ascii="宋体" w:hAnsi="宋体" w:eastAsia="宋体"/>
          <w:color w:val="auto"/>
          <w:kern w:val="28"/>
          <w:sz w:val="28"/>
          <w:szCs w:val="28"/>
        </w:rPr>
        <w:t>最小割集是能导致顶上事件发生的最低限度的基本事件的集合，即割集中作一基本事件不发生，顶上事件就不会发生；最小径集是指在事故树中凡是不能导致顶上事件发生的最低限度的基本事件的集合，也就是说，在最小径集中，去掉任何一个基本事件，便不能保证一定不发生事故。通过分析可知，图6-1中所示事故树最小割集的个数远远多于其成功树的最小径集的个数，从最小径集入手分析较为方便，把该事故树转化为成功树，其结构函数式如下：</w:t>
      </w:r>
    </w:p>
    <w:p>
      <w:pPr>
        <w:spacing w:line="560" w:lineRule="exact"/>
        <w:ind w:firstLine="300" w:firstLineChars="94"/>
        <w:rPr>
          <w:rFonts w:ascii="宋体" w:hAnsi="宋体" w:eastAsia="宋体"/>
          <w:color w:val="auto"/>
          <w:spacing w:val="20"/>
          <w:sz w:val="28"/>
          <w:szCs w:val="28"/>
        </w:rPr>
      </w:pPr>
      <w:r>
        <w:rPr>
          <w:rFonts w:hint="eastAsia" w:ascii="宋体" w:hAnsi="宋体" w:eastAsia="宋体"/>
          <w:color w:val="auto"/>
          <w:spacing w:val="20"/>
          <w:sz w:val="28"/>
          <w:szCs w:val="28"/>
        </w:rPr>
        <w:t>T'=A</w:t>
      </w:r>
      <w:r>
        <w:rPr>
          <w:rFonts w:hint="eastAsia" w:ascii="宋体" w:hAnsi="宋体" w:eastAsia="宋体"/>
          <w:color w:val="auto"/>
          <w:spacing w:val="20"/>
          <w:sz w:val="28"/>
          <w:szCs w:val="28"/>
          <w:vertAlign w:val="subscript"/>
        </w:rPr>
        <w:t>1</w:t>
      </w:r>
      <w:r>
        <w:rPr>
          <w:rFonts w:hint="eastAsia" w:ascii="宋体" w:hAnsi="宋体" w:eastAsia="宋体"/>
          <w:color w:val="auto"/>
          <w:spacing w:val="20"/>
          <w:sz w:val="28"/>
          <w:szCs w:val="28"/>
        </w:rPr>
        <w:t>'+A</w:t>
      </w:r>
      <w:r>
        <w:rPr>
          <w:rFonts w:hint="eastAsia" w:ascii="宋体" w:hAnsi="宋体" w:eastAsia="宋体"/>
          <w:color w:val="auto"/>
          <w:spacing w:val="20"/>
          <w:sz w:val="28"/>
          <w:szCs w:val="28"/>
          <w:vertAlign w:val="subscript"/>
        </w:rPr>
        <w:t>2</w:t>
      </w:r>
      <w:r>
        <w:rPr>
          <w:rFonts w:hint="eastAsia" w:ascii="宋体" w:hAnsi="宋体" w:eastAsia="宋体"/>
          <w:color w:val="auto"/>
          <w:spacing w:val="20"/>
          <w:sz w:val="28"/>
          <w:szCs w:val="28"/>
        </w:rPr>
        <w:t>'</w:t>
      </w:r>
    </w:p>
    <w:p>
      <w:pPr>
        <w:spacing w:line="560" w:lineRule="exact"/>
        <w:ind w:firstLine="320" w:firstLineChars="100"/>
        <w:rPr>
          <w:rFonts w:ascii="宋体" w:hAnsi="宋体" w:eastAsia="宋体"/>
          <w:color w:val="auto"/>
          <w:spacing w:val="20"/>
          <w:sz w:val="28"/>
          <w:szCs w:val="28"/>
        </w:rPr>
      </w:pPr>
      <w:r>
        <w:rPr>
          <w:rFonts w:hint="eastAsia" w:ascii="宋体" w:hAnsi="宋体" w:eastAsia="宋体"/>
          <w:color w:val="auto"/>
          <w:spacing w:val="20"/>
          <w:sz w:val="28"/>
          <w:szCs w:val="28"/>
        </w:rPr>
        <w:t>=B</w:t>
      </w:r>
      <w:r>
        <w:rPr>
          <w:rFonts w:hint="eastAsia" w:ascii="宋体" w:hAnsi="宋体" w:eastAsia="宋体"/>
          <w:color w:val="auto"/>
          <w:spacing w:val="20"/>
          <w:sz w:val="28"/>
          <w:szCs w:val="28"/>
          <w:vertAlign w:val="subscript"/>
        </w:rPr>
        <w:t>1</w:t>
      </w:r>
      <w:r>
        <w:rPr>
          <w:rFonts w:hint="eastAsia" w:ascii="宋体" w:hAnsi="宋体" w:eastAsia="宋体"/>
          <w:color w:val="auto"/>
          <w:spacing w:val="20"/>
          <w:sz w:val="28"/>
          <w:szCs w:val="28"/>
        </w:rPr>
        <w:t>'B</w:t>
      </w:r>
      <w:r>
        <w:rPr>
          <w:rFonts w:hint="eastAsia" w:ascii="宋体" w:hAnsi="宋体" w:eastAsia="宋体"/>
          <w:color w:val="auto"/>
          <w:spacing w:val="20"/>
          <w:sz w:val="28"/>
          <w:szCs w:val="28"/>
          <w:vertAlign w:val="subscript"/>
        </w:rPr>
        <w:t>2</w:t>
      </w:r>
      <w:r>
        <w:rPr>
          <w:rFonts w:hint="eastAsia" w:ascii="宋体" w:hAnsi="宋体" w:eastAsia="宋体"/>
          <w:color w:val="auto"/>
          <w:spacing w:val="20"/>
          <w:sz w:val="28"/>
          <w:szCs w:val="28"/>
        </w:rPr>
        <w:t>'B</w:t>
      </w:r>
      <w:r>
        <w:rPr>
          <w:rFonts w:hint="eastAsia" w:ascii="宋体" w:hAnsi="宋体" w:eastAsia="宋体"/>
          <w:color w:val="auto"/>
          <w:spacing w:val="20"/>
          <w:sz w:val="28"/>
          <w:szCs w:val="28"/>
          <w:vertAlign w:val="subscript"/>
        </w:rPr>
        <w:t>3</w:t>
      </w:r>
      <w:r>
        <w:rPr>
          <w:rFonts w:hint="eastAsia" w:ascii="宋体" w:hAnsi="宋体" w:eastAsia="宋体"/>
          <w:color w:val="auto"/>
          <w:spacing w:val="20"/>
          <w:sz w:val="28"/>
          <w:szCs w:val="28"/>
        </w:rPr>
        <w:t>'B</w:t>
      </w:r>
      <w:r>
        <w:rPr>
          <w:rFonts w:hint="eastAsia" w:ascii="宋体" w:hAnsi="宋体" w:eastAsia="宋体"/>
          <w:color w:val="auto"/>
          <w:spacing w:val="20"/>
          <w:sz w:val="28"/>
          <w:szCs w:val="28"/>
          <w:vertAlign w:val="subscript"/>
        </w:rPr>
        <w:t>4</w:t>
      </w:r>
      <w:r>
        <w:rPr>
          <w:rFonts w:hint="eastAsia" w:ascii="宋体" w:hAnsi="宋体" w:eastAsia="宋体"/>
          <w:color w:val="auto"/>
          <w:spacing w:val="20"/>
          <w:sz w:val="28"/>
          <w:szCs w:val="28"/>
        </w:rPr>
        <w:t>'B</w:t>
      </w:r>
      <w:r>
        <w:rPr>
          <w:rFonts w:hint="eastAsia" w:ascii="宋体" w:hAnsi="宋体" w:eastAsia="宋体"/>
          <w:color w:val="auto"/>
          <w:spacing w:val="20"/>
          <w:sz w:val="28"/>
          <w:szCs w:val="28"/>
          <w:vertAlign w:val="subscript"/>
        </w:rPr>
        <w:t>5</w:t>
      </w:r>
      <w:r>
        <w:rPr>
          <w:rFonts w:hint="eastAsia" w:ascii="宋体" w:hAnsi="宋体" w:eastAsia="宋体"/>
          <w:color w:val="auto"/>
          <w:spacing w:val="20"/>
          <w:sz w:val="28"/>
          <w:szCs w:val="28"/>
        </w:rPr>
        <w:t>'B</w:t>
      </w:r>
      <w:r>
        <w:rPr>
          <w:rFonts w:hint="eastAsia" w:ascii="宋体" w:hAnsi="宋体" w:eastAsia="宋体"/>
          <w:color w:val="auto"/>
          <w:spacing w:val="20"/>
          <w:sz w:val="28"/>
          <w:szCs w:val="28"/>
          <w:vertAlign w:val="subscript"/>
        </w:rPr>
        <w:t>6</w:t>
      </w:r>
      <w:r>
        <w:rPr>
          <w:rFonts w:hint="eastAsia" w:ascii="宋体" w:hAnsi="宋体" w:eastAsia="宋体"/>
          <w:color w:val="auto"/>
          <w:spacing w:val="20"/>
          <w:sz w:val="28"/>
          <w:szCs w:val="28"/>
        </w:rPr>
        <w:t>'B</w:t>
      </w:r>
      <w:r>
        <w:rPr>
          <w:rFonts w:hint="eastAsia" w:ascii="宋体" w:hAnsi="宋体" w:eastAsia="宋体"/>
          <w:color w:val="auto"/>
          <w:spacing w:val="20"/>
          <w:sz w:val="28"/>
          <w:szCs w:val="28"/>
          <w:vertAlign w:val="subscript"/>
        </w:rPr>
        <w:t>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25</w:t>
      </w:r>
      <w:r>
        <w:rPr>
          <w:rFonts w:hint="eastAsia" w:ascii="宋体" w:hAnsi="宋体" w:eastAsia="宋体"/>
          <w:color w:val="auto"/>
          <w:spacing w:val="20"/>
          <w:sz w:val="28"/>
          <w:szCs w:val="28"/>
        </w:rPr>
        <w:t>'+B</w:t>
      </w:r>
      <w:r>
        <w:rPr>
          <w:rFonts w:hint="eastAsia" w:ascii="宋体" w:hAnsi="宋体" w:eastAsia="宋体"/>
          <w:color w:val="auto"/>
          <w:spacing w:val="20"/>
          <w:sz w:val="28"/>
          <w:szCs w:val="28"/>
          <w:vertAlign w:val="subscript"/>
        </w:rPr>
        <w:t>8</w:t>
      </w:r>
      <w:r>
        <w:rPr>
          <w:rFonts w:hint="eastAsia" w:ascii="宋体" w:hAnsi="宋体" w:eastAsia="宋体"/>
          <w:color w:val="auto"/>
          <w:spacing w:val="20"/>
          <w:sz w:val="28"/>
          <w:szCs w:val="28"/>
        </w:rPr>
        <w:t>')</w:t>
      </w:r>
    </w:p>
    <w:p>
      <w:pPr>
        <w:spacing w:line="560" w:lineRule="exact"/>
        <w:ind w:firstLine="320" w:firstLineChars="100"/>
        <w:rPr>
          <w:rFonts w:ascii="宋体" w:hAnsi="宋体" w:eastAsia="宋体"/>
          <w:color w:val="auto"/>
          <w:spacing w:val="20"/>
          <w:sz w:val="28"/>
          <w:szCs w:val="28"/>
        </w:rPr>
      </w:pP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7</w:t>
      </w:r>
      <w:r>
        <w:rPr>
          <w:rFonts w:hint="eastAsia" w:ascii="宋体" w:hAnsi="宋体" w:eastAsia="宋体"/>
          <w:color w:val="auto"/>
          <w:spacing w:val="20"/>
          <w:sz w:val="28"/>
          <w:szCs w:val="28"/>
        </w:rPr>
        <w:t>'C</w:t>
      </w:r>
      <w:r>
        <w:rPr>
          <w:rFonts w:hint="eastAsia" w:ascii="宋体" w:hAnsi="宋体" w:eastAsia="宋体"/>
          <w:color w:val="auto"/>
          <w:spacing w:val="20"/>
          <w:sz w:val="28"/>
          <w:szCs w:val="28"/>
          <w:vertAlign w:val="subscript"/>
        </w:rPr>
        <w:t>1</w:t>
      </w:r>
      <w:r>
        <w:rPr>
          <w:rFonts w:hint="eastAsia" w:ascii="宋体" w:hAnsi="宋体" w:eastAsia="宋体"/>
          <w:color w:val="auto"/>
          <w:spacing w:val="20"/>
          <w:sz w:val="28"/>
          <w:szCs w:val="28"/>
        </w:rPr>
        <w:t>'C</w:t>
      </w:r>
      <w:r>
        <w:rPr>
          <w:rFonts w:hint="eastAsia" w:ascii="宋体" w:hAnsi="宋体" w:eastAsia="宋体"/>
          <w:color w:val="auto"/>
          <w:spacing w:val="20"/>
          <w:sz w:val="28"/>
          <w:szCs w:val="28"/>
          <w:vertAlign w:val="subscript"/>
        </w:rPr>
        <w:t>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17</w:t>
      </w:r>
      <w:r>
        <w:rPr>
          <w:rFonts w:hint="eastAsia" w:ascii="宋体" w:hAnsi="宋体" w:eastAsia="宋体"/>
          <w:color w:val="auto"/>
          <w:spacing w:val="20"/>
          <w:sz w:val="28"/>
          <w:szCs w:val="28"/>
        </w:rPr>
        <w:t>'+C</w:t>
      </w:r>
      <w:r>
        <w:rPr>
          <w:rFonts w:hint="eastAsia" w:ascii="宋体" w:hAnsi="宋体" w:eastAsia="宋体"/>
          <w:color w:val="auto"/>
          <w:spacing w:val="20"/>
          <w:sz w:val="28"/>
          <w:szCs w:val="28"/>
          <w:vertAlign w:val="subscript"/>
        </w:rPr>
        <w:t>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28</w:t>
      </w:r>
      <w:r>
        <w:rPr>
          <w:rFonts w:hint="eastAsia" w:ascii="宋体" w:hAnsi="宋体" w:eastAsia="宋体"/>
          <w:color w:val="auto"/>
          <w:spacing w:val="20"/>
          <w:sz w:val="28"/>
          <w:szCs w:val="28"/>
        </w:rPr>
        <w:t>')</w:t>
      </w:r>
    </w:p>
    <w:p>
      <w:pPr>
        <w:spacing w:line="560" w:lineRule="exact"/>
        <w:ind w:firstLine="320" w:firstLineChars="100"/>
        <w:rPr>
          <w:rFonts w:ascii="宋体" w:hAnsi="宋体" w:eastAsia="宋体"/>
          <w:color w:val="auto"/>
          <w:spacing w:val="20"/>
          <w:sz w:val="28"/>
          <w:szCs w:val="28"/>
        </w:rPr>
      </w:pP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8</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9</w:t>
      </w:r>
      <w:r>
        <w:rPr>
          <w:rFonts w:hint="eastAsia" w:ascii="宋体" w:hAnsi="宋体" w:eastAsia="宋体"/>
          <w:color w:val="auto"/>
          <w:spacing w:val="20"/>
          <w:sz w:val="28"/>
          <w:szCs w:val="28"/>
        </w:rPr>
        <w:t>')(D</w:t>
      </w:r>
      <w:r>
        <w:rPr>
          <w:rFonts w:hint="eastAsia" w:ascii="宋体" w:hAnsi="宋体" w:eastAsia="宋体"/>
          <w:color w:val="auto"/>
          <w:spacing w:val="20"/>
          <w:sz w:val="28"/>
          <w:szCs w:val="28"/>
          <w:vertAlign w:val="subscript"/>
        </w:rPr>
        <w:t>1</w:t>
      </w:r>
      <w:r>
        <w:rPr>
          <w:rFonts w:hint="eastAsia" w:ascii="宋体" w:hAnsi="宋体" w:eastAsia="宋体"/>
          <w:color w:val="auto"/>
          <w:spacing w:val="20"/>
          <w:sz w:val="28"/>
          <w:szCs w:val="28"/>
        </w:rPr>
        <w:t>'+D</w:t>
      </w:r>
      <w:r>
        <w:rPr>
          <w:rFonts w:hint="eastAsia" w:ascii="宋体" w:hAnsi="宋体" w:eastAsia="宋体"/>
          <w:color w:val="auto"/>
          <w:spacing w:val="20"/>
          <w:sz w:val="28"/>
          <w:szCs w:val="28"/>
          <w:vertAlign w:val="subscript"/>
        </w:rPr>
        <w:t>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18</w:t>
      </w:r>
      <w:r>
        <w:rPr>
          <w:rFonts w:hint="eastAsia" w:ascii="宋体" w:hAnsi="宋体" w:eastAsia="宋体"/>
          <w:color w:val="auto"/>
          <w:spacing w:val="20"/>
          <w:sz w:val="28"/>
          <w:szCs w:val="28"/>
        </w:rPr>
        <w:t>'D</w:t>
      </w:r>
      <w:r>
        <w:rPr>
          <w:rFonts w:hint="eastAsia" w:ascii="宋体" w:hAnsi="宋体" w:eastAsia="宋体"/>
          <w:color w:val="auto"/>
          <w:spacing w:val="20"/>
          <w:sz w:val="28"/>
          <w:szCs w:val="28"/>
          <w:vertAlign w:val="subscript"/>
        </w:rPr>
        <w:t>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28</w:t>
      </w:r>
      <w:r>
        <w:rPr>
          <w:rFonts w:hint="eastAsia" w:ascii="宋体" w:hAnsi="宋体" w:eastAsia="宋体"/>
          <w:color w:val="auto"/>
          <w:spacing w:val="20"/>
          <w:sz w:val="28"/>
          <w:szCs w:val="28"/>
        </w:rPr>
        <w:t>')</w:t>
      </w:r>
    </w:p>
    <w:p>
      <w:pPr>
        <w:spacing w:line="560" w:lineRule="exact"/>
        <w:ind w:firstLine="320" w:firstLineChars="100"/>
        <w:rPr>
          <w:rFonts w:ascii="宋体" w:hAnsi="宋体" w:eastAsia="宋体"/>
          <w:color w:val="auto"/>
          <w:spacing w:val="20"/>
          <w:sz w:val="28"/>
          <w:szCs w:val="28"/>
        </w:rPr>
      </w:pP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8</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9</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10</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16</w:t>
      </w:r>
      <w:r>
        <w:rPr>
          <w:rFonts w:hint="eastAsia" w:ascii="宋体" w:hAnsi="宋体" w:eastAsia="宋体"/>
          <w:color w:val="auto"/>
          <w:spacing w:val="20"/>
          <w:sz w:val="28"/>
          <w:szCs w:val="28"/>
        </w:rPr>
        <w:t>')</w:t>
      </w:r>
    </w:p>
    <w:p>
      <w:pPr>
        <w:spacing w:line="560" w:lineRule="exact"/>
        <w:ind w:firstLine="320" w:firstLineChars="100"/>
        <w:rPr>
          <w:rFonts w:ascii="宋体" w:hAnsi="宋体" w:eastAsia="宋体"/>
          <w:color w:val="auto"/>
          <w:spacing w:val="20"/>
          <w:sz w:val="28"/>
          <w:szCs w:val="28"/>
        </w:rPr>
      </w:pP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18</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19</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20</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28</w:t>
      </w:r>
      <w:r>
        <w:rPr>
          <w:rFonts w:hint="eastAsia" w:ascii="宋体" w:hAnsi="宋体" w:eastAsia="宋体"/>
          <w:color w:val="auto"/>
          <w:spacing w:val="20"/>
          <w:sz w:val="28"/>
          <w:szCs w:val="28"/>
        </w:rPr>
        <w:t>')</w:t>
      </w:r>
    </w:p>
    <w:p>
      <w:pPr>
        <w:spacing w:line="560" w:lineRule="exact"/>
        <w:ind w:firstLine="320" w:firstLineChars="100"/>
        <w:rPr>
          <w:rFonts w:ascii="宋体" w:hAnsi="宋体" w:eastAsia="宋体"/>
          <w:color w:val="auto"/>
          <w:spacing w:val="20"/>
          <w:sz w:val="28"/>
          <w:szCs w:val="28"/>
        </w:rPr>
      </w:pP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8</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9</w:t>
      </w:r>
      <w:r>
        <w:rPr>
          <w:rFonts w:hint="eastAsia" w:ascii="宋体" w:hAnsi="宋体" w:eastAsia="宋体"/>
          <w:color w:val="auto"/>
          <w:spacing w:val="20"/>
          <w:sz w:val="28"/>
          <w:szCs w:val="28"/>
        </w:rPr>
        <w:t>')</w:t>
      </w:r>
    </w:p>
    <w:p>
      <w:pPr>
        <w:spacing w:line="560" w:lineRule="exact"/>
        <w:ind w:firstLine="320" w:firstLineChars="100"/>
        <w:rPr>
          <w:rFonts w:ascii="宋体" w:hAnsi="宋体" w:eastAsia="宋体"/>
          <w:color w:val="auto"/>
          <w:spacing w:val="20"/>
          <w:sz w:val="28"/>
          <w:szCs w:val="28"/>
        </w:rPr>
      </w:pP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10</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18</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19</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20</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28</w:t>
      </w:r>
      <w:r>
        <w:rPr>
          <w:rFonts w:hint="eastAsia" w:ascii="宋体" w:hAnsi="宋体" w:eastAsia="宋体"/>
          <w:color w:val="auto"/>
          <w:spacing w:val="20"/>
          <w:sz w:val="28"/>
          <w:szCs w:val="28"/>
        </w:rPr>
        <w:t>')</w:t>
      </w:r>
    </w:p>
    <w:p>
      <w:pPr>
        <w:spacing w:line="560" w:lineRule="exact"/>
        <w:ind w:firstLine="320" w:firstLineChars="100"/>
        <w:rPr>
          <w:rFonts w:ascii="宋体" w:hAnsi="宋体" w:eastAsia="宋体"/>
          <w:color w:val="auto"/>
          <w:spacing w:val="20"/>
          <w:sz w:val="28"/>
          <w:szCs w:val="28"/>
        </w:rPr>
      </w:pP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8</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9</w:t>
      </w:r>
      <w:r>
        <w:rPr>
          <w:rFonts w:hint="eastAsia" w:ascii="宋体" w:hAnsi="宋体" w:eastAsia="宋体"/>
          <w:color w:val="auto"/>
          <w:spacing w:val="20"/>
          <w:sz w:val="28"/>
          <w:szCs w:val="28"/>
        </w:rPr>
        <w:t>')</w:t>
      </w:r>
    </w:p>
    <w:p>
      <w:pPr>
        <w:spacing w:line="560" w:lineRule="exact"/>
        <w:ind w:firstLine="320" w:firstLineChars="100"/>
        <w:rPr>
          <w:rFonts w:ascii="宋体" w:hAnsi="宋体" w:eastAsia="宋体"/>
          <w:color w:val="auto"/>
          <w:spacing w:val="20"/>
          <w:sz w:val="28"/>
          <w:szCs w:val="28"/>
        </w:rPr>
      </w:pP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10</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18</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19</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20</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18</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19</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20</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28</w:t>
      </w:r>
      <w:r>
        <w:rPr>
          <w:rFonts w:hint="eastAsia" w:ascii="宋体" w:hAnsi="宋体" w:eastAsia="宋体"/>
          <w:color w:val="auto"/>
          <w:spacing w:val="20"/>
          <w:sz w:val="28"/>
          <w:szCs w:val="28"/>
        </w:rPr>
        <w:t>')</w:t>
      </w:r>
    </w:p>
    <w:p>
      <w:pPr>
        <w:spacing w:line="560" w:lineRule="exact"/>
        <w:ind w:firstLine="320" w:firstLineChars="100"/>
        <w:rPr>
          <w:rFonts w:ascii="宋体" w:hAnsi="宋体" w:eastAsia="宋体"/>
          <w:color w:val="auto"/>
          <w:spacing w:val="20"/>
          <w:sz w:val="28"/>
          <w:szCs w:val="28"/>
        </w:rPr>
      </w:pP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8</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10</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13</w:t>
      </w:r>
      <w:r>
        <w:rPr>
          <w:rFonts w:hint="eastAsia" w:ascii="宋体" w:hAnsi="宋体" w:eastAsia="宋体"/>
          <w:color w:val="auto"/>
          <w:spacing w:val="20"/>
          <w:sz w:val="28"/>
          <w:szCs w:val="28"/>
        </w:rPr>
        <w:t>'</w:t>
      </w:r>
    </w:p>
    <w:p>
      <w:pPr>
        <w:spacing w:line="560" w:lineRule="exact"/>
        <w:ind w:firstLine="320" w:firstLineChars="100"/>
        <w:rPr>
          <w:rFonts w:ascii="宋体" w:hAnsi="宋体" w:eastAsia="宋体"/>
          <w:color w:val="auto"/>
          <w:spacing w:val="20"/>
          <w:sz w:val="28"/>
          <w:szCs w:val="28"/>
        </w:rPr>
      </w:pP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8</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9</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10</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13</w:t>
      </w:r>
      <w:r>
        <w:rPr>
          <w:rFonts w:hint="eastAsia" w:ascii="宋体" w:hAnsi="宋体" w:eastAsia="宋体"/>
          <w:color w:val="auto"/>
          <w:spacing w:val="20"/>
          <w:sz w:val="28"/>
          <w:szCs w:val="28"/>
        </w:rPr>
        <w:t>'</w:t>
      </w:r>
    </w:p>
    <w:p>
      <w:pPr>
        <w:spacing w:line="560" w:lineRule="exact"/>
        <w:ind w:firstLine="320" w:firstLineChars="100"/>
        <w:rPr>
          <w:rFonts w:ascii="宋体" w:hAnsi="宋体" w:eastAsia="宋体"/>
          <w:color w:val="auto"/>
          <w:spacing w:val="20"/>
          <w:sz w:val="28"/>
          <w:szCs w:val="28"/>
        </w:rPr>
      </w:pP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9</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16</w:t>
      </w:r>
      <w:r>
        <w:rPr>
          <w:rFonts w:hint="eastAsia" w:ascii="宋体" w:hAnsi="宋体" w:eastAsia="宋体"/>
          <w:color w:val="auto"/>
          <w:spacing w:val="20"/>
          <w:sz w:val="28"/>
          <w:szCs w:val="28"/>
        </w:rPr>
        <w:t>')</w:t>
      </w:r>
    </w:p>
    <w:p>
      <w:pPr>
        <w:spacing w:line="560" w:lineRule="exact"/>
        <w:ind w:firstLine="320" w:firstLineChars="100"/>
        <w:rPr>
          <w:rFonts w:ascii="宋体" w:hAnsi="宋体" w:eastAsia="宋体"/>
          <w:color w:val="auto"/>
          <w:spacing w:val="20"/>
          <w:sz w:val="28"/>
          <w:szCs w:val="28"/>
        </w:rPr>
      </w:pP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18</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19</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20</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18</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19</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20</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24</w:t>
      </w:r>
      <w:r>
        <w:rPr>
          <w:rFonts w:hint="eastAsia" w:ascii="宋体" w:hAnsi="宋体" w:eastAsia="宋体"/>
          <w:color w:val="auto"/>
          <w:spacing w:val="20"/>
          <w:sz w:val="28"/>
          <w:szCs w:val="28"/>
        </w:rPr>
        <w:t>')</w:t>
      </w:r>
    </w:p>
    <w:p>
      <w:pPr>
        <w:spacing w:line="560" w:lineRule="exact"/>
        <w:ind w:firstLine="320" w:firstLineChars="100"/>
        <w:rPr>
          <w:rFonts w:ascii="宋体" w:hAnsi="宋体" w:eastAsia="宋体"/>
          <w:color w:val="auto"/>
          <w:spacing w:val="20"/>
          <w:sz w:val="28"/>
          <w:szCs w:val="28"/>
        </w:rPr>
      </w:pP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28</w:t>
      </w:r>
      <w:r>
        <w:rPr>
          <w:rFonts w:hint="eastAsia" w:ascii="宋体" w:hAnsi="宋体" w:eastAsia="宋体"/>
          <w:color w:val="auto"/>
          <w:spacing w:val="20"/>
          <w:sz w:val="28"/>
          <w:szCs w:val="28"/>
        </w:rPr>
        <w:t>')</w:t>
      </w:r>
    </w:p>
    <w:p>
      <w:pPr>
        <w:spacing w:line="560" w:lineRule="exact"/>
        <w:ind w:firstLine="320" w:firstLineChars="100"/>
        <w:rPr>
          <w:rFonts w:ascii="宋体" w:hAnsi="宋体" w:eastAsia="宋体"/>
          <w:color w:val="auto"/>
          <w:spacing w:val="20"/>
          <w:sz w:val="28"/>
          <w:szCs w:val="28"/>
        </w:rPr>
      </w:pP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8</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10</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23</w:t>
      </w:r>
      <w:r>
        <w:rPr>
          <w:rFonts w:hint="eastAsia" w:ascii="宋体" w:hAnsi="宋体" w:eastAsia="宋体"/>
          <w:color w:val="auto"/>
          <w:spacing w:val="20"/>
          <w:sz w:val="28"/>
          <w:szCs w:val="28"/>
        </w:rPr>
        <w:t>'</w:t>
      </w:r>
    </w:p>
    <w:p>
      <w:pPr>
        <w:spacing w:line="560" w:lineRule="exact"/>
        <w:ind w:firstLine="320" w:firstLineChars="100"/>
        <w:rPr>
          <w:rFonts w:ascii="宋体" w:hAnsi="宋体" w:eastAsia="宋体"/>
          <w:color w:val="auto"/>
          <w:spacing w:val="20"/>
          <w:sz w:val="28"/>
          <w:szCs w:val="28"/>
        </w:rPr>
      </w:pP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8</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10</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24</w:t>
      </w:r>
      <w:r>
        <w:rPr>
          <w:rFonts w:hint="eastAsia" w:ascii="宋体" w:hAnsi="宋体" w:eastAsia="宋体"/>
          <w:color w:val="auto"/>
          <w:spacing w:val="20"/>
          <w:sz w:val="28"/>
          <w:szCs w:val="28"/>
        </w:rPr>
        <w:t>'</w:t>
      </w:r>
    </w:p>
    <w:p>
      <w:pPr>
        <w:spacing w:line="560" w:lineRule="exact"/>
        <w:ind w:firstLine="320" w:firstLineChars="100"/>
        <w:rPr>
          <w:rFonts w:ascii="宋体" w:hAnsi="宋体" w:eastAsia="宋体"/>
          <w:color w:val="auto"/>
          <w:spacing w:val="20"/>
          <w:sz w:val="28"/>
          <w:szCs w:val="28"/>
        </w:rPr>
      </w:pP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8</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10</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18</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19</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20</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23</w:t>
      </w:r>
      <w:r>
        <w:rPr>
          <w:rFonts w:hint="eastAsia" w:ascii="宋体" w:hAnsi="宋体" w:eastAsia="宋体"/>
          <w:color w:val="auto"/>
          <w:spacing w:val="20"/>
          <w:sz w:val="28"/>
          <w:szCs w:val="28"/>
        </w:rPr>
        <w:t>'</w:t>
      </w:r>
    </w:p>
    <w:p>
      <w:pPr>
        <w:spacing w:line="560" w:lineRule="exact"/>
        <w:ind w:firstLine="320" w:firstLineChars="100"/>
        <w:rPr>
          <w:rFonts w:ascii="宋体" w:hAnsi="宋体" w:eastAsia="宋体"/>
          <w:color w:val="auto"/>
          <w:spacing w:val="20"/>
          <w:sz w:val="28"/>
          <w:szCs w:val="28"/>
        </w:rPr>
      </w:pP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8</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10</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18</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19</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20</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24</w:t>
      </w:r>
      <w:r>
        <w:rPr>
          <w:rFonts w:hint="eastAsia" w:ascii="宋体" w:hAnsi="宋体" w:eastAsia="宋体"/>
          <w:color w:val="auto"/>
          <w:spacing w:val="20"/>
          <w:sz w:val="28"/>
          <w:szCs w:val="28"/>
        </w:rPr>
        <w:t>'</w:t>
      </w:r>
    </w:p>
    <w:p>
      <w:pPr>
        <w:spacing w:line="560" w:lineRule="exact"/>
        <w:ind w:firstLine="320" w:firstLineChars="100"/>
        <w:rPr>
          <w:rFonts w:ascii="宋体" w:hAnsi="宋体" w:eastAsia="宋体"/>
          <w:color w:val="auto"/>
          <w:spacing w:val="20"/>
          <w:sz w:val="28"/>
          <w:szCs w:val="28"/>
        </w:rPr>
      </w:pP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8</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23</w:t>
      </w:r>
      <w:r>
        <w:rPr>
          <w:rFonts w:hint="eastAsia" w:ascii="宋体" w:hAnsi="宋体" w:eastAsia="宋体"/>
          <w:color w:val="auto"/>
          <w:spacing w:val="20"/>
          <w:sz w:val="28"/>
          <w:szCs w:val="28"/>
        </w:rPr>
        <w:t>'</w:t>
      </w:r>
    </w:p>
    <w:p>
      <w:pPr>
        <w:spacing w:line="560" w:lineRule="exact"/>
        <w:ind w:firstLine="320" w:firstLineChars="100"/>
        <w:rPr>
          <w:rFonts w:ascii="宋体" w:hAnsi="宋体" w:eastAsia="宋体"/>
          <w:color w:val="auto"/>
          <w:spacing w:val="20"/>
          <w:sz w:val="28"/>
          <w:szCs w:val="28"/>
        </w:rPr>
      </w:pP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8</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24</w:t>
      </w:r>
      <w:r>
        <w:rPr>
          <w:rFonts w:hint="eastAsia" w:ascii="宋体" w:hAnsi="宋体" w:eastAsia="宋体"/>
          <w:color w:val="auto"/>
          <w:spacing w:val="20"/>
          <w:sz w:val="28"/>
          <w:szCs w:val="28"/>
        </w:rPr>
        <w:t>'</w:t>
      </w:r>
    </w:p>
    <w:p>
      <w:pPr>
        <w:spacing w:line="560" w:lineRule="exact"/>
        <w:ind w:firstLine="320" w:firstLineChars="100"/>
        <w:rPr>
          <w:rFonts w:ascii="宋体" w:hAnsi="宋体" w:eastAsia="宋体"/>
          <w:color w:val="auto"/>
          <w:spacing w:val="20"/>
          <w:sz w:val="28"/>
          <w:szCs w:val="28"/>
        </w:rPr>
      </w:pP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8</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18</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19</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20</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23</w:t>
      </w:r>
      <w:r>
        <w:rPr>
          <w:rFonts w:hint="eastAsia" w:ascii="宋体" w:hAnsi="宋体" w:eastAsia="宋体"/>
          <w:color w:val="auto"/>
          <w:spacing w:val="20"/>
          <w:sz w:val="28"/>
          <w:szCs w:val="28"/>
        </w:rPr>
        <w:t>'</w:t>
      </w:r>
    </w:p>
    <w:p>
      <w:pPr>
        <w:spacing w:line="560" w:lineRule="exact"/>
        <w:ind w:firstLine="320" w:firstLineChars="100"/>
        <w:rPr>
          <w:rFonts w:ascii="宋体" w:hAnsi="宋体" w:eastAsia="宋体"/>
          <w:color w:val="auto"/>
          <w:spacing w:val="20"/>
          <w:sz w:val="28"/>
          <w:szCs w:val="28"/>
        </w:rPr>
      </w:pP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8</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18</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19</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20</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24</w:t>
      </w:r>
      <w:r>
        <w:rPr>
          <w:rFonts w:hint="eastAsia" w:ascii="宋体" w:hAnsi="宋体" w:eastAsia="宋体"/>
          <w:color w:val="auto"/>
          <w:spacing w:val="20"/>
          <w:sz w:val="28"/>
          <w:szCs w:val="28"/>
        </w:rPr>
        <w:t>'</w:t>
      </w:r>
    </w:p>
    <w:p>
      <w:pPr>
        <w:spacing w:line="560" w:lineRule="exact"/>
        <w:ind w:firstLine="320" w:firstLineChars="100"/>
        <w:rPr>
          <w:rFonts w:ascii="宋体" w:hAnsi="宋体" w:eastAsia="宋体"/>
          <w:color w:val="auto"/>
          <w:spacing w:val="20"/>
          <w:sz w:val="28"/>
          <w:szCs w:val="28"/>
        </w:rPr>
      </w:pP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9</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10</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23</w:t>
      </w:r>
      <w:r>
        <w:rPr>
          <w:rFonts w:hint="eastAsia" w:ascii="宋体" w:hAnsi="宋体" w:eastAsia="宋体"/>
          <w:color w:val="auto"/>
          <w:spacing w:val="20"/>
          <w:sz w:val="28"/>
          <w:szCs w:val="28"/>
        </w:rPr>
        <w:t>'</w:t>
      </w:r>
    </w:p>
    <w:p>
      <w:pPr>
        <w:spacing w:line="560" w:lineRule="exact"/>
        <w:ind w:firstLine="320" w:firstLineChars="100"/>
        <w:rPr>
          <w:rFonts w:ascii="宋体" w:hAnsi="宋体" w:eastAsia="宋体"/>
          <w:color w:val="auto"/>
          <w:spacing w:val="20"/>
          <w:sz w:val="28"/>
          <w:szCs w:val="28"/>
        </w:rPr>
      </w:pP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9</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10</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24</w:t>
      </w:r>
      <w:r>
        <w:rPr>
          <w:rFonts w:hint="eastAsia" w:ascii="宋体" w:hAnsi="宋体" w:eastAsia="宋体"/>
          <w:color w:val="auto"/>
          <w:spacing w:val="20"/>
          <w:sz w:val="28"/>
          <w:szCs w:val="28"/>
        </w:rPr>
        <w:t>'</w:t>
      </w:r>
    </w:p>
    <w:p>
      <w:pPr>
        <w:spacing w:line="560" w:lineRule="exact"/>
        <w:ind w:firstLine="320" w:firstLineChars="100"/>
        <w:rPr>
          <w:rFonts w:ascii="宋体" w:hAnsi="宋体" w:eastAsia="宋体"/>
          <w:color w:val="auto"/>
          <w:spacing w:val="20"/>
          <w:sz w:val="28"/>
          <w:szCs w:val="28"/>
        </w:rPr>
      </w:pP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9</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10</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18</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19</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20</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23</w:t>
      </w:r>
      <w:r>
        <w:rPr>
          <w:rFonts w:hint="eastAsia" w:ascii="宋体" w:hAnsi="宋体" w:eastAsia="宋体"/>
          <w:color w:val="auto"/>
          <w:spacing w:val="20"/>
          <w:sz w:val="28"/>
          <w:szCs w:val="28"/>
        </w:rPr>
        <w:t>'</w:t>
      </w:r>
    </w:p>
    <w:p>
      <w:pPr>
        <w:spacing w:line="560" w:lineRule="exact"/>
        <w:ind w:firstLine="320" w:firstLineChars="100"/>
        <w:rPr>
          <w:rFonts w:ascii="宋体" w:hAnsi="宋体" w:eastAsia="宋体"/>
          <w:color w:val="auto"/>
          <w:spacing w:val="20"/>
          <w:sz w:val="28"/>
          <w:szCs w:val="28"/>
        </w:rPr>
      </w:pP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9</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10</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18</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19</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20</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24</w:t>
      </w:r>
      <w:r>
        <w:rPr>
          <w:rFonts w:hint="eastAsia" w:ascii="宋体" w:hAnsi="宋体" w:eastAsia="宋体"/>
          <w:color w:val="auto"/>
          <w:spacing w:val="20"/>
          <w:sz w:val="28"/>
          <w:szCs w:val="28"/>
        </w:rPr>
        <w:t>'</w:t>
      </w:r>
    </w:p>
    <w:p>
      <w:pPr>
        <w:spacing w:line="560" w:lineRule="exact"/>
        <w:ind w:firstLine="320" w:firstLineChars="100"/>
        <w:rPr>
          <w:rFonts w:ascii="宋体" w:hAnsi="宋体" w:eastAsia="宋体"/>
          <w:color w:val="auto"/>
          <w:spacing w:val="20"/>
          <w:sz w:val="28"/>
          <w:szCs w:val="28"/>
        </w:rPr>
      </w:pP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9</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23</w:t>
      </w:r>
      <w:r>
        <w:rPr>
          <w:rFonts w:hint="eastAsia" w:ascii="宋体" w:hAnsi="宋体" w:eastAsia="宋体"/>
          <w:color w:val="auto"/>
          <w:spacing w:val="20"/>
          <w:sz w:val="28"/>
          <w:szCs w:val="28"/>
        </w:rPr>
        <w:t>'</w:t>
      </w:r>
    </w:p>
    <w:p>
      <w:pPr>
        <w:spacing w:line="560" w:lineRule="exact"/>
        <w:ind w:firstLine="320" w:firstLineChars="100"/>
        <w:rPr>
          <w:rFonts w:ascii="宋体" w:hAnsi="宋体" w:eastAsia="宋体"/>
          <w:color w:val="auto"/>
          <w:spacing w:val="20"/>
          <w:sz w:val="28"/>
          <w:szCs w:val="28"/>
        </w:rPr>
      </w:pP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9</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24</w:t>
      </w:r>
      <w:r>
        <w:rPr>
          <w:rFonts w:hint="eastAsia" w:ascii="宋体" w:hAnsi="宋体" w:eastAsia="宋体"/>
          <w:color w:val="auto"/>
          <w:spacing w:val="20"/>
          <w:sz w:val="28"/>
          <w:szCs w:val="28"/>
        </w:rPr>
        <w:t>'</w:t>
      </w:r>
    </w:p>
    <w:p>
      <w:pPr>
        <w:spacing w:line="560" w:lineRule="exact"/>
        <w:ind w:firstLine="320" w:firstLineChars="100"/>
        <w:rPr>
          <w:rFonts w:ascii="宋体" w:hAnsi="宋体" w:eastAsia="宋体"/>
          <w:color w:val="auto"/>
          <w:spacing w:val="20"/>
          <w:sz w:val="28"/>
          <w:szCs w:val="28"/>
        </w:rPr>
      </w:pP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9</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18</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19</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20</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23</w:t>
      </w:r>
      <w:r>
        <w:rPr>
          <w:rFonts w:hint="eastAsia" w:ascii="宋体" w:hAnsi="宋体" w:eastAsia="宋体"/>
          <w:color w:val="auto"/>
          <w:spacing w:val="20"/>
          <w:sz w:val="28"/>
          <w:szCs w:val="28"/>
        </w:rPr>
        <w:t>'</w:t>
      </w:r>
    </w:p>
    <w:p>
      <w:pPr>
        <w:spacing w:line="560" w:lineRule="exact"/>
        <w:ind w:firstLine="320" w:firstLineChars="100"/>
        <w:rPr>
          <w:rFonts w:ascii="宋体" w:hAnsi="宋体" w:eastAsia="宋体"/>
          <w:color w:val="auto"/>
          <w:spacing w:val="20"/>
          <w:sz w:val="28"/>
          <w:szCs w:val="28"/>
        </w:rPr>
      </w:pP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9</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18</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19</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20</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24</w:t>
      </w:r>
      <w:r>
        <w:rPr>
          <w:rFonts w:hint="eastAsia" w:ascii="宋体" w:hAnsi="宋体" w:eastAsia="宋体"/>
          <w:color w:val="auto"/>
          <w:spacing w:val="20"/>
          <w:sz w:val="28"/>
          <w:szCs w:val="28"/>
        </w:rPr>
        <w:t>'</w:t>
      </w:r>
    </w:p>
    <w:p>
      <w:pPr>
        <w:spacing w:line="560" w:lineRule="exact"/>
        <w:ind w:firstLine="320" w:firstLineChars="100"/>
        <w:rPr>
          <w:rFonts w:ascii="宋体" w:hAnsi="宋体" w:eastAsia="宋体"/>
          <w:color w:val="auto"/>
          <w:spacing w:val="20"/>
          <w:sz w:val="28"/>
          <w:szCs w:val="28"/>
        </w:rPr>
      </w:pP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28</w:t>
      </w:r>
      <w:r>
        <w:rPr>
          <w:rFonts w:hint="eastAsia" w:ascii="宋体" w:hAnsi="宋体" w:eastAsia="宋体"/>
          <w:color w:val="auto"/>
          <w:spacing w:val="20"/>
          <w:sz w:val="28"/>
          <w:szCs w:val="28"/>
        </w:rPr>
        <w:t>'</w:t>
      </w:r>
    </w:p>
    <w:p>
      <w:pPr>
        <w:spacing w:line="560" w:lineRule="exact"/>
        <w:ind w:firstLine="320" w:firstLineChars="100"/>
        <w:rPr>
          <w:rFonts w:ascii="宋体" w:hAnsi="宋体" w:eastAsia="宋体"/>
          <w:color w:val="auto"/>
          <w:spacing w:val="20"/>
          <w:sz w:val="28"/>
          <w:szCs w:val="28"/>
        </w:rPr>
      </w:pPr>
      <w:r>
        <w:rPr>
          <w:rFonts w:hint="eastAsia" w:ascii="宋体" w:hAnsi="宋体" w:eastAsia="宋体"/>
          <w:color w:val="auto"/>
          <w:spacing w:val="20"/>
          <w:sz w:val="28"/>
          <w:szCs w:val="28"/>
        </w:rPr>
        <w:t>从而得到事故树的最小径集</w:t>
      </w:r>
    </w:p>
    <w:p>
      <w:pPr>
        <w:spacing w:line="560" w:lineRule="exact"/>
        <w:ind w:firstLine="320" w:firstLineChars="100"/>
        <w:rPr>
          <w:rFonts w:ascii="宋体" w:hAnsi="宋体" w:eastAsia="宋体"/>
          <w:color w:val="auto"/>
          <w:spacing w:val="20"/>
          <w:sz w:val="28"/>
          <w:szCs w:val="28"/>
        </w:rPr>
      </w:pPr>
      <w:r>
        <w:rPr>
          <w:rFonts w:hint="eastAsia" w:ascii="宋体" w:hAnsi="宋体" w:eastAsia="宋体"/>
          <w:color w:val="auto"/>
          <w:spacing w:val="20"/>
          <w:sz w:val="28"/>
          <w:szCs w:val="28"/>
        </w:rPr>
        <w:t>P</w:t>
      </w:r>
      <w:r>
        <w:rPr>
          <w:rFonts w:hint="eastAsia" w:ascii="宋体" w:hAnsi="宋体" w:eastAsia="宋体"/>
          <w:color w:val="auto"/>
          <w:spacing w:val="20"/>
          <w:sz w:val="28"/>
          <w:szCs w:val="28"/>
          <w:vertAlign w:val="subscript"/>
        </w:rPr>
        <w:t>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8</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10</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23</w:t>
      </w:r>
      <w:r>
        <w:rPr>
          <w:rFonts w:hint="eastAsia" w:ascii="宋体" w:hAnsi="宋体" w:eastAsia="宋体"/>
          <w:color w:val="auto"/>
          <w:spacing w:val="20"/>
          <w:sz w:val="28"/>
          <w:szCs w:val="28"/>
        </w:rPr>
        <w:t>'}</w:t>
      </w:r>
    </w:p>
    <w:p>
      <w:pPr>
        <w:spacing w:line="560" w:lineRule="exact"/>
        <w:ind w:firstLine="320" w:firstLineChars="100"/>
        <w:rPr>
          <w:rFonts w:ascii="宋体" w:hAnsi="宋体" w:eastAsia="宋体"/>
          <w:color w:val="auto"/>
          <w:spacing w:val="20"/>
          <w:sz w:val="28"/>
          <w:szCs w:val="28"/>
        </w:rPr>
      </w:pPr>
      <w:r>
        <w:rPr>
          <w:rFonts w:hint="eastAsia" w:ascii="宋体" w:hAnsi="宋体" w:eastAsia="宋体"/>
          <w:color w:val="auto"/>
          <w:spacing w:val="20"/>
          <w:sz w:val="28"/>
          <w:szCs w:val="28"/>
        </w:rPr>
        <w:t>P</w:t>
      </w:r>
      <w:r>
        <w:rPr>
          <w:rFonts w:hint="eastAsia" w:ascii="宋体" w:hAnsi="宋体" w:eastAsia="宋体"/>
          <w:color w:val="auto"/>
          <w:spacing w:val="20"/>
          <w:sz w:val="28"/>
          <w:szCs w:val="28"/>
          <w:vertAlign w:val="subscript"/>
        </w:rPr>
        <w:t>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8</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10</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24</w:t>
      </w:r>
      <w:r>
        <w:rPr>
          <w:rFonts w:hint="eastAsia" w:ascii="宋体" w:hAnsi="宋体" w:eastAsia="宋体"/>
          <w:color w:val="auto"/>
          <w:spacing w:val="20"/>
          <w:sz w:val="28"/>
          <w:szCs w:val="28"/>
        </w:rPr>
        <w:t>'}</w:t>
      </w:r>
    </w:p>
    <w:p>
      <w:pPr>
        <w:spacing w:line="560" w:lineRule="exact"/>
        <w:ind w:firstLine="320" w:firstLineChars="100"/>
        <w:rPr>
          <w:rFonts w:ascii="宋体" w:hAnsi="宋体" w:eastAsia="宋体"/>
          <w:color w:val="auto"/>
          <w:spacing w:val="20"/>
          <w:sz w:val="28"/>
          <w:szCs w:val="28"/>
        </w:rPr>
      </w:pPr>
      <w:r>
        <w:rPr>
          <w:rFonts w:hint="eastAsia" w:ascii="宋体" w:hAnsi="宋体" w:eastAsia="宋体"/>
          <w:color w:val="auto"/>
          <w:spacing w:val="20"/>
          <w:sz w:val="28"/>
          <w:szCs w:val="28"/>
        </w:rPr>
        <w:t>P</w:t>
      </w:r>
      <w:r>
        <w:rPr>
          <w:rFonts w:hint="eastAsia" w:ascii="宋体" w:hAnsi="宋体" w:eastAsia="宋体"/>
          <w:color w:val="auto"/>
          <w:spacing w:val="20"/>
          <w:sz w:val="28"/>
          <w:szCs w:val="28"/>
          <w:vertAlign w:val="subscript"/>
        </w:rPr>
        <w:t>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8</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10</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18</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19</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20</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23</w:t>
      </w:r>
      <w:r>
        <w:rPr>
          <w:rFonts w:hint="eastAsia" w:ascii="宋体" w:hAnsi="宋体" w:eastAsia="宋体"/>
          <w:color w:val="auto"/>
          <w:spacing w:val="20"/>
          <w:sz w:val="28"/>
          <w:szCs w:val="28"/>
        </w:rPr>
        <w:t>'}</w:t>
      </w:r>
    </w:p>
    <w:p>
      <w:pPr>
        <w:spacing w:line="560" w:lineRule="exact"/>
        <w:ind w:firstLine="320" w:firstLineChars="100"/>
        <w:rPr>
          <w:rFonts w:ascii="宋体" w:hAnsi="宋体" w:eastAsia="宋体"/>
          <w:color w:val="auto"/>
          <w:spacing w:val="20"/>
          <w:sz w:val="28"/>
          <w:szCs w:val="28"/>
        </w:rPr>
      </w:pPr>
      <w:r>
        <w:rPr>
          <w:rFonts w:hint="eastAsia" w:ascii="宋体" w:hAnsi="宋体" w:eastAsia="宋体"/>
          <w:color w:val="auto"/>
          <w:spacing w:val="20"/>
          <w:sz w:val="28"/>
          <w:szCs w:val="28"/>
        </w:rPr>
        <w:t>P</w:t>
      </w:r>
      <w:r>
        <w:rPr>
          <w:rFonts w:hint="eastAsia" w:ascii="宋体" w:hAnsi="宋体" w:eastAsia="宋体"/>
          <w:color w:val="auto"/>
          <w:spacing w:val="20"/>
          <w:sz w:val="28"/>
          <w:szCs w:val="28"/>
          <w:vertAlign w:val="subscript"/>
        </w:rPr>
        <w:t>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8</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10</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18</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19</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20</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24</w:t>
      </w:r>
      <w:r>
        <w:rPr>
          <w:rFonts w:hint="eastAsia" w:ascii="宋体" w:hAnsi="宋体" w:eastAsia="宋体"/>
          <w:color w:val="auto"/>
          <w:spacing w:val="20"/>
          <w:sz w:val="28"/>
          <w:szCs w:val="28"/>
        </w:rPr>
        <w:t>'}</w:t>
      </w:r>
    </w:p>
    <w:p>
      <w:pPr>
        <w:spacing w:line="560" w:lineRule="exact"/>
        <w:ind w:firstLine="320" w:firstLineChars="100"/>
        <w:rPr>
          <w:rFonts w:ascii="宋体" w:hAnsi="宋体" w:eastAsia="宋体"/>
          <w:color w:val="auto"/>
          <w:spacing w:val="20"/>
          <w:sz w:val="28"/>
          <w:szCs w:val="28"/>
        </w:rPr>
      </w:pPr>
      <w:r>
        <w:rPr>
          <w:rFonts w:hint="eastAsia" w:ascii="宋体" w:hAnsi="宋体" w:eastAsia="宋体"/>
          <w:color w:val="auto"/>
          <w:spacing w:val="20"/>
          <w:sz w:val="28"/>
          <w:szCs w:val="28"/>
        </w:rPr>
        <w:t>P</w:t>
      </w:r>
      <w:r>
        <w:rPr>
          <w:rFonts w:hint="eastAsia" w:ascii="宋体" w:hAnsi="宋体" w:eastAsia="宋体"/>
          <w:color w:val="auto"/>
          <w:spacing w:val="20"/>
          <w:sz w:val="28"/>
          <w:szCs w:val="28"/>
          <w:vertAlign w:val="subscript"/>
        </w:rPr>
        <w:t>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8</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23</w:t>
      </w:r>
      <w:r>
        <w:rPr>
          <w:rFonts w:hint="eastAsia" w:ascii="宋体" w:hAnsi="宋体" w:eastAsia="宋体"/>
          <w:color w:val="auto"/>
          <w:spacing w:val="20"/>
          <w:sz w:val="28"/>
          <w:szCs w:val="28"/>
        </w:rPr>
        <w:t>'}</w:t>
      </w:r>
    </w:p>
    <w:p>
      <w:pPr>
        <w:spacing w:line="560" w:lineRule="exact"/>
        <w:ind w:firstLine="320" w:firstLineChars="100"/>
        <w:rPr>
          <w:rFonts w:ascii="宋体" w:hAnsi="宋体" w:eastAsia="宋体"/>
          <w:color w:val="auto"/>
          <w:spacing w:val="20"/>
          <w:sz w:val="28"/>
          <w:szCs w:val="28"/>
        </w:rPr>
      </w:pPr>
      <w:r>
        <w:rPr>
          <w:rFonts w:hint="eastAsia" w:ascii="宋体" w:hAnsi="宋体" w:eastAsia="宋体"/>
          <w:color w:val="auto"/>
          <w:spacing w:val="20"/>
          <w:sz w:val="28"/>
          <w:szCs w:val="28"/>
        </w:rPr>
        <w:t>P</w:t>
      </w:r>
      <w:r>
        <w:rPr>
          <w:rFonts w:hint="eastAsia" w:ascii="宋体" w:hAnsi="宋体" w:eastAsia="宋体"/>
          <w:color w:val="auto"/>
          <w:spacing w:val="20"/>
          <w:sz w:val="28"/>
          <w:szCs w:val="28"/>
          <w:vertAlign w:val="subscript"/>
        </w:rPr>
        <w:t>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8</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24</w:t>
      </w:r>
      <w:r>
        <w:rPr>
          <w:rFonts w:hint="eastAsia" w:ascii="宋体" w:hAnsi="宋体" w:eastAsia="宋体"/>
          <w:color w:val="auto"/>
          <w:spacing w:val="20"/>
          <w:sz w:val="28"/>
          <w:szCs w:val="28"/>
        </w:rPr>
        <w:t>'}</w:t>
      </w:r>
    </w:p>
    <w:p>
      <w:pPr>
        <w:spacing w:line="560" w:lineRule="exact"/>
        <w:ind w:firstLine="320" w:firstLineChars="100"/>
        <w:rPr>
          <w:rFonts w:ascii="宋体" w:hAnsi="宋体" w:eastAsia="宋体"/>
          <w:color w:val="auto"/>
          <w:spacing w:val="20"/>
          <w:sz w:val="28"/>
          <w:szCs w:val="28"/>
        </w:rPr>
      </w:pPr>
      <w:r>
        <w:rPr>
          <w:rFonts w:hint="eastAsia" w:ascii="宋体" w:hAnsi="宋体" w:eastAsia="宋体"/>
          <w:color w:val="auto"/>
          <w:spacing w:val="20"/>
          <w:sz w:val="28"/>
          <w:szCs w:val="28"/>
        </w:rPr>
        <w:t>P</w:t>
      </w:r>
      <w:r>
        <w:rPr>
          <w:rFonts w:hint="eastAsia" w:ascii="宋体" w:hAnsi="宋体" w:eastAsia="宋体"/>
          <w:color w:val="auto"/>
          <w:spacing w:val="20"/>
          <w:sz w:val="28"/>
          <w:szCs w:val="28"/>
          <w:vertAlign w:val="subscript"/>
        </w:rPr>
        <w:t>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8</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18</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19</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20</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23</w:t>
      </w:r>
      <w:r>
        <w:rPr>
          <w:rFonts w:hint="eastAsia" w:ascii="宋体" w:hAnsi="宋体" w:eastAsia="宋体"/>
          <w:color w:val="auto"/>
          <w:spacing w:val="20"/>
          <w:sz w:val="28"/>
          <w:szCs w:val="28"/>
        </w:rPr>
        <w:t>'}</w:t>
      </w:r>
    </w:p>
    <w:p>
      <w:pPr>
        <w:spacing w:line="560" w:lineRule="exact"/>
        <w:ind w:firstLine="320" w:firstLineChars="100"/>
        <w:rPr>
          <w:rFonts w:ascii="宋体" w:hAnsi="宋体" w:eastAsia="宋体"/>
          <w:color w:val="auto"/>
          <w:spacing w:val="20"/>
          <w:sz w:val="28"/>
          <w:szCs w:val="28"/>
        </w:rPr>
      </w:pPr>
      <w:r>
        <w:rPr>
          <w:rFonts w:hint="eastAsia" w:ascii="宋体" w:hAnsi="宋体" w:eastAsia="宋体"/>
          <w:color w:val="auto"/>
          <w:spacing w:val="20"/>
          <w:sz w:val="28"/>
          <w:szCs w:val="28"/>
        </w:rPr>
        <w:t>P</w:t>
      </w:r>
      <w:r>
        <w:rPr>
          <w:rFonts w:hint="eastAsia" w:ascii="宋体" w:hAnsi="宋体" w:eastAsia="宋体"/>
          <w:color w:val="auto"/>
          <w:spacing w:val="20"/>
          <w:sz w:val="28"/>
          <w:szCs w:val="28"/>
          <w:vertAlign w:val="subscript"/>
        </w:rPr>
        <w:t>8</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8</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18</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19</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20</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24</w:t>
      </w:r>
      <w:r>
        <w:rPr>
          <w:rFonts w:hint="eastAsia" w:ascii="宋体" w:hAnsi="宋体" w:eastAsia="宋体"/>
          <w:color w:val="auto"/>
          <w:spacing w:val="20"/>
          <w:sz w:val="28"/>
          <w:szCs w:val="28"/>
        </w:rPr>
        <w:t>'}</w:t>
      </w:r>
    </w:p>
    <w:p>
      <w:pPr>
        <w:spacing w:line="560" w:lineRule="exact"/>
        <w:ind w:firstLine="320" w:firstLineChars="100"/>
        <w:rPr>
          <w:rFonts w:ascii="宋体" w:hAnsi="宋体" w:eastAsia="宋体"/>
          <w:color w:val="auto"/>
          <w:spacing w:val="20"/>
          <w:sz w:val="28"/>
          <w:szCs w:val="28"/>
        </w:rPr>
      </w:pPr>
      <w:r>
        <w:rPr>
          <w:rFonts w:hint="eastAsia" w:ascii="宋体" w:hAnsi="宋体" w:eastAsia="宋体"/>
          <w:color w:val="auto"/>
          <w:spacing w:val="20"/>
          <w:sz w:val="28"/>
          <w:szCs w:val="28"/>
        </w:rPr>
        <w:t>P</w:t>
      </w:r>
      <w:r>
        <w:rPr>
          <w:rFonts w:hint="eastAsia" w:ascii="宋体" w:hAnsi="宋体" w:eastAsia="宋体"/>
          <w:color w:val="auto"/>
          <w:spacing w:val="20"/>
          <w:sz w:val="28"/>
          <w:szCs w:val="28"/>
          <w:vertAlign w:val="subscript"/>
        </w:rPr>
        <w:t>9</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9</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10</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23</w:t>
      </w:r>
      <w:r>
        <w:rPr>
          <w:rFonts w:hint="eastAsia" w:ascii="宋体" w:hAnsi="宋体" w:eastAsia="宋体"/>
          <w:color w:val="auto"/>
          <w:spacing w:val="20"/>
          <w:sz w:val="28"/>
          <w:szCs w:val="28"/>
        </w:rPr>
        <w:t>'}</w:t>
      </w:r>
    </w:p>
    <w:p>
      <w:pPr>
        <w:spacing w:line="560" w:lineRule="exact"/>
        <w:ind w:firstLine="320" w:firstLineChars="100"/>
        <w:rPr>
          <w:rFonts w:ascii="宋体" w:hAnsi="宋体" w:eastAsia="宋体"/>
          <w:color w:val="auto"/>
          <w:spacing w:val="20"/>
          <w:sz w:val="28"/>
          <w:szCs w:val="28"/>
        </w:rPr>
      </w:pPr>
      <w:r>
        <w:rPr>
          <w:rFonts w:hint="eastAsia" w:ascii="宋体" w:hAnsi="宋体" w:eastAsia="宋体"/>
          <w:color w:val="auto"/>
          <w:spacing w:val="20"/>
          <w:sz w:val="28"/>
          <w:szCs w:val="28"/>
        </w:rPr>
        <w:t>P</w:t>
      </w:r>
      <w:r>
        <w:rPr>
          <w:rFonts w:hint="eastAsia" w:ascii="宋体" w:hAnsi="宋体" w:eastAsia="宋体"/>
          <w:color w:val="auto"/>
          <w:spacing w:val="20"/>
          <w:sz w:val="28"/>
          <w:szCs w:val="28"/>
          <w:vertAlign w:val="subscript"/>
        </w:rPr>
        <w:t>10</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9</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10</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24</w:t>
      </w:r>
      <w:r>
        <w:rPr>
          <w:rFonts w:hint="eastAsia" w:ascii="宋体" w:hAnsi="宋体" w:eastAsia="宋体"/>
          <w:color w:val="auto"/>
          <w:spacing w:val="20"/>
          <w:sz w:val="28"/>
          <w:szCs w:val="28"/>
        </w:rPr>
        <w:t>'}</w:t>
      </w:r>
    </w:p>
    <w:p>
      <w:pPr>
        <w:spacing w:line="560" w:lineRule="exact"/>
        <w:ind w:firstLine="320" w:firstLineChars="100"/>
        <w:rPr>
          <w:rFonts w:ascii="宋体" w:hAnsi="宋体" w:eastAsia="宋体"/>
          <w:color w:val="auto"/>
          <w:spacing w:val="20"/>
          <w:sz w:val="28"/>
          <w:szCs w:val="28"/>
        </w:rPr>
      </w:pPr>
      <w:r>
        <w:rPr>
          <w:rFonts w:hint="eastAsia" w:ascii="宋体" w:hAnsi="宋体" w:eastAsia="宋体"/>
          <w:color w:val="auto"/>
          <w:spacing w:val="20"/>
          <w:sz w:val="28"/>
          <w:szCs w:val="28"/>
        </w:rPr>
        <w:t>P</w:t>
      </w:r>
      <w:r>
        <w:rPr>
          <w:rFonts w:hint="eastAsia" w:ascii="宋体" w:hAnsi="宋体" w:eastAsia="宋体"/>
          <w:color w:val="auto"/>
          <w:spacing w:val="20"/>
          <w:sz w:val="28"/>
          <w:szCs w:val="28"/>
          <w:vertAlign w:val="subscript"/>
        </w:rPr>
        <w:t>11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9</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10</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18</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19</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20</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23</w:t>
      </w:r>
      <w:r>
        <w:rPr>
          <w:rFonts w:hint="eastAsia" w:ascii="宋体" w:hAnsi="宋体" w:eastAsia="宋体"/>
          <w:color w:val="auto"/>
          <w:spacing w:val="20"/>
          <w:sz w:val="28"/>
          <w:szCs w:val="28"/>
        </w:rPr>
        <w:t>'}</w:t>
      </w:r>
    </w:p>
    <w:p>
      <w:pPr>
        <w:spacing w:line="560" w:lineRule="exact"/>
        <w:ind w:firstLine="320" w:firstLineChars="100"/>
        <w:rPr>
          <w:rFonts w:ascii="宋体" w:hAnsi="宋体" w:eastAsia="宋体"/>
          <w:color w:val="auto"/>
          <w:spacing w:val="20"/>
          <w:sz w:val="28"/>
          <w:szCs w:val="28"/>
        </w:rPr>
      </w:pPr>
      <w:r>
        <w:rPr>
          <w:rFonts w:hint="eastAsia" w:ascii="宋体" w:hAnsi="宋体" w:eastAsia="宋体"/>
          <w:color w:val="auto"/>
          <w:spacing w:val="20"/>
          <w:sz w:val="28"/>
          <w:szCs w:val="28"/>
        </w:rPr>
        <w:t>P</w:t>
      </w:r>
      <w:r>
        <w:rPr>
          <w:rFonts w:hint="eastAsia" w:ascii="宋体" w:hAnsi="宋体" w:eastAsia="宋体"/>
          <w:color w:val="auto"/>
          <w:spacing w:val="20"/>
          <w:sz w:val="28"/>
          <w:szCs w:val="28"/>
          <w:vertAlign w:val="subscript"/>
        </w:rPr>
        <w:t>12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9</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10</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18</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19</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20</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24</w:t>
      </w:r>
      <w:r>
        <w:rPr>
          <w:rFonts w:hint="eastAsia" w:ascii="宋体" w:hAnsi="宋体" w:eastAsia="宋体"/>
          <w:color w:val="auto"/>
          <w:spacing w:val="20"/>
          <w:sz w:val="28"/>
          <w:szCs w:val="28"/>
        </w:rPr>
        <w:t>'}</w:t>
      </w:r>
    </w:p>
    <w:p>
      <w:pPr>
        <w:spacing w:line="560" w:lineRule="exact"/>
        <w:ind w:firstLine="320" w:firstLineChars="100"/>
        <w:rPr>
          <w:rFonts w:ascii="宋体" w:hAnsi="宋体" w:eastAsia="宋体"/>
          <w:color w:val="auto"/>
          <w:spacing w:val="20"/>
          <w:sz w:val="28"/>
          <w:szCs w:val="28"/>
        </w:rPr>
      </w:pPr>
      <w:r>
        <w:rPr>
          <w:rFonts w:hint="eastAsia" w:ascii="宋体" w:hAnsi="宋体" w:eastAsia="宋体"/>
          <w:color w:val="auto"/>
          <w:spacing w:val="20"/>
          <w:sz w:val="28"/>
          <w:szCs w:val="28"/>
        </w:rPr>
        <w:t>P</w:t>
      </w:r>
      <w:r>
        <w:rPr>
          <w:rFonts w:hint="eastAsia" w:ascii="宋体" w:hAnsi="宋体" w:eastAsia="宋体"/>
          <w:color w:val="auto"/>
          <w:spacing w:val="20"/>
          <w:sz w:val="28"/>
          <w:szCs w:val="28"/>
          <w:vertAlign w:val="subscript"/>
        </w:rPr>
        <w:t>13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9</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23</w:t>
      </w:r>
      <w:r>
        <w:rPr>
          <w:rFonts w:hint="eastAsia" w:ascii="宋体" w:hAnsi="宋体" w:eastAsia="宋体"/>
          <w:color w:val="auto"/>
          <w:spacing w:val="20"/>
          <w:sz w:val="28"/>
          <w:szCs w:val="28"/>
        </w:rPr>
        <w:t>'}</w:t>
      </w:r>
    </w:p>
    <w:p>
      <w:pPr>
        <w:spacing w:line="560" w:lineRule="exact"/>
        <w:ind w:firstLine="320" w:firstLineChars="100"/>
        <w:rPr>
          <w:rFonts w:ascii="宋体" w:hAnsi="宋体" w:eastAsia="宋体"/>
          <w:color w:val="auto"/>
          <w:spacing w:val="20"/>
          <w:sz w:val="28"/>
          <w:szCs w:val="28"/>
        </w:rPr>
      </w:pPr>
      <w:r>
        <w:rPr>
          <w:rFonts w:hint="eastAsia" w:ascii="宋体" w:hAnsi="宋体" w:eastAsia="宋体"/>
          <w:color w:val="auto"/>
          <w:spacing w:val="20"/>
          <w:sz w:val="28"/>
          <w:szCs w:val="28"/>
        </w:rPr>
        <w:t>P</w:t>
      </w:r>
      <w:r>
        <w:rPr>
          <w:rFonts w:hint="eastAsia" w:ascii="宋体" w:hAnsi="宋体" w:eastAsia="宋体"/>
          <w:color w:val="auto"/>
          <w:spacing w:val="20"/>
          <w:sz w:val="28"/>
          <w:szCs w:val="28"/>
          <w:vertAlign w:val="subscript"/>
        </w:rPr>
        <w:t>14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9</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24</w:t>
      </w:r>
      <w:r>
        <w:rPr>
          <w:rFonts w:hint="eastAsia" w:ascii="宋体" w:hAnsi="宋体" w:eastAsia="宋体"/>
          <w:color w:val="auto"/>
          <w:spacing w:val="20"/>
          <w:sz w:val="28"/>
          <w:szCs w:val="28"/>
        </w:rPr>
        <w:t>'}</w:t>
      </w:r>
    </w:p>
    <w:p>
      <w:pPr>
        <w:spacing w:line="560" w:lineRule="exact"/>
        <w:ind w:firstLine="320" w:firstLineChars="100"/>
        <w:rPr>
          <w:rFonts w:ascii="宋体" w:hAnsi="宋体" w:eastAsia="宋体"/>
          <w:color w:val="auto"/>
          <w:spacing w:val="20"/>
          <w:sz w:val="28"/>
          <w:szCs w:val="28"/>
        </w:rPr>
      </w:pPr>
      <w:r>
        <w:rPr>
          <w:rFonts w:hint="eastAsia" w:ascii="宋体" w:hAnsi="宋体" w:eastAsia="宋体"/>
          <w:color w:val="auto"/>
          <w:spacing w:val="20"/>
          <w:sz w:val="28"/>
          <w:szCs w:val="28"/>
        </w:rPr>
        <w:t>P</w:t>
      </w:r>
      <w:r>
        <w:rPr>
          <w:rFonts w:hint="eastAsia" w:ascii="宋体" w:hAnsi="宋体" w:eastAsia="宋体"/>
          <w:color w:val="auto"/>
          <w:spacing w:val="20"/>
          <w:sz w:val="28"/>
          <w:szCs w:val="28"/>
          <w:vertAlign w:val="subscript"/>
        </w:rPr>
        <w:t>15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9</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18</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19</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20</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23</w:t>
      </w:r>
      <w:r>
        <w:rPr>
          <w:rFonts w:hint="eastAsia" w:ascii="宋体" w:hAnsi="宋体" w:eastAsia="宋体"/>
          <w:color w:val="auto"/>
          <w:spacing w:val="20"/>
          <w:sz w:val="28"/>
          <w:szCs w:val="28"/>
        </w:rPr>
        <w:t>'}</w:t>
      </w:r>
    </w:p>
    <w:p>
      <w:pPr>
        <w:spacing w:line="560" w:lineRule="exact"/>
        <w:ind w:firstLine="320" w:firstLineChars="100"/>
        <w:rPr>
          <w:rFonts w:ascii="宋体" w:hAnsi="宋体" w:eastAsia="宋体"/>
          <w:color w:val="auto"/>
          <w:spacing w:val="20"/>
          <w:sz w:val="28"/>
          <w:szCs w:val="28"/>
        </w:rPr>
      </w:pPr>
      <w:r>
        <w:rPr>
          <w:rFonts w:hint="eastAsia" w:ascii="宋体" w:hAnsi="宋体" w:eastAsia="宋体"/>
          <w:color w:val="auto"/>
          <w:spacing w:val="20"/>
          <w:sz w:val="28"/>
          <w:szCs w:val="28"/>
        </w:rPr>
        <w:t>P</w:t>
      </w:r>
      <w:r>
        <w:rPr>
          <w:rFonts w:hint="eastAsia" w:ascii="宋体" w:hAnsi="宋体" w:eastAsia="宋体"/>
          <w:color w:val="auto"/>
          <w:spacing w:val="20"/>
          <w:sz w:val="28"/>
          <w:szCs w:val="28"/>
          <w:vertAlign w:val="subscript"/>
        </w:rPr>
        <w:t>16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3</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22</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9</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14</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15</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18</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19</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20</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21</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24</w:t>
      </w:r>
      <w:r>
        <w:rPr>
          <w:rFonts w:hint="eastAsia" w:ascii="宋体" w:hAnsi="宋体" w:eastAsia="宋体"/>
          <w:color w:val="auto"/>
          <w:spacing w:val="20"/>
          <w:sz w:val="28"/>
          <w:szCs w:val="28"/>
        </w:rPr>
        <w:t>'}</w:t>
      </w:r>
    </w:p>
    <w:p>
      <w:pPr>
        <w:spacing w:line="560" w:lineRule="exact"/>
        <w:ind w:firstLine="320" w:firstLineChars="100"/>
        <w:rPr>
          <w:rFonts w:ascii="宋体" w:hAnsi="宋体" w:eastAsia="宋体"/>
          <w:color w:val="auto"/>
          <w:spacing w:val="20"/>
          <w:sz w:val="28"/>
          <w:szCs w:val="28"/>
        </w:rPr>
      </w:pPr>
      <w:r>
        <w:rPr>
          <w:rFonts w:hint="eastAsia" w:ascii="宋体" w:hAnsi="宋体" w:eastAsia="宋体"/>
          <w:color w:val="auto"/>
          <w:spacing w:val="20"/>
          <w:sz w:val="28"/>
          <w:szCs w:val="28"/>
        </w:rPr>
        <w:t>P</w:t>
      </w:r>
      <w:r>
        <w:rPr>
          <w:rFonts w:hint="eastAsia" w:ascii="宋体" w:hAnsi="宋体" w:eastAsia="宋体"/>
          <w:color w:val="auto"/>
          <w:spacing w:val="20"/>
          <w:sz w:val="28"/>
          <w:szCs w:val="28"/>
          <w:vertAlign w:val="subscript"/>
        </w:rPr>
        <w:t>17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25</w:t>
      </w:r>
      <w:r>
        <w:rPr>
          <w:rFonts w:hint="eastAsia" w:ascii="宋体" w:hAnsi="宋体" w:eastAsia="宋体"/>
          <w:color w:val="auto"/>
          <w:spacing w:val="20"/>
          <w:sz w:val="28"/>
          <w:szCs w:val="28"/>
        </w:rPr>
        <w:t>'}</w:t>
      </w:r>
    </w:p>
    <w:p>
      <w:pPr>
        <w:spacing w:line="560" w:lineRule="exact"/>
        <w:ind w:firstLine="320" w:firstLineChars="100"/>
        <w:rPr>
          <w:rFonts w:ascii="宋体" w:hAnsi="宋体" w:eastAsia="宋体"/>
          <w:color w:val="auto"/>
          <w:spacing w:val="20"/>
          <w:sz w:val="28"/>
          <w:szCs w:val="28"/>
        </w:rPr>
      </w:pPr>
      <w:r>
        <w:rPr>
          <w:rFonts w:hint="eastAsia" w:ascii="宋体" w:hAnsi="宋体" w:eastAsia="宋体"/>
          <w:color w:val="auto"/>
          <w:spacing w:val="20"/>
          <w:sz w:val="28"/>
          <w:szCs w:val="28"/>
        </w:rPr>
        <w:t>P</w:t>
      </w:r>
      <w:r>
        <w:rPr>
          <w:rFonts w:hint="eastAsia" w:ascii="宋体" w:hAnsi="宋体" w:eastAsia="宋体"/>
          <w:color w:val="auto"/>
          <w:spacing w:val="20"/>
          <w:sz w:val="28"/>
          <w:szCs w:val="28"/>
          <w:vertAlign w:val="subscript"/>
        </w:rPr>
        <w:t>18</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26</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27</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28</w:t>
      </w:r>
      <w:r>
        <w:rPr>
          <w:rFonts w:hint="eastAsia" w:ascii="宋体" w:hAnsi="宋体" w:eastAsia="宋体"/>
          <w:color w:val="auto"/>
          <w:spacing w:val="20"/>
          <w:sz w:val="28"/>
          <w:szCs w:val="28"/>
        </w:rPr>
        <w:t>'}</w:t>
      </w:r>
    </w:p>
    <w:p>
      <w:pPr>
        <w:spacing w:line="560" w:lineRule="exact"/>
        <w:ind w:firstLine="320" w:firstLineChars="100"/>
        <w:rPr>
          <w:rFonts w:ascii="宋体" w:hAnsi="宋体" w:eastAsia="宋体"/>
          <w:color w:val="auto"/>
          <w:spacing w:val="20"/>
          <w:sz w:val="28"/>
          <w:szCs w:val="28"/>
        </w:rPr>
      </w:pPr>
      <w:r>
        <w:rPr>
          <w:rFonts w:hint="eastAsia" w:ascii="宋体" w:hAnsi="宋体" w:eastAsia="宋体"/>
          <w:color w:val="auto"/>
          <w:spacing w:val="20"/>
          <w:sz w:val="28"/>
          <w:szCs w:val="28"/>
        </w:rPr>
        <w:t>②结构重要度分析</w:t>
      </w:r>
    </w:p>
    <w:p>
      <w:pPr>
        <w:spacing w:line="560" w:lineRule="exact"/>
        <w:ind w:firstLine="300" w:firstLineChars="94"/>
        <w:rPr>
          <w:rFonts w:ascii="宋体" w:hAnsi="宋体" w:eastAsia="宋体"/>
          <w:color w:val="auto"/>
          <w:spacing w:val="20"/>
          <w:sz w:val="28"/>
          <w:szCs w:val="28"/>
        </w:rPr>
      </w:pPr>
      <w:r>
        <w:rPr>
          <w:rFonts w:ascii="宋体" w:hAnsi="宋体" w:eastAsia="宋体"/>
          <w:color w:val="auto"/>
          <w:spacing w:val="20"/>
          <w:sz w:val="28"/>
          <w:szCs w:val="28"/>
        </w:rPr>
        <w:t>A</w:t>
      </w:r>
      <w:r>
        <w:rPr>
          <w:rFonts w:hint="eastAsia" w:ascii="宋体" w:hAnsi="宋体" w:eastAsia="宋体"/>
          <w:color w:val="auto"/>
          <w:spacing w:val="20"/>
          <w:sz w:val="28"/>
          <w:szCs w:val="28"/>
          <w:lang w:eastAsia="zh-CN"/>
        </w:rPr>
        <w:t>、</w:t>
      </w:r>
      <w:r>
        <w:rPr>
          <w:rFonts w:hint="eastAsia" w:ascii="宋体" w:hAnsi="宋体" w:eastAsia="宋体"/>
          <w:color w:val="auto"/>
          <w:spacing w:val="20"/>
          <w:sz w:val="28"/>
          <w:szCs w:val="28"/>
        </w:rPr>
        <w:t>X</w:t>
      </w:r>
      <w:r>
        <w:rPr>
          <w:rFonts w:hint="eastAsia" w:ascii="宋体" w:hAnsi="宋体" w:eastAsia="宋体"/>
          <w:color w:val="auto"/>
          <w:spacing w:val="20"/>
          <w:sz w:val="28"/>
          <w:szCs w:val="28"/>
          <w:vertAlign w:val="subscript"/>
        </w:rPr>
        <w:t>25</w:t>
      </w:r>
      <w:r>
        <w:rPr>
          <w:rFonts w:hint="eastAsia" w:ascii="宋体" w:hAnsi="宋体" w:eastAsia="宋体"/>
          <w:color w:val="auto"/>
          <w:spacing w:val="20"/>
          <w:sz w:val="28"/>
          <w:szCs w:val="28"/>
        </w:rPr>
        <w:t>'是单事件最小径集，所以I=(25)最大</w:t>
      </w:r>
    </w:p>
    <w:p>
      <w:pPr>
        <w:spacing w:line="560" w:lineRule="exact"/>
        <w:ind w:firstLine="300" w:firstLineChars="94"/>
        <w:rPr>
          <w:rFonts w:ascii="宋体" w:hAnsi="宋体" w:eastAsia="宋体"/>
          <w:color w:val="auto"/>
          <w:spacing w:val="20"/>
          <w:sz w:val="28"/>
          <w:szCs w:val="28"/>
        </w:rPr>
      </w:pPr>
      <w:r>
        <w:rPr>
          <w:rFonts w:ascii="宋体" w:hAnsi="宋体" w:eastAsia="宋体"/>
          <w:color w:val="auto"/>
          <w:spacing w:val="20"/>
          <w:sz w:val="28"/>
          <w:szCs w:val="28"/>
        </w:rPr>
        <w:t>B</w:t>
      </w:r>
      <w:r>
        <w:rPr>
          <w:rFonts w:hint="eastAsia" w:ascii="宋体" w:hAnsi="宋体" w:eastAsia="宋体"/>
          <w:color w:val="auto"/>
          <w:spacing w:val="20"/>
          <w:sz w:val="28"/>
          <w:szCs w:val="28"/>
        </w:rPr>
        <w:t>、I(1)=I(2)=I(3)=I(4)=I(5)=I(6)=I(7)=I(22)</w:t>
      </w:r>
    </w:p>
    <w:p>
      <w:pPr>
        <w:spacing w:line="560" w:lineRule="exact"/>
        <w:ind w:firstLine="300" w:firstLineChars="94"/>
        <w:rPr>
          <w:rFonts w:ascii="宋体" w:hAnsi="宋体" w:eastAsia="宋体"/>
          <w:color w:val="auto"/>
          <w:spacing w:val="20"/>
          <w:sz w:val="28"/>
          <w:szCs w:val="28"/>
        </w:rPr>
      </w:pPr>
      <w:r>
        <w:rPr>
          <w:rFonts w:hint="eastAsia" w:ascii="宋体" w:hAnsi="宋体" w:eastAsia="宋体"/>
          <w:color w:val="auto"/>
          <w:spacing w:val="20"/>
          <w:sz w:val="28"/>
          <w:szCs w:val="28"/>
          <w:lang w:eastAsia="zh-CN"/>
        </w:rPr>
        <w:t>C</w:t>
      </w:r>
      <w:r>
        <w:rPr>
          <w:rFonts w:hint="eastAsia" w:ascii="宋体" w:hAnsi="宋体" w:eastAsia="宋体"/>
          <w:color w:val="auto"/>
          <w:spacing w:val="20"/>
          <w:sz w:val="28"/>
          <w:szCs w:val="28"/>
        </w:rPr>
        <w:t>、I(10)=I(11)=I(12)=I(13)</w:t>
      </w:r>
    </w:p>
    <w:p>
      <w:pPr>
        <w:spacing w:line="560" w:lineRule="exact"/>
        <w:ind w:firstLine="300" w:firstLineChars="94"/>
        <w:rPr>
          <w:rFonts w:ascii="宋体" w:hAnsi="宋体" w:eastAsia="宋体"/>
          <w:color w:val="auto"/>
          <w:spacing w:val="20"/>
          <w:sz w:val="28"/>
          <w:szCs w:val="28"/>
        </w:rPr>
      </w:pPr>
      <w:r>
        <w:rPr>
          <w:rFonts w:hint="eastAsia" w:ascii="宋体" w:hAnsi="宋体" w:eastAsia="宋体"/>
          <w:color w:val="auto"/>
          <w:spacing w:val="20"/>
          <w:sz w:val="28"/>
          <w:szCs w:val="28"/>
          <w:lang w:eastAsia="zh-CN"/>
        </w:rPr>
        <w:t>D</w:t>
      </w:r>
      <w:r>
        <w:rPr>
          <w:rFonts w:hint="eastAsia" w:ascii="宋体" w:hAnsi="宋体" w:eastAsia="宋体"/>
          <w:color w:val="auto"/>
          <w:spacing w:val="20"/>
          <w:sz w:val="28"/>
          <w:szCs w:val="28"/>
        </w:rPr>
        <w:t>、I(14)=I(15)=I(16)</w:t>
      </w:r>
    </w:p>
    <w:p>
      <w:pPr>
        <w:spacing w:line="560" w:lineRule="exact"/>
        <w:ind w:firstLine="300" w:firstLineChars="94"/>
        <w:rPr>
          <w:rFonts w:ascii="宋体" w:hAnsi="宋体" w:eastAsia="宋体"/>
          <w:color w:val="auto"/>
          <w:spacing w:val="20"/>
          <w:sz w:val="28"/>
          <w:szCs w:val="28"/>
        </w:rPr>
      </w:pPr>
      <w:r>
        <w:rPr>
          <w:rFonts w:hint="eastAsia" w:ascii="宋体" w:hAnsi="宋体" w:eastAsia="宋体"/>
          <w:color w:val="auto"/>
          <w:spacing w:val="20"/>
          <w:sz w:val="28"/>
          <w:szCs w:val="28"/>
          <w:lang w:eastAsia="zh-CN"/>
        </w:rPr>
        <w:t>E</w:t>
      </w:r>
      <w:r>
        <w:rPr>
          <w:rFonts w:hint="eastAsia" w:ascii="宋体" w:hAnsi="宋体" w:eastAsia="宋体"/>
          <w:color w:val="auto"/>
          <w:spacing w:val="20"/>
          <w:sz w:val="28"/>
          <w:szCs w:val="28"/>
        </w:rPr>
        <w:t>、I(18)=I(19)=I(20)=I(21)</w:t>
      </w:r>
    </w:p>
    <w:p>
      <w:pPr>
        <w:spacing w:line="560" w:lineRule="exact"/>
        <w:ind w:firstLine="300" w:firstLineChars="94"/>
        <w:rPr>
          <w:rFonts w:ascii="宋体" w:hAnsi="宋体" w:eastAsia="宋体"/>
          <w:color w:val="auto"/>
          <w:spacing w:val="20"/>
          <w:sz w:val="28"/>
          <w:szCs w:val="28"/>
        </w:rPr>
      </w:pPr>
      <w:r>
        <w:rPr>
          <w:rFonts w:ascii="宋体" w:hAnsi="宋体" w:eastAsia="宋体"/>
          <w:color w:val="auto"/>
          <w:spacing w:val="20"/>
          <w:sz w:val="28"/>
          <w:szCs w:val="28"/>
        </w:rPr>
        <w:t>F</w:t>
      </w:r>
      <w:r>
        <w:rPr>
          <w:rFonts w:hint="eastAsia" w:ascii="宋体" w:hAnsi="宋体" w:eastAsia="宋体"/>
          <w:color w:val="auto"/>
          <w:spacing w:val="20"/>
          <w:sz w:val="28"/>
          <w:szCs w:val="28"/>
        </w:rPr>
        <w:t>、I(26)=I(27)=I(28)</w:t>
      </w:r>
    </w:p>
    <w:p>
      <w:pPr>
        <w:spacing w:line="560" w:lineRule="exact"/>
        <w:ind w:firstLine="320" w:firstLineChars="100"/>
        <w:rPr>
          <w:rFonts w:ascii="宋体" w:hAnsi="宋体" w:eastAsia="宋体"/>
          <w:color w:val="auto"/>
          <w:spacing w:val="20"/>
          <w:sz w:val="28"/>
          <w:szCs w:val="28"/>
        </w:rPr>
      </w:pPr>
      <w:r>
        <w:rPr>
          <w:rFonts w:hint="eastAsia" w:ascii="宋体" w:hAnsi="宋体" w:eastAsia="宋体"/>
          <w:color w:val="auto"/>
          <w:spacing w:val="20"/>
          <w:sz w:val="28"/>
          <w:szCs w:val="28"/>
        </w:rPr>
        <w:t>因此，得到基本事件重要顺序为：</w:t>
      </w:r>
    </w:p>
    <w:p>
      <w:pPr>
        <w:spacing w:line="560" w:lineRule="exact"/>
        <w:ind w:firstLine="320" w:firstLineChars="100"/>
        <w:rPr>
          <w:rFonts w:ascii="宋体" w:hAnsi="宋体" w:eastAsia="宋体"/>
          <w:color w:val="auto"/>
          <w:spacing w:val="20"/>
          <w:sz w:val="28"/>
          <w:szCs w:val="28"/>
          <w:lang w:val="it-IT"/>
        </w:rPr>
      </w:pPr>
      <w:r>
        <w:rPr>
          <w:rFonts w:hint="eastAsia" w:ascii="宋体" w:hAnsi="宋体" w:eastAsia="宋体"/>
          <w:color w:val="auto"/>
          <w:spacing w:val="20"/>
          <w:sz w:val="28"/>
          <w:szCs w:val="28"/>
          <w:lang w:val="it-IT"/>
        </w:rPr>
        <w:t>I(25)&gt;I(1)=I(2)=I(3)=I(4)=I(5)=I(6)=I(7)=I(22)</w:t>
      </w:r>
    </w:p>
    <w:p>
      <w:pPr>
        <w:spacing w:line="560" w:lineRule="exact"/>
        <w:ind w:firstLine="320" w:firstLineChars="100"/>
        <w:rPr>
          <w:rFonts w:ascii="宋体" w:hAnsi="宋体" w:eastAsia="宋体"/>
          <w:color w:val="auto"/>
          <w:spacing w:val="20"/>
          <w:sz w:val="28"/>
          <w:szCs w:val="28"/>
          <w:lang w:val="it-IT"/>
        </w:rPr>
      </w:pPr>
      <w:r>
        <w:rPr>
          <w:rFonts w:hint="eastAsia" w:ascii="宋体" w:hAnsi="宋体" w:eastAsia="宋体"/>
          <w:color w:val="auto"/>
          <w:spacing w:val="20"/>
          <w:sz w:val="28"/>
          <w:szCs w:val="28"/>
          <w:lang w:val="it-IT"/>
        </w:rPr>
        <w:t>&gt;I(17)&gt;I(14)=I(15)=I(16)&gt;I(8)=I(9)=I(23)=I(24)</w:t>
      </w:r>
    </w:p>
    <w:p>
      <w:pPr>
        <w:spacing w:line="560" w:lineRule="exact"/>
        <w:ind w:firstLine="320" w:firstLineChars="100"/>
        <w:rPr>
          <w:rFonts w:ascii="宋体" w:hAnsi="宋体" w:eastAsia="宋体"/>
          <w:color w:val="auto"/>
          <w:spacing w:val="20"/>
          <w:sz w:val="28"/>
          <w:szCs w:val="28"/>
          <w:lang w:val="it-IT"/>
        </w:rPr>
      </w:pPr>
      <w:r>
        <w:rPr>
          <w:rFonts w:hint="eastAsia" w:ascii="宋体" w:hAnsi="宋体" w:eastAsia="宋体"/>
          <w:color w:val="auto"/>
          <w:spacing w:val="20"/>
          <w:sz w:val="28"/>
          <w:szCs w:val="28"/>
          <w:lang w:val="it-IT"/>
        </w:rPr>
        <w:t>&gt;I(10)=I(11)=I(12)=I(13)&gt;I(18)=I(19)=I(20)=I(21)</w:t>
      </w:r>
    </w:p>
    <w:p>
      <w:pPr>
        <w:spacing w:line="560" w:lineRule="exact"/>
        <w:ind w:firstLine="320" w:firstLineChars="100"/>
        <w:rPr>
          <w:rFonts w:ascii="宋体" w:hAnsi="宋体" w:eastAsia="宋体"/>
          <w:color w:val="auto"/>
          <w:spacing w:val="20"/>
          <w:sz w:val="28"/>
          <w:szCs w:val="28"/>
          <w:lang w:val="it-IT"/>
        </w:rPr>
      </w:pPr>
      <w:r>
        <w:rPr>
          <w:rFonts w:hint="eastAsia" w:ascii="宋体" w:hAnsi="宋体" w:eastAsia="宋体"/>
          <w:color w:val="auto"/>
          <w:spacing w:val="20"/>
          <w:sz w:val="28"/>
          <w:szCs w:val="28"/>
          <w:lang w:val="it-IT"/>
        </w:rPr>
        <w:t>&gt;I(26)=I(27)=I(28)</w:t>
      </w:r>
    </w:p>
    <w:p>
      <w:pPr>
        <w:spacing w:line="560" w:lineRule="exact"/>
        <w:jc w:val="both"/>
        <w:outlineLvl w:val="2"/>
        <w:rPr>
          <w:rFonts w:ascii="宋体" w:hAnsi="宋体" w:eastAsia="宋体" w:cs="Times New Roman"/>
          <w:bCs/>
          <w:color w:val="auto"/>
          <w:kern w:val="2"/>
          <w:sz w:val="28"/>
          <w:szCs w:val="28"/>
          <w:lang w:val="en-US" w:eastAsia="zh-CN" w:bidi="ar-SA"/>
        </w:rPr>
      </w:pPr>
      <w:r>
        <w:rPr>
          <w:rFonts w:ascii="宋体" w:hAnsi="宋体" w:eastAsia="宋体" w:cs="Times New Roman"/>
          <w:bCs/>
          <w:color w:val="auto"/>
          <w:kern w:val="2"/>
          <w:sz w:val="28"/>
          <w:szCs w:val="28"/>
          <w:lang w:val="en-US" w:eastAsia="zh-CN" w:bidi="ar-SA"/>
        </w:rPr>
        <w:t>2.2.3事故树分析结论</w:t>
      </w:r>
    </w:p>
    <w:p>
      <w:pPr>
        <w:spacing w:line="560" w:lineRule="exact"/>
        <w:ind w:firstLine="320" w:firstLineChars="100"/>
        <w:rPr>
          <w:rFonts w:ascii="宋体" w:hAnsi="宋体" w:eastAsia="宋体"/>
          <w:color w:val="auto"/>
          <w:spacing w:val="20"/>
          <w:sz w:val="28"/>
          <w:szCs w:val="28"/>
        </w:rPr>
      </w:pPr>
      <w:r>
        <w:rPr>
          <w:rFonts w:ascii="宋体" w:hAnsi="宋体" w:eastAsia="宋体"/>
          <w:color w:val="auto"/>
          <w:spacing w:val="20"/>
          <w:sz w:val="28"/>
          <w:szCs w:val="28"/>
        </w:rPr>
        <w:t>由事故树分析可知：</w:t>
      </w:r>
    </w:p>
    <w:p>
      <w:pPr>
        <w:spacing w:line="560" w:lineRule="exact"/>
        <w:ind w:firstLine="320" w:firstLineChars="100"/>
        <w:rPr>
          <w:rFonts w:ascii="宋体" w:hAnsi="宋体" w:eastAsia="宋体"/>
          <w:color w:val="auto"/>
          <w:spacing w:val="20"/>
          <w:sz w:val="28"/>
          <w:szCs w:val="28"/>
        </w:rPr>
      </w:pPr>
      <w:r>
        <w:rPr>
          <w:rFonts w:ascii="宋体" w:hAnsi="宋体" w:eastAsia="PMingLiU"/>
          <w:color w:val="auto"/>
          <w:spacing w:val="20"/>
          <w:sz w:val="28"/>
          <w:szCs w:val="28"/>
        </w:rPr>
        <w:t>1</w:t>
      </w:r>
      <w:r>
        <w:rPr>
          <w:rFonts w:hint="eastAsia" w:ascii="宋体" w:hAnsi="宋体" w:eastAsia="宋体"/>
          <w:color w:val="auto"/>
          <w:spacing w:val="20"/>
          <w:sz w:val="28"/>
          <w:szCs w:val="28"/>
          <w:lang w:eastAsia="zh-CN"/>
        </w:rPr>
        <w:t>)</w:t>
      </w:r>
      <w:r>
        <w:rPr>
          <w:rFonts w:ascii="宋体" w:hAnsi="宋体" w:eastAsia="宋体"/>
          <w:color w:val="auto"/>
          <w:spacing w:val="20"/>
          <w:sz w:val="28"/>
          <w:szCs w:val="28"/>
        </w:rPr>
        <w:t>可燃液体的蒸气浓度达到爆炸极限是生产车间发生燃烧爆炸事故的最重要条件，虽然设置有强制通风，但在通风不良或者是可燃气体报警装置失效的时候还是比较容易使可燃液体蒸气浓度达到爆炸极限，这时，一旦遇到明火、热源就有可能导致火灾爆炸事故。</w:t>
      </w:r>
    </w:p>
    <w:p>
      <w:pPr>
        <w:spacing w:line="560" w:lineRule="exact"/>
        <w:ind w:firstLine="320" w:firstLineChars="100"/>
        <w:rPr>
          <w:rFonts w:ascii="宋体" w:hAnsi="宋体" w:eastAsia="宋体"/>
          <w:color w:val="auto"/>
          <w:spacing w:val="20"/>
          <w:sz w:val="28"/>
          <w:szCs w:val="28"/>
        </w:rPr>
      </w:pPr>
      <w:bookmarkStart w:id="210" w:name="bookmark148"/>
      <w:r>
        <w:rPr>
          <w:rFonts w:ascii="宋体" w:hAnsi="宋体" w:eastAsia="PMingLiU"/>
          <w:color w:val="auto"/>
          <w:spacing w:val="20"/>
          <w:sz w:val="28"/>
          <w:szCs w:val="28"/>
        </w:rPr>
        <w:t>2</w:t>
      </w:r>
      <w:r>
        <w:rPr>
          <w:rFonts w:hint="eastAsia" w:ascii="宋体" w:hAnsi="宋体" w:eastAsia="宋体"/>
          <w:color w:val="auto"/>
          <w:spacing w:val="20"/>
          <w:sz w:val="28"/>
          <w:szCs w:val="28"/>
          <w:lang w:eastAsia="zh-CN"/>
        </w:rPr>
        <w:t>)</w:t>
      </w:r>
      <w:r>
        <w:rPr>
          <w:rFonts w:ascii="宋体" w:hAnsi="宋体" w:eastAsia="宋体"/>
          <w:color w:val="auto"/>
          <w:spacing w:val="20"/>
          <w:sz w:val="28"/>
          <w:szCs w:val="28"/>
        </w:rPr>
        <w:t>加强生产车间的安全管理，严格控制火源，严禁吸烟和动用明火，防止铁器撞击及静电火花的产生，设备检修后使用过的棉布等物品要妥善处理，不能随意丢弃，车间内电气装置要符合防火防爆要求。</w:t>
      </w:r>
      <w:bookmarkEnd w:id="210"/>
    </w:p>
    <w:p>
      <w:pPr>
        <w:spacing w:line="560" w:lineRule="exact"/>
        <w:ind w:firstLine="320" w:firstLineChars="100"/>
        <w:rPr>
          <w:rFonts w:ascii="宋体" w:hAnsi="宋体" w:eastAsia="宋体"/>
          <w:color w:val="auto"/>
          <w:spacing w:val="20"/>
          <w:sz w:val="28"/>
          <w:szCs w:val="28"/>
        </w:rPr>
      </w:pPr>
      <w:r>
        <w:rPr>
          <w:rFonts w:ascii="宋体" w:hAnsi="宋体" w:eastAsia="PMingLiU"/>
          <w:color w:val="auto"/>
          <w:spacing w:val="20"/>
          <w:sz w:val="28"/>
          <w:szCs w:val="28"/>
        </w:rPr>
        <w:t>3</w:t>
      </w:r>
      <w:r>
        <w:rPr>
          <w:rFonts w:hint="eastAsia" w:ascii="宋体" w:hAnsi="宋体" w:eastAsia="宋体"/>
          <w:color w:val="auto"/>
          <w:spacing w:val="20"/>
          <w:sz w:val="28"/>
          <w:szCs w:val="28"/>
          <w:lang w:eastAsia="zh-CN"/>
        </w:rPr>
        <w:t>)</w:t>
      </w:r>
      <w:r>
        <w:rPr>
          <w:rFonts w:ascii="宋体" w:hAnsi="宋体" w:eastAsia="宋体"/>
          <w:color w:val="auto"/>
          <w:spacing w:val="20"/>
          <w:sz w:val="28"/>
          <w:szCs w:val="28"/>
        </w:rPr>
        <w:t>车间内操作人员不能穿带有铁钉的鞋子作业，不能穿化纤衣服。</w:t>
      </w:r>
    </w:p>
    <w:p>
      <w:pPr>
        <w:spacing w:line="560" w:lineRule="exact"/>
        <w:ind w:firstLine="320" w:firstLineChars="100"/>
        <w:rPr>
          <w:rFonts w:ascii="宋体" w:hAnsi="宋体" w:eastAsia="宋体"/>
          <w:color w:val="auto"/>
          <w:spacing w:val="20"/>
          <w:sz w:val="28"/>
          <w:szCs w:val="28"/>
        </w:rPr>
      </w:pPr>
      <w:r>
        <w:rPr>
          <w:rFonts w:ascii="宋体" w:hAnsi="宋体" w:eastAsia="PMingLiU"/>
          <w:color w:val="auto"/>
          <w:spacing w:val="20"/>
          <w:sz w:val="28"/>
          <w:szCs w:val="28"/>
        </w:rPr>
        <w:t>4</w:t>
      </w:r>
      <w:r>
        <w:rPr>
          <w:rFonts w:hint="eastAsia" w:ascii="宋体" w:hAnsi="宋体" w:eastAsia="宋体"/>
          <w:color w:val="auto"/>
          <w:spacing w:val="20"/>
          <w:sz w:val="28"/>
          <w:szCs w:val="28"/>
          <w:lang w:eastAsia="zh-CN"/>
        </w:rPr>
        <w:t>)</w:t>
      </w:r>
      <w:r>
        <w:rPr>
          <w:rFonts w:ascii="宋体" w:hAnsi="宋体" w:eastAsia="宋体"/>
          <w:color w:val="auto"/>
          <w:spacing w:val="20"/>
          <w:sz w:val="28"/>
          <w:szCs w:val="28"/>
        </w:rPr>
        <w:t>经常检查防静电接地是否完好，易燃液体流速不要过快，防止产生静电。</w:t>
      </w:r>
    </w:p>
    <w:p>
      <w:pPr>
        <w:spacing w:line="560" w:lineRule="exact"/>
        <w:ind w:firstLine="320" w:firstLineChars="100"/>
        <w:rPr>
          <w:rFonts w:ascii="宋体" w:hAnsi="宋体" w:eastAsia="宋体"/>
          <w:color w:val="auto"/>
          <w:spacing w:val="20"/>
          <w:sz w:val="28"/>
          <w:szCs w:val="28"/>
        </w:rPr>
      </w:pPr>
      <w:r>
        <w:rPr>
          <w:rFonts w:ascii="宋体" w:hAnsi="宋体" w:eastAsia="PMingLiU"/>
          <w:color w:val="auto"/>
          <w:spacing w:val="20"/>
          <w:sz w:val="28"/>
          <w:szCs w:val="28"/>
        </w:rPr>
        <w:t>5</w:t>
      </w:r>
      <w:r>
        <w:rPr>
          <w:rFonts w:hint="eastAsia" w:ascii="宋体" w:hAnsi="宋体" w:eastAsia="宋体"/>
          <w:color w:val="auto"/>
          <w:spacing w:val="20"/>
          <w:sz w:val="28"/>
          <w:szCs w:val="28"/>
          <w:lang w:eastAsia="zh-CN"/>
        </w:rPr>
        <w:t>)</w:t>
      </w:r>
      <w:r>
        <w:rPr>
          <w:rFonts w:ascii="宋体" w:hAnsi="宋体" w:eastAsia="宋体"/>
          <w:color w:val="auto"/>
          <w:spacing w:val="20"/>
          <w:sz w:val="28"/>
          <w:szCs w:val="28"/>
        </w:rPr>
        <w:t>搅拌缸密封在防止燃爆中具有重要作用，生产过程中要严格遵守安全操作规程。</w:t>
      </w:r>
    </w:p>
    <w:p>
      <w:pPr>
        <w:spacing w:line="560" w:lineRule="exact"/>
        <w:ind w:firstLine="320" w:firstLineChars="100"/>
        <w:rPr>
          <w:rFonts w:ascii="宋体" w:hAnsi="宋体" w:eastAsia="宋体"/>
          <w:color w:val="auto"/>
          <w:spacing w:val="20"/>
          <w:sz w:val="28"/>
          <w:szCs w:val="28"/>
        </w:rPr>
      </w:pPr>
      <w:r>
        <w:rPr>
          <w:rFonts w:ascii="宋体" w:hAnsi="宋体" w:eastAsia="PMingLiU"/>
          <w:color w:val="auto"/>
          <w:spacing w:val="20"/>
          <w:sz w:val="28"/>
          <w:szCs w:val="28"/>
        </w:rPr>
        <w:t>6</w:t>
      </w:r>
      <w:r>
        <w:rPr>
          <w:rFonts w:hint="eastAsia" w:ascii="宋体" w:hAnsi="宋体" w:eastAsia="宋体"/>
          <w:color w:val="auto"/>
          <w:spacing w:val="20"/>
          <w:sz w:val="28"/>
          <w:szCs w:val="28"/>
          <w:lang w:eastAsia="zh-CN"/>
        </w:rPr>
        <w:t>)</w:t>
      </w:r>
      <w:r>
        <w:rPr>
          <w:rFonts w:ascii="宋体" w:hAnsi="宋体" w:eastAsia="宋体"/>
          <w:color w:val="auto"/>
          <w:spacing w:val="20"/>
          <w:sz w:val="28"/>
          <w:szCs w:val="28"/>
        </w:rPr>
        <w:t>从事故树分析可以看出，导致生产车间燃爆的因素虽然很多，但只要严格执行安全管理制度和安全操作规程，并采取相应技术措施，生产车间燃烧爆炸是可以预防的。</w:t>
      </w:r>
    </w:p>
    <w:p>
      <w:pPr>
        <w:spacing w:line="560" w:lineRule="exact"/>
        <w:jc w:val="both"/>
        <w:outlineLvl w:val="1"/>
        <w:rPr>
          <w:rFonts w:ascii="楷体_GB2312" w:hAnsi="Times New Roman" w:eastAsia="楷体_GB2312" w:cs="Times New Roman"/>
          <w:bCs/>
          <w:color w:val="auto"/>
          <w:kern w:val="2"/>
          <w:sz w:val="32"/>
          <w:lang w:val="en-US" w:eastAsia="zh-CN" w:bidi="ar-SA"/>
        </w:rPr>
      </w:pPr>
      <w:bookmarkStart w:id="211" w:name="bookmark149"/>
      <w:bookmarkStart w:id="212" w:name="_Toc40045945"/>
      <w:r>
        <w:rPr>
          <w:rFonts w:ascii="楷体_GB2312" w:hAnsi="Times New Roman" w:eastAsia="楷体_GB2312" w:cs="Times New Roman"/>
          <w:bCs/>
          <w:color w:val="auto"/>
          <w:kern w:val="2"/>
          <w:sz w:val="32"/>
          <w:lang w:val="en-US" w:eastAsia="zh-CN" w:bidi="ar-SA"/>
        </w:rPr>
        <w:t>附件2.3道化学火灾爆炸指数评价法</w:t>
      </w:r>
      <w:bookmarkEnd w:id="211"/>
      <w:bookmarkEnd w:id="212"/>
    </w:p>
    <w:p>
      <w:pPr>
        <w:spacing w:line="560" w:lineRule="exact"/>
        <w:ind w:firstLine="320" w:firstLineChars="100"/>
        <w:rPr>
          <w:rFonts w:ascii="宋体" w:hAnsi="宋体" w:eastAsia="宋体"/>
          <w:color w:val="auto"/>
          <w:spacing w:val="20"/>
          <w:sz w:val="28"/>
          <w:szCs w:val="28"/>
        </w:rPr>
      </w:pPr>
      <w:r>
        <w:rPr>
          <w:rFonts w:ascii="宋体" w:hAnsi="宋体" w:eastAsia="宋体"/>
          <w:color w:val="auto"/>
          <w:spacing w:val="20"/>
          <w:sz w:val="28"/>
          <w:szCs w:val="28"/>
        </w:rPr>
        <w:t>由危险危害因素辨识的结果可知，企业生产、储存危险化学品的过程中，其主要危险为火灾爆炸，而产生火灾爆炸的原因涉及很多方面。本章根据该公司的生产工艺及储存危险化学品设施的具体情况，采用道化学火灾爆炸危险指数法预测有机溶剂火灾爆炸事故发生的后果。</w:t>
      </w:r>
    </w:p>
    <w:p>
      <w:pPr>
        <w:spacing w:line="560" w:lineRule="exact"/>
        <w:jc w:val="both"/>
        <w:outlineLvl w:val="2"/>
        <w:rPr>
          <w:rFonts w:ascii="宋体" w:hAnsi="宋体" w:eastAsia="宋体" w:cs="Times New Roman"/>
          <w:bCs/>
          <w:color w:val="auto"/>
          <w:kern w:val="2"/>
          <w:sz w:val="28"/>
          <w:szCs w:val="28"/>
          <w:lang w:val="en-US" w:eastAsia="zh-CN" w:bidi="ar-SA"/>
        </w:rPr>
      </w:pPr>
      <w:bookmarkStart w:id="213" w:name="bookmark150"/>
      <w:r>
        <w:rPr>
          <w:rFonts w:ascii="宋体" w:hAnsi="宋体" w:eastAsia="宋体" w:cs="Times New Roman"/>
          <w:bCs/>
          <w:color w:val="auto"/>
          <w:kern w:val="2"/>
          <w:sz w:val="28"/>
          <w:szCs w:val="28"/>
          <w:lang w:val="en-US" w:eastAsia="zh-CN" w:bidi="ar-SA"/>
        </w:rPr>
        <w:t>2.3.1方法简介及评价程序</w:t>
      </w:r>
      <w:bookmarkEnd w:id="213"/>
    </w:p>
    <w:p>
      <w:pPr>
        <w:spacing w:line="560" w:lineRule="exact"/>
        <w:ind w:firstLine="320" w:firstLineChars="100"/>
        <w:rPr>
          <w:rFonts w:ascii="宋体" w:hAnsi="宋体" w:eastAsia="宋体"/>
          <w:color w:val="auto"/>
          <w:spacing w:val="20"/>
          <w:sz w:val="28"/>
          <w:szCs w:val="28"/>
        </w:rPr>
      </w:pPr>
      <w:r>
        <w:rPr>
          <w:rFonts w:ascii="宋体" w:hAnsi="宋体" w:eastAsia="宋体"/>
          <w:color w:val="auto"/>
          <w:spacing w:val="20"/>
          <w:sz w:val="28"/>
          <w:szCs w:val="28"/>
        </w:rPr>
        <w:t>火灾、爆炸危险指数法是用于评估特定工艺过程中的最大潜在危险性的一种工具，可使人们预测事故可能导致的实际危害及停产损失。并通过火灾、爆炸危险分析，提出相关措施，为该公司提供管理决策依据。</w:t>
      </w:r>
    </w:p>
    <w:p>
      <w:pPr>
        <w:spacing w:line="560" w:lineRule="exact"/>
        <w:ind w:firstLine="320" w:firstLineChars="100"/>
        <w:rPr>
          <w:rFonts w:ascii="宋体" w:hAnsi="宋体" w:eastAsia="宋体"/>
          <w:color w:val="auto"/>
          <w:spacing w:val="20"/>
          <w:sz w:val="28"/>
          <w:szCs w:val="28"/>
        </w:rPr>
      </w:pPr>
      <w:r>
        <w:rPr>
          <w:rFonts w:ascii="宋体" w:hAnsi="宋体" w:eastAsia="宋体"/>
          <w:color w:val="auto"/>
          <w:spacing w:val="20"/>
          <w:sz w:val="28"/>
          <w:szCs w:val="28"/>
        </w:rPr>
        <w:t>火灾、爆炸危险指数法评价程序如下：</w:t>
      </w:r>
    </w:p>
    <w:p>
      <w:pPr>
        <w:spacing w:line="560" w:lineRule="exact"/>
        <w:ind w:firstLine="320" w:firstLineChars="100"/>
        <w:rPr>
          <w:rFonts w:ascii="宋体" w:hAnsi="宋体" w:eastAsia="宋体"/>
          <w:color w:val="auto"/>
          <w:spacing w:val="20"/>
          <w:sz w:val="28"/>
          <w:szCs w:val="28"/>
        </w:rPr>
      </w:pPr>
      <w:r>
        <w:rPr>
          <w:rFonts w:ascii="宋体" w:hAnsi="宋体" w:eastAsia="PMingLiU"/>
          <w:color w:val="auto"/>
          <w:spacing w:val="20"/>
          <w:sz w:val="28"/>
          <w:szCs w:val="28"/>
        </w:rPr>
        <w:t>1</w:t>
      </w:r>
      <w:r>
        <w:rPr>
          <w:rFonts w:hint="eastAsia" w:ascii="宋体" w:hAnsi="宋体" w:eastAsia="宋体"/>
          <w:color w:val="auto"/>
          <w:spacing w:val="20"/>
          <w:sz w:val="28"/>
          <w:szCs w:val="28"/>
          <w:lang w:eastAsia="zh-CN"/>
        </w:rPr>
        <w:t>)</w:t>
      </w:r>
      <w:r>
        <w:rPr>
          <w:rFonts w:ascii="宋体" w:hAnsi="宋体" w:eastAsia="宋体"/>
          <w:color w:val="auto"/>
          <w:spacing w:val="20"/>
          <w:sz w:val="28"/>
          <w:szCs w:val="28"/>
        </w:rPr>
        <w:t>确定评价单元</w:t>
      </w:r>
    </w:p>
    <w:p>
      <w:pPr>
        <w:spacing w:line="560" w:lineRule="exact"/>
        <w:ind w:firstLine="320" w:firstLineChars="100"/>
        <w:rPr>
          <w:rFonts w:ascii="宋体" w:hAnsi="宋体" w:eastAsia="宋体"/>
          <w:color w:val="auto"/>
          <w:spacing w:val="20"/>
          <w:sz w:val="28"/>
          <w:szCs w:val="28"/>
        </w:rPr>
      </w:pPr>
      <w:r>
        <w:rPr>
          <w:rFonts w:ascii="宋体" w:hAnsi="宋体" w:eastAsia="PMingLiU"/>
          <w:color w:val="auto"/>
          <w:spacing w:val="20"/>
          <w:sz w:val="28"/>
          <w:szCs w:val="28"/>
        </w:rPr>
        <w:t>2</w:t>
      </w:r>
      <w:r>
        <w:rPr>
          <w:rFonts w:hint="eastAsia" w:ascii="宋体" w:hAnsi="宋体" w:eastAsia="宋体"/>
          <w:color w:val="auto"/>
          <w:spacing w:val="20"/>
          <w:sz w:val="28"/>
          <w:szCs w:val="28"/>
          <w:lang w:eastAsia="zh-CN"/>
        </w:rPr>
        <w:t>)</w:t>
      </w:r>
      <w:r>
        <w:rPr>
          <w:rFonts w:ascii="宋体" w:hAnsi="宋体" w:eastAsia="宋体"/>
          <w:color w:val="auto"/>
          <w:spacing w:val="20"/>
          <w:sz w:val="28"/>
          <w:szCs w:val="28"/>
        </w:rPr>
        <w:t>确定单元物质系数(MF)</w:t>
      </w:r>
    </w:p>
    <w:p>
      <w:pPr>
        <w:spacing w:line="560" w:lineRule="exact"/>
        <w:ind w:firstLine="320" w:firstLineChars="100"/>
        <w:rPr>
          <w:rFonts w:ascii="宋体" w:hAnsi="宋体" w:eastAsia="宋体"/>
          <w:color w:val="auto"/>
          <w:spacing w:val="20"/>
          <w:sz w:val="28"/>
          <w:szCs w:val="28"/>
        </w:rPr>
      </w:pPr>
      <w:r>
        <w:rPr>
          <w:rFonts w:ascii="宋体" w:hAnsi="宋体" w:eastAsia="PMingLiU"/>
          <w:color w:val="auto"/>
          <w:spacing w:val="20"/>
          <w:sz w:val="28"/>
          <w:szCs w:val="28"/>
        </w:rPr>
        <w:t>3</w:t>
      </w:r>
      <w:r>
        <w:rPr>
          <w:rFonts w:hint="eastAsia" w:ascii="宋体" w:hAnsi="宋体" w:eastAsia="宋体"/>
          <w:color w:val="auto"/>
          <w:spacing w:val="20"/>
          <w:sz w:val="28"/>
          <w:szCs w:val="28"/>
          <w:lang w:eastAsia="zh-CN"/>
        </w:rPr>
        <w:t>)</w:t>
      </w:r>
      <w:r>
        <w:rPr>
          <w:rFonts w:ascii="宋体" w:hAnsi="宋体" w:eastAsia="宋体"/>
          <w:color w:val="auto"/>
          <w:spacing w:val="20"/>
          <w:sz w:val="28"/>
          <w:szCs w:val="28"/>
        </w:rPr>
        <w:t>计算一般工艺危险系数(F1)</w:t>
      </w:r>
    </w:p>
    <w:p>
      <w:pPr>
        <w:spacing w:line="560" w:lineRule="exact"/>
        <w:ind w:firstLine="320" w:firstLineChars="100"/>
        <w:rPr>
          <w:rFonts w:ascii="宋体" w:hAnsi="宋体" w:eastAsia="宋体"/>
          <w:color w:val="auto"/>
          <w:spacing w:val="20"/>
          <w:sz w:val="28"/>
          <w:szCs w:val="28"/>
        </w:rPr>
      </w:pPr>
      <w:r>
        <w:rPr>
          <w:rFonts w:ascii="宋体" w:hAnsi="宋体" w:eastAsia="PMingLiU"/>
          <w:color w:val="auto"/>
          <w:spacing w:val="20"/>
          <w:sz w:val="28"/>
          <w:szCs w:val="28"/>
        </w:rPr>
        <w:t>4</w:t>
      </w:r>
      <w:r>
        <w:rPr>
          <w:rFonts w:hint="eastAsia" w:ascii="宋体" w:hAnsi="宋体" w:eastAsia="宋体"/>
          <w:color w:val="auto"/>
          <w:spacing w:val="20"/>
          <w:sz w:val="28"/>
          <w:szCs w:val="28"/>
          <w:lang w:eastAsia="zh-CN"/>
        </w:rPr>
        <w:t>)</w:t>
      </w:r>
      <w:r>
        <w:rPr>
          <w:rFonts w:ascii="宋体" w:hAnsi="宋体" w:eastAsia="宋体"/>
          <w:color w:val="auto"/>
          <w:spacing w:val="20"/>
          <w:sz w:val="28"/>
          <w:szCs w:val="28"/>
        </w:rPr>
        <w:t>计算特殊工艺危险系数(F2)</w:t>
      </w:r>
    </w:p>
    <w:p>
      <w:pPr>
        <w:spacing w:line="560" w:lineRule="exact"/>
        <w:ind w:firstLine="320" w:firstLineChars="100"/>
        <w:rPr>
          <w:rFonts w:ascii="宋体" w:hAnsi="宋体" w:eastAsia="宋体"/>
          <w:color w:val="auto"/>
          <w:spacing w:val="20"/>
          <w:sz w:val="28"/>
          <w:szCs w:val="28"/>
        </w:rPr>
      </w:pPr>
      <w:r>
        <w:rPr>
          <w:rFonts w:ascii="宋体" w:hAnsi="宋体" w:eastAsia="PMingLiU"/>
          <w:color w:val="auto"/>
          <w:spacing w:val="20"/>
          <w:sz w:val="28"/>
          <w:szCs w:val="28"/>
        </w:rPr>
        <w:t>5</w:t>
      </w:r>
      <w:r>
        <w:rPr>
          <w:rFonts w:hint="eastAsia" w:ascii="宋体" w:hAnsi="宋体" w:eastAsia="宋体"/>
          <w:color w:val="auto"/>
          <w:spacing w:val="20"/>
          <w:sz w:val="28"/>
          <w:szCs w:val="28"/>
          <w:lang w:eastAsia="zh-CN"/>
        </w:rPr>
        <w:t>)</w:t>
      </w:r>
      <w:r>
        <w:rPr>
          <w:rFonts w:ascii="宋体" w:hAnsi="宋体" w:eastAsia="宋体"/>
          <w:color w:val="auto"/>
          <w:spacing w:val="20"/>
          <w:sz w:val="28"/>
          <w:szCs w:val="28"/>
        </w:rPr>
        <w:t>求取工艺单元危险系数(F3)</w:t>
      </w:r>
    </w:p>
    <w:p>
      <w:pPr>
        <w:spacing w:line="560" w:lineRule="exact"/>
        <w:ind w:firstLine="320" w:firstLineChars="100"/>
        <w:rPr>
          <w:rFonts w:ascii="宋体" w:hAnsi="宋体" w:eastAsia="宋体"/>
          <w:color w:val="auto"/>
          <w:spacing w:val="20"/>
          <w:sz w:val="28"/>
          <w:szCs w:val="28"/>
        </w:rPr>
      </w:pPr>
      <w:r>
        <w:rPr>
          <w:rFonts w:ascii="宋体" w:hAnsi="宋体" w:eastAsia="PMingLiU"/>
          <w:color w:val="auto"/>
          <w:spacing w:val="20"/>
          <w:sz w:val="28"/>
          <w:szCs w:val="28"/>
        </w:rPr>
        <w:t>6</w:t>
      </w:r>
      <w:r>
        <w:rPr>
          <w:rFonts w:hint="eastAsia" w:ascii="宋体" w:hAnsi="宋体" w:eastAsia="宋体"/>
          <w:color w:val="auto"/>
          <w:spacing w:val="20"/>
          <w:sz w:val="28"/>
          <w:szCs w:val="28"/>
          <w:lang w:eastAsia="zh-CN"/>
        </w:rPr>
        <w:t>)</w:t>
      </w:r>
      <w:r>
        <w:rPr>
          <w:rFonts w:ascii="宋体" w:hAnsi="宋体" w:eastAsia="宋体"/>
          <w:color w:val="auto"/>
          <w:spacing w:val="20"/>
          <w:sz w:val="28"/>
          <w:szCs w:val="28"/>
        </w:rPr>
        <w:t>确定火灾、爆炸指数(F&amp;EI)</w:t>
      </w:r>
    </w:p>
    <w:p>
      <w:pPr>
        <w:spacing w:line="560" w:lineRule="exact"/>
        <w:ind w:firstLine="320" w:firstLineChars="100"/>
        <w:rPr>
          <w:rFonts w:ascii="宋体" w:hAnsi="宋体" w:eastAsia="宋体"/>
          <w:color w:val="auto"/>
          <w:spacing w:val="20"/>
          <w:sz w:val="28"/>
          <w:szCs w:val="28"/>
        </w:rPr>
      </w:pPr>
      <w:r>
        <w:rPr>
          <w:rFonts w:ascii="宋体" w:hAnsi="宋体" w:eastAsia="PMingLiU"/>
          <w:color w:val="auto"/>
          <w:spacing w:val="20"/>
          <w:sz w:val="28"/>
          <w:szCs w:val="28"/>
        </w:rPr>
        <w:t>7</w:t>
      </w:r>
      <w:r>
        <w:rPr>
          <w:rFonts w:hint="eastAsia" w:ascii="宋体" w:hAnsi="宋体" w:eastAsia="宋体"/>
          <w:color w:val="auto"/>
          <w:spacing w:val="20"/>
          <w:sz w:val="28"/>
          <w:szCs w:val="28"/>
          <w:lang w:eastAsia="zh-CN"/>
        </w:rPr>
        <w:t>)</w:t>
      </w:r>
      <w:r>
        <w:rPr>
          <w:rFonts w:ascii="宋体" w:hAnsi="宋体" w:eastAsia="宋体"/>
          <w:color w:val="auto"/>
          <w:spacing w:val="20"/>
          <w:sz w:val="28"/>
          <w:szCs w:val="28"/>
        </w:rPr>
        <w:t>安全措施补偿系数CF</w:t>
      </w:r>
    </w:p>
    <w:p>
      <w:pPr>
        <w:spacing w:line="560" w:lineRule="exact"/>
        <w:ind w:firstLine="320" w:firstLineChars="100"/>
        <w:rPr>
          <w:rFonts w:ascii="宋体" w:hAnsi="宋体" w:eastAsia="宋体"/>
          <w:color w:val="auto"/>
          <w:spacing w:val="20"/>
          <w:sz w:val="28"/>
          <w:szCs w:val="28"/>
        </w:rPr>
      </w:pPr>
      <w:r>
        <w:rPr>
          <w:rFonts w:ascii="宋体" w:hAnsi="宋体" w:eastAsia="PMingLiU"/>
          <w:color w:val="auto"/>
          <w:spacing w:val="20"/>
          <w:sz w:val="28"/>
          <w:szCs w:val="28"/>
        </w:rPr>
        <w:t>8</w:t>
      </w:r>
      <w:r>
        <w:rPr>
          <w:rFonts w:hint="eastAsia" w:ascii="宋体" w:hAnsi="宋体" w:eastAsia="宋体"/>
          <w:color w:val="auto"/>
          <w:spacing w:val="20"/>
          <w:sz w:val="28"/>
          <w:szCs w:val="28"/>
          <w:lang w:eastAsia="zh-CN"/>
        </w:rPr>
        <w:t>)</w:t>
      </w:r>
      <w:r>
        <w:rPr>
          <w:rFonts w:ascii="宋体" w:hAnsi="宋体" w:eastAsia="宋体"/>
          <w:color w:val="auto"/>
          <w:spacing w:val="20"/>
          <w:sz w:val="28"/>
          <w:szCs w:val="28"/>
        </w:rPr>
        <w:t>确定工艺单元周围的暴露面积</w:t>
      </w:r>
    </w:p>
    <w:p>
      <w:pPr>
        <w:spacing w:line="560" w:lineRule="exact"/>
        <w:ind w:firstLine="320" w:firstLineChars="100"/>
        <w:rPr>
          <w:rFonts w:ascii="宋体" w:hAnsi="宋体" w:eastAsia="宋体"/>
          <w:color w:val="auto"/>
          <w:spacing w:val="20"/>
          <w:sz w:val="28"/>
          <w:szCs w:val="28"/>
        </w:rPr>
      </w:pPr>
      <w:r>
        <w:rPr>
          <w:rFonts w:ascii="宋体" w:hAnsi="宋体" w:eastAsia="PMingLiU"/>
          <w:color w:val="auto"/>
          <w:spacing w:val="20"/>
          <w:sz w:val="28"/>
          <w:szCs w:val="28"/>
        </w:rPr>
        <w:t>9</w:t>
      </w:r>
      <w:r>
        <w:rPr>
          <w:rFonts w:hint="eastAsia" w:ascii="宋体" w:hAnsi="宋体" w:eastAsia="宋体"/>
          <w:color w:val="auto"/>
          <w:spacing w:val="20"/>
          <w:sz w:val="28"/>
          <w:szCs w:val="28"/>
          <w:lang w:eastAsia="zh-CN"/>
        </w:rPr>
        <w:t>)</w:t>
      </w:r>
      <w:r>
        <w:rPr>
          <w:rFonts w:ascii="宋体" w:hAnsi="宋体" w:eastAsia="宋体"/>
          <w:color w:val="auto"/>
          <w:spacing w:val="20"/>
          <w:sz w:val="28"/>
          <w:szCs w:val="28"/>
        </w:rPr>
        <w:t>确定危险系数HF</w:t>
      </w:r>
    </w:p>
    <w:p>
      <w:pPr>
        <w:spacing w:line="560" w:lineRule="exact"/>
        <w:ind w:firstLine="320" w:firstLineChars="100"/>
        <w:rPr>
          <w:rFonts w:ascii="宋体" w:hAnsi="宋体" w:eastAsia="宋体"/>
          <w:color w:val="auto"/>
          <w:spacing w:val="20"/>
          <w:sz w:val="28"/>
          <w:szCs w:val="28"/>
        </w:rPr>
      </w:pPr>
      <w:r>
        <w:rPr>
          <w:rFonts w:ascii="宋体" w:hAnsi="宋体" w:eastAsia="PMingLiU"/>
          <w:color w:val="auto"/>
          <w:spacing w:val="20"/>
          <w:sz w:val="28"/>
          <w:szCs w:val="28"/>
        </w:rPr>
        <w:t>10</w:t>
      </w:r>
      <w:r>
        <w:rPr>
          <w:rFonts w:hint="eastAsia" w:ascii="宋体" w:hAnsi="宋体" w:eastAsia="宋体"/>
          <w:color w:val="auto"/>
          <w:spacing w:val="20"/>
          <w:sz w:val="28"/>
          <w:szCs w:val="28"/>
          <w:lang w:eastAsia="zh-CN"/>
        </w:rPr>
        <w:t>)</w:t>
      </w:r>
      <w:r>
        <w:rPr>
          <w:rFonts w:ascii="宋体" w:hAnsi="宋体" w:eastAsia="宋体"/>
          <w:color w:val="auto"/>
          <w:spacing w:val="20"/>
          <w:sz w:val="28"/>
          <w:szCs w:val="28"/>
        </w:rPr>
        <w:t>确定基本最大可能财产损失(基本MPPD)</w:t>
      </w:r>
    </w:p>
    <w:p>
      <w:pPr>
        <w:spacing w:line="560" w:lineRule="exact"/>
        <w:ind w:firstLine="320" w:firstLineChars="100"/>
        <w:rPr>
          <w:rFonts w:ascii="宋体" w:hAnsi="宋体" w:eastAsia="PMingLiU"/>
          <w:color w:val="auto"/>
          <w:spacing w:val="20"/>
          <w:sz w:val="28"/>
          <w:szCs w:val="28"/>
        </w:rPr>
      </w:pPr>
      <w:r>
        <w:rPr>
          <w:rFonts w:ascii="宋体" w:hAnsi="宋体" w:eastAsia="PMingLiU"/>
          <w:color w:val="auto"/>
          <w:spacing w:val="20"/>
          <w:sz w:val="28"/>
          <w:szCs w:val="28"/>
        </w:rPr>
        <w:t>11</w:t>
      </w:r>
      <w:r>
        <w:rPr>
          <w:rFonts w:hint="eastAsia" w:ascii="宋体" w:hAnsi="宋体" w:eastAsia="宋体"/>
          <w:color w:val="auto"/>
          <w:spacing w:val="20"/>
          <w:sz w:val="28"/>
          <w:szCs w:val="28"/>
          <w:lang w:eastAsia="zh-CN"/>
        </w:rPr>
        <w:t>)</w:t>
      </w:r>
      <w:r>
        <w:rPr>
          <w:rFonts w:ascii="宋体" w:hAnsi="宋体" w:eastAsia="宋体"/>
          <w:color w:val="auto"/>
          <w:spacing w:val="20"/>
          <w:sz w:val="28"/>
          <w:szCs w:val="28"/>
        </w:rPr>
        <w:t>确定实际最大可能财产损失(实际MPPD)</w:t>
      </w:r>
    </w:p>
    <w:p>
      <w:pPr>
        <w:spacing w:line="560" w:lineRule="exact"/>
        <w:ind w:firstLine="320" w:firstLineChars="100"/>
        <w:rPr>
          <w:rFonts w:ascii="宋体" w:hAnsi="宋体" w:eastAsia="PMingLiU"/>
          <w:color w:val="auto"/>
          <w:spacing w:val="20"/>
          <w:sz w:val="28"/>
          <w:szCs w:val="28"/>
        </w:rPr>
      </w:pPr>
    </w:p>
    <w:p>
      <w:pPr>
        <w:spacing w:line="560" w:lineRule="exact"/>
        <w:ind w:firstLine="320" w:firstLineChars="100"/>
        <w:rPr>
          <w:rFonts w:ascii="宋体" w:hAnsi="宋体" w:eastAsia="PMingLiU"/>
          <w:color w:val="auto"/>
          <w:spacing w:val="20"/>
          <w:sz w:val="28"/>
          <w:szCs w:val="28"/>
        </w:rPr>
      </w:pPr>
    </w:p>
    <w:p>
      <w:pPr>
        <w:jc w:val="center"/>
        <w:rPr>
          <w:rFonts w:ascii="宋体" w:hAnsi="宋体" w:eastAsia="PMingLiU"/>
          <w:color w:val="auto"/>
          <w:spacing w:val="20"/>
          <w:sz w:val="28"/>
          <w:szCs w:val="28"/>
        </w:rPr>
      </w:pPr>
      <w:r>
        <w:rPr>
          <w:rFonts w:ascii="宋体" w:hAnsi="宋体" w:eastAsia="PMingLiU"/>
          <w:color w:val="auto"/>
          <w:spacing w:val="20"/>
          <w:sz w:val="28"/>
          <w:szCs w:val="28"/>
          <w:lang w:val="en-US" w:eastAsia="zh-CN" w:bidi="ar-SA"/>
        </w:rPr>
        <w:pict>
          <v:group id="画布 20" o:spid="_x0000_s1597" o:spt="203" style="height:522pt;width:432pt;" coordsize="54864,66294" editas="canvas">
            <o:lock v:ext="edit"/>
            <v:shape id="画布 20" o:spid="_x0000_s1027" o:spt="75" type="#_x0000_t75" style="position:absolute;left:0;top:0;height:66294;width:54864;" filled="f" o:preferrelative="t" stroked="f" coordsize="21600,21600">
              <v:path/>
              <v:fill on="f" focussize="0,0"/>
              <v:stroke on="f" joinstyle="miter"/>
              <v:imagedata o:title=""/>
              <o:lock v:ext="edit" aspectratio="t"/>
            </v:shape>
            <v:group id="Group 935" o:spid="_x0000_s1028" o:spt="203" style="position:absolute;left:1714;top:3905;height:61436;width:50102;" coordsize="9345,109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">
              <o:lock v:ext="edit"/>
              <v:rect id="Rectangle 936" o:spid="_x0000_s1029" o:spt="1" style="position:absolute;left:3465;top:0;height:468;width:1995;"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">
                <v:path/>
                <v:fill focussize="0,0"/>
                <v:stroke/>
                <v:imagedata o:title=""/>
                <o:lock v:ext="edit"/>
                <v:textbox>
                  <w:txbxContent>
                    <w:p>
                      <w:pPr>
                        <w:jc w:val="center"/>
                        <w:rPr>
                          <w:sz w:val="18"/>
                          <w:szCs w:val="18"/>
                        </w:rPr>
                      </w:pPr>
                      <w:r>
                        <w:rPr>
                          <w:rFonts w:hint="eastAsia"/>
                          <w:kern w:val="2"/>
                          <w:sz w:val="18"/>
                          <w:szCs w:val="18"/>
                        </w:rPr>
                        <w:t>选取工艺单元</w:t>
                      </w:r>
                    </w:p>
                    <w:p>
                      <w:pPr>
                        <w:jc w:val="both"/>
                        <w:rPr>
                          <w:sz w:val="18"/>
                          <w:szCs w:val="18"/>
                        </w:rPr>
                      </w:pPr>
                      <w:r>
                        <w:rPr>
                          <w:kern w:val="2"/>
                          <w:sz w:val="18"/>
                          <w:szCs w:val="18"/>
                        </w:rPr>
                        <w:t> </w:t>
                      </w:r>
                    </w:p>
                  </w:txbxContent>
                </v:textbox>
              </v:rect>
              <v:rect id="Rectangle 937" o:spid="_x0000_s1030" o:spt="1" style="position:absolute;left:2835;top:826;height:624;width:3150;"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">
                <v:path/>
                <v:fill focussize="0,0"/>
                <v:stroke/>
                <v:imagedata o:title=""/>
                <o:lock v:ext="edit"/>
                <v:textbox>
                  <w:txbxContent>
                    <w:p>
                      <w:pPr>
                        <w:spacing w:line="380" w:lineRule="exact"/>
                        <w:jc w:val="center"/>
                        <w:rPr>
                          <w:sz w:val="18"/>
                          <w:szCs w:val="18"/>
                        </w:rPr>
                      </w:pPr>
                      <w:r>
                        <w:rPr>
                          <w:rFonts w:hint="eastAsia"/>
                          <w:kern w:val="2"/>
                          <w:sz w:val="18"/>
                          <w:szCs w:val="18"/>
                        </w:rPr>
                        <w:t>确定物质系数（</w:t>
                      </w:r>
                      <w:r>
                        <w:rPr>
                          <w:kern w:val="2"/>
                          <w:sz w:val="18"/>
                          <w:szCs w:val="18"/>
                        </w:rPr>
                        <w:t>MF</w:t>
                      </w:r>
                      <w:r>
                        <w:rPr>
                          <w:rFonts w:hint="eastAsia"/>
                          <w:kern w:val="2"/>
                          <w:sz w:val="18"/>
                          <w:szCs w:val="18"/>
                        </w:rPr>
                        <w:t>）</w:t>
                      </w:r>
                    </w:p>
                    <w:p>
                      <w:pPr>
                        <w:jc w:val="both"/>
                        <w:rPr>
                          <w:sz w:val="18"/>
                          <w:szCs w:val="18"/>
                        </w:rPr>
                      </w:pPr>
                      <w:r>
                        <w:rPr>
                          <w:kern w:val="2"/>
                          <w:sz w:val="18"/>
                          <w:szCs w:val="18"/>
                        </w:rPr>
                        <w:t> </w:t>
                      </w:r>
                    </w:p>
                  </w:txbxContent>
                </v:textbox>
              </v:rect>
              <v:rect id="Rectangle 938" o:spid="_x0000_s1031" o:spt="1" style="position:absolute;left:525;top:2143;height:780;width:3570;"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">
                <v:path/>
                <v:fill focussize="0,0"/>
                <v:stroke/>
                <v:imagedata o:title=""/>
                <o:lock v:ext="edit"/>
                <v:textbox>
                  <w:txbxContent>
                    <w:p>
                      <w:pPr>
                        <w:spacing w:line="420" w:lineRule="exact"/>
                        <w:jc w:val="center"/>
                        <w:rPr>
                          <w:sz w:val="18"/>
                          <w:szCs w:val="18"/>
                        </w:rPr>
                      </w:pPr>
                      <w:r>
                        <w:rPr>
                          <w:rFonts w:hint="eastAsia"/>
                          <w:kern w:val="2"/>
                          <w:sz w:val="18"/>
                          <w:szCs w:val="18"/>
                        </w:rPr>
                        <w:t>计算一般工艺危险系数（</w:t>
                      </w:r>
                      <w:r>
                        <w:rPr>
                          <w:kern w:val="2"/>
                          <w:sz w:val="18"/>
                          <w:szCs w:val="18"/>
                        </w:rPr>
                        <w:t>F1</w:t>
                      </w:r>
                      <w:r>
                        <w:rPr>
                          <w:rFonts w:hint="eastAsia"/>
                          <w:kern w:val="2"/>
                          <w:sz w:val="18"/>
                          <w:szCs w:val="18"/>
                        </w:rPr>
                        <w:t>）</w:t>
                      </w:r>
                    </w:p>
                  </w:txbxContent>
                </v:textbox>
              </v:rect>
              <v:rect id="Rectangle 939" o:spid="_x0000_s1032" o:spt="1" style="position:absolute;left:5250;top:2164;height:780;width:3360;"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">
                <v:path/>
                <v:fill focussize="0,0"/>
                <v:stroke/>
                <v:imagedata o:title=""/>
                <o:lock v:ext="edit"/>
                <v:textbox>
                  <w:txbxContent>
                    <w:p>
                      <w:pPr>
                        <w:spacing w:line="420" w:lineRule="exact"/>
                        <w:jc w:val="center"/>
                        <w:rPr>
                          <w:sz w:val="18"/>
                          <w:szCs w:val="18"/>
                        </w:rPr>
                      </w:pPr>
                      <w:r>
                        <w:rPr>
                          <w:rFonts w:hint="eastAsia"/>
                          <w:kern w:val="2"/>
                          <w:sz w:val="18"/>
                          <w:szCs w:val="18"/>
                        </w:rPr>
                        <w:t>计算特殊工艺危险系数（</w:t>
                      </w:r>
                      <w:r>
                        <w:rPr>
                          <w:kern w:val="2"/>
                          <w:sz w:val="18"/>
                          <w:szCs w:val="18"/>
                        </w:rPr>
                        <w:t>F2</w:t>
                      </w:r>
                      <w:r>
                        <w:rPr>
                          <w:rFonts w:hint="eastAsia"/>
                          <w:kern w:val="2"/>
                          <w:sz w:val="18"/>
                          <w:szCs w:val="18"/>
                        </w:rPr>
                        <w:t>）</w:t>
                      </w:r>
                    </w:p>
                  </w:txbxContent>
                </v:textbox>
              </v:rect>
              <v:rect id="Rectangle 940" o:spid="_x0000_s1033" o:spt="1" style="position:absolute;left:2730;top:3436;height:624;width:4410;"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">
                <v:path/>
                <v:fill focussize="0,0"/>
                <v:stroke/>
                <v:imagedata o:title=""/>
                <o:lock v:ext="edit"/>
                <v:textbox>
                  <w:txbxContent>
                    <w:p>
                      <w:pPr>
                        <w:spacing w:line="400" w:lineRule="exact"/>
                        <w:jc w:val="center"/>
                        <w:rPr>
                          <w:sz w:val="18"/>
                          <w:szCs w:val="18"/>
                        </w:rPr>
                      </w:pPr>
                      <w:r>
                        <w:rPr>
                          <w:rFonts w:hint="eastAsia"/>
                          <w:kern w:val="2"/>
                          <w:sz w:val="18"/>
                          <w:szCs w:val="18"/>
                        </w:rPr>
                        <w:t>确定工艺单元危险系数（</w:t>
                      </w:r>
                      <w:r>
                        <w:rPr>
                          <w:kern w:val="2"/>
                          <w:sz w:val="18"/>
                          <w:szCs w:val="18"/>
                        </w:rPr>
                        <w:t>F</w:t>
                      </w:r>
                      <w:r>
                        <w:rPr>
                          <w:kern w:val="2"/>
                          <w:position w:val="-5"/>
                          <w:sz w:val="18"/>
                          <w:szCs w:val="18"/>
                          <w:vertAlign w:val="subscript"/>
                        </w:rPr>
                        <w:t>3</w:t>
                      </w:r>
                      <w:r>
                        <w:rPr>
                          <w:kern w:val="2"/>
                          <w:sz w:val="18"/>
                          <w:szCs w:val="18"/>
                        </w:rPr>
                        <w:t>=F</w:t>
                      </w:r>
                      <w:r>
                        <w:rPr>
                          <w:kern w:val="2"/>
                          <w:position w:val="-5"/>
                          <w:sz w:val="18"/>
                          <w:szCs w:val="18"/>
                          <w:vertAlign w:val="subscript"/>
                        </w:rPr>
                        <w:t>1</w:t>
                      </w:r>
                      <w:r>
                        <w:rPr>
                          <w:rFonts w:hint="eastAsia"/>
                          <w:kern w:val="2"/>
                          <w:sz w:val="18"/>
                          <w:szCs w:val="18"/>
                        </w:rPr>
                        <w:t>×</w:t>
                      </w:r>
                      <w:r>
                        <w:rPr>
                          <w:kern w:val="2"/>
                          <w:sz w:val="18"/>
                          <w:szCs w:val="18"/>
                        </w:rPr>
                        <w:t>F</w:t>
                      </w:r>
                      <w:r>
                        <w:rPr>
                          <w:kern w:val="2"/>
                          <w:position w:val="-5"/>
                          <w:sz w:val="18"/>
                          <w:szCs w:val="18"/>
                          <w:vertAlign w:val="subscript"/>
                        </w:rPr>
                        <w:t>2</w:t>
                      </w:r>
                      <w:r>
                        <w:rPr>
                          <w:rFonts w:hint="eastAsia"/>
                          <w:kern w:val="2"/>
                          <w:sz w:val="18"/>
                          <w:szCs w:val="18"/>
                        </w:rPr>
                        <w:t>）</w:t>
                      </w:r>
                    </w:p>
                    <w:p>
                      <w:pPr>
                        <w:jc w:val="both"/>
                        <w:rPr>
                          <w:sz w:val="18"/>
                          <w:szCs w:val="18"/>
                        </w:rPr>
                      </w:pPr>
                      <w:r>
                        <w:rPr>
                          <w:kern w:val="2"/>
                          <w:sz w:val="18"/>
                          <w:szCs w:val="18"/>
                        </w:rPr>
                        <w:t> </w:t>
                      </w:r>
                    </w:p>
                  </w:txbxContent>
                </v:textbox>
              </v:rect>
              <v:rect id="Rectangle 941" o:spid="_x0000_s1034" o:spt="1" style="position:absolute;left:0;top:4231;height:936;width:2835;"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">
                <v:path/>
                <v:fill focussize="0,0"/>
                <v:stroke/>
                <v:imagedata o:title=""/>
                <o:lock v:ext="edit"/>
                <v:textbox>
                  <w:txbxContent>
                    <w:p>
                      <w:pPr>
                        <w:jc w:val="center"/>
                        <w:rPr>
                          <w:sz w:val="18"/>
                          <w:szCs w:val="18"/>
                        </w:rPr>
                      </w:pPr>
                      <w:r>
                        <w:rPr>
                          <w:rFonts w:hint="eastAsia"/>
                          <w:kern w:val="2"/>
                          <w:sz w:val="18"/>
                          <w:szCs w:val="18"/>
                        </w:rPr>
                        <w:t>计算安全措施补偿系数（</w:t>
                      </w:r>
                      <w:r>
                        <w:rPr>
                          <w:kern w:val="2"/>
                          <w:sz w:val="18"/>
                          <w:szCs w:val="18"/>
                        </w:rPr>
                        <w:t>C=C</w:t>
                      </w:r>
                      <w:r>
                        <w:rPr>
                          <w:kern w:val="2"/>
                          <w:position w:val="-5"/>
                          <w:sz w:val="18"/>
                          <w:szCs w:val="18"/>
                          <w:vertAlign w:val="subscript"/>
                        </w:rPr>
                        <w:t>1</w:t>
                      </w:r>
                      <w:r>
                        <w:rPr>
                          <w:rFonts w:hint="eastAsia"/>
                          <w:kern w:val="2"/>
                          <w:sz w:val="18"/>
                          <w:szCs w:val="18"/>
                        </w:rPr>
                        <w:t>×</w:t>
                      </w:r>
                      <w:r>
                        <w:rPr>
                          <w:kern w:val="2"/>
                          <w:sz w:val="18"/>
                          <w:szCs w:val="18"/>
                        </w:rPr>
                        <w:t>C</w:t>
                      </w:r>
                      <w:r>
                        <w:rPr>
                          <w:kern w:val="2"/>
                          <w:position w:val="-5"/>
                          <w:sz w:val="18"/>
                          <w:szCs w:val="18"/>
                          <w:vertAlign w:val="subscript"/>
                        </w:rPr>
                        <w:t>2</w:t>
                      </w:r>
                      <w:r>
                        <w:rPr>
                          <w:rFonts w:hint="eastAsia"/>
                          <w:kern w:val="2"/>
                          <w:sz w:val="18"/>
                          <w:szCs w:val="18"/>
                        </w:rPr>
                        <w:t>×</w:t>
                      </w:r>
                      <w:r>
                        <w:rPr>
                          <w:kern w:val="2"/>
                          <w:sz w:val="18"/>
                          <w:szCs w:val="18"/>
                        </w:rPr>
                        <w:t>C</w:t>
                      </w:r>
                      <w:r>
                        <w:rPr>
                          <w:kern w:val="2"/>
                          <w:position w:val="-5"/>
                          <w:sz w:val="18"/>
                          <w:szCs w:val="18"/>
                          <w:vertAlign w:val="subscript"/>
                        </w:rPr>
                        <w:t>3</w:t>
                      </w:r>
                      <w:r>
                        <w:rPr>
                          <w:rFonts w:hint="eastAsia"/>
                          <w:kern w:val="2"/>
                          <w:sz w:val="18"/>
                          <w:szCs w:val="18"/>
                        </w:rPr>
                        <w:t>）</w:t>
                      </w:r>
                    </w:p>
                  </w:txbxContent>
                </v:textbox>
              </v:rect>
              <v:rect id="Rectangle 942" o:spid="_x0000_s1035" o:spt="1" style="position:absolute;left:3465;top:4350;height:817;width:3150;"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">
                <v:path/>
                <v:fill focussize="0,0"/>
                <v:stroke/>
                <v:imagedata o:title=""/>
                <o:lock v:ext="edit"/>
                <v:textbox>
                  <w:txbxContent>
                    <w:p>
                      <w:pPr>
                        <w:jc w:val="center"/>
                        <w:rPr>
                          <w:sz w:val="18"/>
                          <w:szCs w:val="18"/>
                        </w:rPr>
                      </w:pPr>
                      <w:r>
                        <w:rPr>
                          <w:rFonts w:hint="eastAsia"/>
                          <w:kern w:val="2"/>
                          <w:sz w:val="18"/>
                          <w:szCs w:val="18"/>
                        </w:rPr>
                        <w:t>确定火灾、爆炸指数</w:t>
                      </w:r>
                    </w:p>
                    <w:p>
                      <w:pPr>
                        <w:jc w:val="center"/>
                        <w:rPr>
                          <w:sz w:val="18"/>
                          <w:szCs w:val="18"/>
                        </w:rPr>
                      </w:pPr>
                      <w:r>
                        <w:rPr>
                          <w:rFonts w:hint="eastAsia"/>
                          <w:kern w:val="2"/>
                          <w:sz w:val="18"/>
                          <w:szCs w:val="18"/>
                        </w:rPr>
                        <w:t>（</w:t>
                      </w:r>
                      <w:r>
                        <w:rPr>
                          <w:kern w:val="2"/>
                          <w:sz w:val="18"/>
                          <w:szCs w:val="18"/>
                        </w:rPr>
                        <w:t>F&amp;EI=F3</w:t>
                      </w:r>
                      <w:r>
                        <w:rPr>
                          <w:rFonts w:hint="eastAsia"/>
                          <w:kern w:val="2"/>
                          <w:sz w:val="18"/>
                          <w:szCs w:val="18"/>
                        </w:rPr>
                        <w:t>×</w:t>
                      </w:r>
                      <w:r>
                        <w:rPr>
                          <w:kern w:val="2"/>
                          <w:sz w:val="18"/>
                          <w:szCs w:val="18"/>
                        </w:rPr>
                        <w:t>MF</w:t>
                      </w:r>
                      <w:r>
                        <w:rPr>
                          <w:rFonts w:hint="eastAsia"/>
                          <w:kern w:val="2"/>
                          <w:sz w:val="18"/>
                          <w:szCs w:val="18"/>
                        </w:rPr>
                        <w:t>）</w:t>
                      </w:r>
                    </w:p>
                  </w:txbxContent>
                </v:textbox>
              </v:rect>
              <v:rect id="Rectangle 943" o:spid="_x0000_s1036" o:spt="1" style="position:absolute;left:3630;top:5443;height:624;width:2835;"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">
                <v:path/>
                <v:fill focussize="0,0"/>
                <v:stroke/>
                <v:imagedata o:title=""/>
                <o:lock v:ext="edit"/>
                <v:textbox>
                  <w:txbxContent>
                    <w:p>
                      <w:pPr>
                        <w:spacing w:line="380" w:lineRule="exact"/>
                        <w:jc w:val="center"/>
                        <w:rPr>
                          <w:sz w:val="18"/>
                          <w:szCs w:val="18"/>
                        </w:rPr>
                      </w:pPr>
                      <w:r>
                        <w:rPr>
                          <w:rFonts w:hint="eastAsia"/>
                          <w:kern w:val="2"/>
                          <w:sz w:val="18"/>
                          <w:szCs w:val="18"/>
                        </w:rPr>
                        <w:t>确定暴露面积</w:t>
                      </w:r>
                    </w:p>
                    <w:p>
                      <w:pPr>
                        <w:jc w:val="both"/>
                        <w:rPr>
                          <w:sz w:val="18"/>
                          <w:szCs w:val="18"/>
                        </w:rPr>
                      </w:pPr>
                      <w:r>
                        <w:rPr>
                          <w:kern w:val="2"/>
                          <w:sz w:val="18"/>
                          <w:szCs w:val="18"/>
                        </w:rPr>
                        <w:t> </w:t>
                      </w:r>
                    </w:p>
                  </w:txbxContent>
                </v:textbox>
              </v:rect>
              <v:rect id="Rectangle 944" o:spid="_x0000_s1037" o:spt="1" style="position:absolute;left:2940;top:6460;height:624;width:4830;"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">
                <v:path/>
                <v:fill focussize="0,0"/>
                <v:stroke/>
                <v:imagedata o:title=""/>
                <o:lock v:ext="edit"/>
                <v:textbox>
                  <w:txbxContent>
                    <w:p>
                      <w:pPr>
                        <w:spacing w:line="380" w:lineRule="exact"/>
                        <w:jc w:val="center"/>
                        <w:rPr>
                          <w:sz w:val="18"/>
                          <w:szCs w:val="18"/>
                        </w:rPr>
                      </w:pPr>
                      <w:r>
                        <w:rPr>
                          <w:rFonts w:hint="eastAsia"/>
                          <w:kern w:val="2"/>
                          <w:sz w:val="18"/>
                          <w:szCs w:val="18"/>
                        </w:rPr>
                        <w:t>确定暴露区域内财产的更换价值</w:t>
                      </w:r>
                    </w:p>
                    <w:p>
                      <w:pPr>
                        <w:jc w:val="both"/>
                        <w:rPr>
                          <w:sz w:val="18"/>
                          <w:szCs w:val="18"/>
                        </w:rPr>
                      </w:pPr>
                      <w:r>
                        <w:rPr>
                          <w:kern w:val="2"/>
                          <w:sz w:val="18"/>
                          <w:szCs w:val="18"/>
                        </w:rPr>
                        <w:t> </w:t>
                      </w:r>
                    </w:p>
                  </w:txbxContent>
                </v:textbox>
              </v:rect>
              <v:rect id="Rectangle 945" o:spid="_x0000_s1038" o:spt="1" style="position:absolute;left:3150;top:7708;height:720;width:2520;"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">
                <v:path/>
                <v:fill focussize="0,0"/>
                <v:stroke/>
                <v:imagedata o:title=""/>
                <o:lock v:ext="edit"/>
                <v:textbox>
                  <w:txbxContent>
                    <w:p>
                      <w:pPr>
                        <w:jc w:val="center"/>
                        <w:rPr>
                          <w:sz w:val="18"/>
                          <w:szCs w:val="18"/>
                        </w:rPr>
                      </w:pPr>
                      <w:r>
                        <w:rPr>
                          <w:rFonts w:hint="eastAsia"/>
                          <w:kern w:val="2"/>
                          <w:sz w:val="18"/>
                          <w:szCs w:val="18"/>
                        </w:rPr>
                        <w:t>确定基本最大可能财产损失</w:t>
                      </w:r>
                      <w:r>
                        <w:rPr>
                          <w:kern w:val="2"/>
                          <w:sz w:val="18"/>
                          <w:szCs w:val="18"/>
                        </w:rPr>
                        <w:t>MPPD</w:t>
                      </w:r>
                    </w:p>
                    <w:p>
                      <w:pPr>
                        <w:jc w:val="both"/>
                        <w:rPr>
                          <w:sz w:val="18"/>
                          <w:szCs w:val="18"/>
                        </w:rPr>
                      </w:pPr>
                      <w:r>
                        <w:rPr>
                          <w:kern w:val="2"/>
                          <w:sz w:val="18"/>
                          <w:szCs w:val="18"/>
                        </w:rPr>
                        <w:t> </w:t>
                      </w:r>
                    </w:p>
                  </w:txbxContent>
                </v:textbox>
              </v:rect>
              <v:rect id="Rectangle 946" o:spid="_x0000_s1039" o:spt="1" style="position:absolute;left:6720;top:7708;height:551;width:2520;"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">
                <v:path/>
                <v:fill focussize="0,0"/>
                <v:stroke/>
                <v:imagedata o:title=""/>
                <o:lock v:ext="edit"/>
                <v:textbox>
                  <w:txbxContent>
                    <w:p>
                      <w:pPr>
                        <w:jc w:val="center"/>
                        <w:rPr>
                          <w:sz w:val="18"/>
                          <w:szCs w:val="18"/>
                        </w:rPr>
                      </w:pPr>
                      <w:r>
                        <w:rPr>
                          <w:rFonts w:hint="eastAsia"/>
                          <w:kern w:val="2"/>
                          <w:sz w:val="18"/>
                          <w:szCs w:val="18"/>
                        </w:rPr>
                        <w:t>确定危险系数</w:t>
                      </w:r>
                    </w:p>
                  </w:txbxContent>
                </v:textbox>
              </v:rect>
              <v:rect id="Rectangle 947" o:spid="_x0000_s1040" o:spt="1" style="position:absolute;left:3255;top:8956;height:720;width:2835;"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">
                <v:path/>
                <v:fill focussize="0,0"/>
                <v:stroke/>
                <v:imagedata o:title=""/>
                <o:lock v:ext="edit"/>
                <v:textbox>
                  <w:txbxContent>
                    <w:p>
                      <w:pPr>
                        <w:jc w:val="center"/>
                        <w:rPr>
                          <w:sz w:val="18"/>
                          <w:szCs w:val="18"/>
                        </w:rPr>
                      </w:pPr>
                      <w:r>
                        <w:rPr>
                          <w:rFonts w:hint="eastAsia"/>
                          <w:kern w:val="2"/>
                          <w:sz w:val="18"/>
                          <w:szCs w:val="18"/>
                        </w:rPr>
                        <w:t>确定实际最大可能财产损失</w:t>
                      </w:r>
                      <w:r>
                        <w:rPr>
                          <w:kern w:val="2"/>
                          <w:sz w:val="18"/>
                          <w:szCs w:val="18"/>
                        </w:rPr>
                        <w:t>MPPD</w:t>
                      </w:r>
                    </w:p>
                    <w:p>
                      <w:pPr>
                        <w:jc w:val="both"/>
                        <w:rPr>
                          <w:sz w:val="18"/>
                          <w:szCs w:val="18"/>
                        </w:rPr>
                      </w:pPr>
                      <w:r>
                        <w:rPr>
                          <w:kern w:val="2"/>
                          <w:sz w:val="18"/>
                          <w:szCs w:val="18"/>
                        </w:rPr>
                        <w:t> </w:t>
                      </w:r>
                    </w:p>
                  </w:txbxContent>
                </v:textbox>
              </v:rect>
              <v:rect id="Rectangle 948" o:spid="_x0000_s1041" o:spt="1" style="position:absolute;left:3045;top:10204;height:780;width:2940;"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">
                <v:path/>
                <v:fill focussize="0,0"/>
                <v:stroke/>
                <v:imagedata o:title=""/>
                <o:lock v:ext="edit"/>
                <v:textbox>
                  <w:txbxContent>
                    <w:p>
                      <w:pPr>
                        <w:jc w:val="center"/>
                        <w:rPr>
                          <w:sz w:val="18"/>
                          <w:szCs w:val="18"/>
                        </w:rPr>
                      </w:pPr>
                      <w:r>
                        <w:rPr>
                          <w:rFonts w:hint="eastAsia"/>
                          <w:kern w:val="2"/>
                          <w:sz w:val="18"/>
                          <w:szCs w:val="18"/>
                        </w:rPr>
                        <w:t>确定基本最大可能工作日损失</w:t>
                      </w:r>
                      <w:r>
                        <w:rPr>
                          <w:kern w:val="2"/>
                          <w:sz w:val="18"/>
                          <w:szCs w:val="18"/>
                        </w:rPr>
                        <w:t>MPDO</w:t>
                      </w:r>
                    </w:p>
                  </w:txbxContent>
                </v:textbox>
              </v:rect>
              <v:rect id="Rectangle 949" o:spid="_x0000_s1042" o:spt="1" style="position:absolute;left:6720;top:10270;height:624;width:2625;"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">
                <v:path/>
                <v:fill focussize="0,0"/>
                <v:stroke/>
                <v:imagedata o:title=""/>
                <o:lock v:ext="edit"/>
                <v:textbox>
                  <w:txbxContent>
                    <w:p>
                      <w:pPr>
                        <w:jc w:val="center"/>
                        <w:rPr>
                          <w:sz w:val="18"/>
                          <w:szCs w:val="18"/>
                        </w:rPr>
                      </w:pPr>
                      <w:r>
                        <w:rPr>
                          <w:rFonts w:hint="eastAsia"/>
                          <w:kern w:val="2"/>
                          <w:sz w:val="18"/>
                          <w:szCs w:val="18"/>
                        </w:rPr>
                        <w:t>确定停产损失</w:t>
                      </w:r>
                      <w:r>
                        <w:rPr>
                          <w:kern w:val="2"/>
                          <w:sz w:val="18"/>
                          <w:szCs w:val="18"/>
                        </w:rPr>
                        <w:t>BI</w:t>
                      </w:r>
                    </w:p>
                  </w:txbxContent>
                </v:textbox>
              </v:rect>
              <v:line id="Line 950" o:spid="_x0000_s1043" o:spt="20" style="position:absolute;left:4305;top:468;height:384;width:0;" o:connectortype="straigh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">
                <v:path arrowok="t"/>
                <v:fill focussize="0,0"/>
                <v:stroke endarrow="block"/>
                <v:imagedata o:title=""/>
                <o:lock v:ext="edit"/>
              </v:line>
              <v:line id="Line 951" o:spid="_x0000_s1044" o:spt="20" style="position:absolute;left:2520;top:1816;height:0;width:4620;" o:connectortype="straigh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">
                <v:path arrowok="t"/>
                <v:fill focussize="0,0"/>
                <v:stroke/>
                <v:imagedata o:title=""/>
                <o:lock v:ext="edit"/>
              </v:line>
              <v:line id="Line 952" o:spid="_x0000_s1045" o:spt="20" style="position:absolute;left:2520;top:1816;height:369;width:0;" o:connectortype="straigh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">
                <v:path arrowok="t"/>
                <v:fill focussize="0,0"/>
                <v:stroke endarrow="block"/>
                <v:imagedata o:title=""/>
                <o:lock v:ext="edit"/>
              </v:line>
              <v:line id="Line 953" o:spid="_x0000_s1046" o:spt="20" style="position:absolute;left:7140;top:1816;height:369;width:0;" o:connectortype="straigh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">
                <v:path arrowok="t"/>
                <v:fill focussize="0,0"/>
                <v:stroke endarrow="block"/>
                <v:imagedata o:title=""/>
                <o:lock v:ext="edit"/>
              </v:line>
              <v:line id="Line 954" o:spid="_x0000_s1047" o:spt="20" style="position:absolute;left:4305;top:1405;height:411;width:0;" o:connectortype="straigh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">
                <v:path arrowok="t"/>
                <v:fill focussize="0,0"/>
                <v:stroke endarrow="block"/>
                <v:imagedata o:title=""/>
                <o:lock v:ext="edit"/>
              </v:line>
              <v:line id="Line 955" o:spid="_x0000_s1048" o:spt="20" style="position:absolute;left:2370;top:3101;height:8;width:4770;" o:connectortype="straigh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">
                <v:path arrowok="t"/>
                <v:fill focussize="0,0"/>
                <v:stroke/>
                <v:imagedata o:title=""/>
                <o:lock v:ext="edit"/>
              </v:line>
              <v:line id="Line 956" o:spid="_x0000_s1049" o:spt="20" style="position:absolute;left:4515;top:3109;height:304;width:0;" o:connectortype="straigh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">
                <v:path arrowok="t"/>
                <v:fill focussize="0,0"/>
                <v:stroke endarrow="block"/>
                <v:imagedata o:title=""/>
                <o:lock v:ext="edit"/>
              </v:line>
              <v:line id="Line 957" o:spid="_x0000_s1050" o:spt="20" style="position:absolute;left:2835;top:4680;flip:x;height:0;width:630;" o:connectortype="straigh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">
                <v:path arrowok="t"/>
                <v:fill focussize="0,0"/>
                <v:stroke endarrow="block"/>
                <v:imagedata o:title=""/>
                <o:lock v:ext="edit"/>
              </v:line>
              <v:line id="Line 958" o:spid="_x0000_s1051" o:spt="20" style="position:absolute;left:4620;top:7084;height:624;width:0;" o:connectortype="straigh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">
                <v:path arrowok="t"/>
                <v:fill focussize="0,0"/>
                <v:stroke endarrow="block"/>
                <v:imagedata o:title=""/>
                <o:lock v:ext="edit"/>
              </v:line>
              <v:line id="Line 959" o:spid="_x0000_s1052" o:spt="20" style="position:absolute;left:5670;top:8020;flip:x;height:0;width:1050;" o:connectortype="straigh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">
                <v:path arrowok="t"/>
                <v:fill focussize="0,0"/>
                <v:stroke endarrow="block"/>
                <v:imagedata o:title=""/>
                <o:lock v:ext="edit"/>
              </v:line>
              <v:line id="Line 960" o:spid="_x0000_s1053" o:spt="20" style="position:absolute;left:4620;top:8428;height:528;width:0;" o:connectortype="straigh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">
                <v:path arrowok="t"/>
                <v:fill focussize="0,0"/>
                <v:stroke endarrow="block"/>
                <v:imagedata o:title=""/>
                <o:lock v:ext="edit"/>
              </v:line>
              <v:line id="Line 961" o:spid="_x0000_s1054" o:spt="20" style="position:absolute;left:4620;top:9676;height:528;width:0;" o:connectortype="straigh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">
                <v:path arrowok="t"/>
                <v:fill focussize="0,0"/>
                <v:stroke endarrow="block"/>
                <v:imagedata o:title=""/>
                <o:lock v:ext="edit"/>
              </v:line>
              <v:line id="Line 962" o:spid="_x0000_s1055" o:spt="20" style="position:absolute;left:5985;top:10576;height:0;width:735;" o:connectortype="straigh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">
                <v:path arrowok="t"/>
                <v:fill focussize="0,0"/>
                <v:stroke endarrow="block"/>
                <v:imagedata o:title=""/>
                <o:lock v:ext="edit"/>
              </v:line>
              <v:line id="Line 963" o:spid="_x0000_s1056" o:spt="20" style="position:absolute;left:1050;top:5152;height:2964;width:0;" o:connectortype="straigh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">
                <v:path arrowok="t"/>
                <v:fill focussize="0,0"/>
                <v:stroke/>
                <v:imagedata o:title=""/>
                <o:lock v:ext="edit"/>
              </v:line>
              <v:line id="Line 964" o:spid="_x0000_s1057" o:spt="20" style="position:absolute;left:1050;top:8110;height:0;width:2100;" o:connectortype="straigh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">
                <v:path arrowok="t"/>
                <v:fill focussize="0,0"/>
                <v:stroke endarrow="block"/>
                <v:imagedata o:title=""/>
                <o:lock v:ext="edit"/>
              </v:line>
              <v:line id="Line 965" o:spid="_x0000_s1058" o:spt="20" style="position:absolute;left:5985;top:1113;height:0;width:2835;" o:connectortype="straigh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">
                <v:path arrowok="t"/>
                <v:fill focussize="0,0"/>
                <v:stroke/>
                <v:imagedata o:title=""/>
                <o:lock v:ext="edit"/>
              </v:line>
              <v:line id="Line 966" o:spid="_x0000_s1059" o:spt="20" style="position:absolute;left:2370;top:2945;flip:y;height:156;width:0;" o:connectortype="straigh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">
                <v:path arrowok="t"/>
                <v:fill focussize="0,0"/>
                <v:stroke/>
                <v:imagedata o:title=""/>
                <o:lock v:ext="edit"/>
              </v:line>
              <v:line id="Line 967" o:spid="_x0000_s1060" o:spt="20" style="position:absolute;left:7050;top:3101;height:0;width:180;" o:connectortype="straigh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">
                <v:path arrowok="t"/>
                <v:fill focussize="0,0"/>
                <v:stroke/>
                <v:imagedata o:title=""/>
                <o:lock v:ext="edit"/>
              </v:line>
              <v:line id="Line 968" o:spid="_x0000_s1061" o:spt="20" style="position:absolute;left:7230;top:2945;flip:y;height:156;width:0;" o:connectortype="straigh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">
                <v:path arrowok="t"/>
                <v:fill focussize="0,0"/>
                <v:stroke/>
                <v:imagedata o:title=""/>
                <o:lock v:ext="edit"/>
              </v:line>
              <v:line id="Line 969" o:spid="_x0000_s1062" o:spt="20" style="position:absolute;left:5121;top:6067;height:468;width:0;" o:connectortype="straigh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">
                <v:path arrowok="t"/>
                <v:fill focussize="0,0"/>
                <v:stroke endarrow="block"/>
                <v:imagedata o:title=""/>
                <o:lock v:ext="edit"/>
              </v:line>
              <v:line id="Line 970" o:spid="_x0000_s1063" o:spt="20" style="position:absolute;left:4941;top:4038;height:312;width:0;" o:connectortype="straigh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">
                <v:path arrowok="t"/>
                <v:fill focussize="0,0"/>
                <v:stroke endarrow="block"/>
                <v:imagedata o:title=""/>
                <o:lock v:ext="edit"/>
              </v:line>
              <v:line id="Line 971" o:spid="_x0000_s1064" o:spt="20" style="position:absolute;left:8792;top:1102;flip:x;height:6585;width:15;" o:connectortype="straigh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">
                <v:path arrowok="t"/>
                <v:fill focussize="0,0"/>
                <v:stroke endarrow="block"/>
                <v:imagedata o:title=""/>
                <o:lock v:ext="edit"/>
              </v:line>
              <v:line id="Line 972" o:spid="_x0000_s1065" o:spt="20" style="position:absolute;left:5121;top:5131;height:312;width:0;" o:connectortype="straigh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">
                <v:path arrowok="t"/>
                <v:fill focussize="0,0"/>
                <v:stroke endarrow="block"/>
                <v:imagedata o:title=""/>
                <o:lock v:ext="edit"/>
              </v:line>
              <v:line id="Line 973" o:spid="_x0000_s1066" o:spt="20" style="position:absolute;left:7159;top:3736;height:0;width:1680;" o:connectortype="straigh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">
                <v:path arrowok="t"/>
                <v:fill focussize="0,0"/>
                <v:stroke endarrow="block"/>
                <v:imagedata o:title=""/>
                <o:lock v:ext="edit"/>
              </v:line>
            </v:group>
            <w10:wrap type="none"/>
            <w10:anchorlock/>
          </v:group>
        </w:pict>
      </w:r>
    </w:p>
    <w:p>
      <w:pPr>
        <w:spacing w:afterLines="30" w:line="600" w:lineRule="exact"/>
        <w:jc w:val="center"/>
        <w:rPr>
          <w:rFonts w:ascii="宋体" w:hAnsi="宋体" w:eastAsia="宋体"/>
          <w:b/>
          <w:color w:val="auto"/>
        </w:rPr>
      </w:pPr>
      <w:r>
        <w:rPr>
          <w:rFonts w:hint="eastAsia" w:ascii="宋体" w:hAnsi="宋体"/>
          <w:b/>
          <w:color w:val="auto"/>
        </w:rPr>
        <w:t>“</w:t>
      </w:r>
      <w:r>
        <w:rPr>
          <w:rFonts w:hint="eastAsia" w:ascii="宋体" w:hAnsi="宋体" w:eastAsia="宋体"/>
          <w:b/>
          <w:color w:val="auto"/>
        </w:rPr>
        <w:t>道化法”(第七版)评价程序</w:t>
      </w:r>
    </w:p>
    <w:p>
      <w:pPr>
        <w:spacing w:line="560" w:lineRule="exact"/>
        <w:jc w:val="both"/>
        <w:outlineLvl w:val="2"/>
        <w:rPr>
          <w:rFonts w:ascii="宋体" w:hAnsi="宋体" w:eastAsia="宋体" w:cs="Times New Roman"/>
          <w:bCs/>
          <w:color w:val="auto"/>
          <w:kern w:val="2"/>
          <w:sz w:val="28"/>
          <w:szCs w:val="28"/>
          <w:lang w:val="en-US" w:eastAsia="zh-CN" w:bidi="ar-SA"/>
        </w:rPr>
      </w:pPr>
      <w:bookmarkStart w:id="214" w:name="bookmark151"/>
      <w:r>
        <w:rPr>
          <w:rFonts w:ascii="宋体" w:hAnsi="宋体" w:eastAsia="宋体" w:cs="Times New Roman"/>
          <w:bCs/>
          <w:color w:val="auto"/>
          <w:kern w:val="2"/>
          <w:sz w:val="28"/>
          <w:szCs w:val="28"/>
          <w:lang w:val="en-US" w:eastAsia="zh-CN" w:bidi="ar-SA"/>
        </w:rPr>
        <w:t>2.3.2主要危险单元的火灾爆炸危险评价</w:t>
      </w:r>
      <w:bookmarkEnd w:id="214"/>
    </w:p>
    <w:p>
      <w:pPr>
        <w:spacing w:line="560" w:lineRule="exact"/>
        <w:ind w:firstLine="454" w:firstLineChars="142"/>
        <w:rPr>
          <w:rFonts w:ascii="宋体" w:hAnsi="宋体" w:eastAsia="宋体"/>
          <w:color w:val="auto"/>
          <w:spacing w:val="20"/>
          <w:sz w:val="28"/>
          <w:szCs w:val="28"/>
        </w:rPr>
      </w:pPr>
      <w:r>
        <w:rPr>
          <w:rFonts w:ascii="宋体" w:hAnsi="宋体" w:eastAsia="宋体"/>
          <w:color w:val="auto"/>
          <w:spacing w:val="20"/>
          <w:sz w:val="28"/>
          <w:szCs w:val="28"/>
        </w:rPr>
        <w:t>本评价采用道化学公司的《火灾爆炸危险指数法》(第七版)，选取甲类仓库作为评价对象，对火灾、爆炸危险性进行事故后果评价。</w:t>
      </w:r>
    </w:p>
    <w:p>
      <w:pPr>
        <w:spacing w:line="560" w:lineRule="exact"/>
        <w:ind w:firstLine="454" w:firstLineChars="142"/>
        <w:rPr>
          <w:rFonts w:ascii="宋体" w:hAnsi="宋体" w:eastAsia="宋体"/>
          <w:color w:val="auto"/>
          <w:spacing w:val="20"/>
          <w:sz w:val="28"/>
          <w:szCs w:val="28"/>
        </w:rPr>
      </w:pPr>
      <w:r>
        <w:rPr>
          <w:rFonts w:ascii="宋体" w:hAnsi="宋体" w:eastAsia="PMingLiU"/>
          <w:color w:val="auto"/>
          <w:spacing w:val="20"/>
          <w:sz w:val="28"/>
          <w:szCs w:val="28"/>
        </w:rPr>
        <w:t>1</w:t>
      </w:r>
      <w:r>
        <w:rPr>
          <w:rFonts w:ascii="宋体" w:hAnsi="宋体" w:eastAsia="宋体"/>
          <w:color w:val="auto"/>
          <w:spacing w:val="20"/>
          <w:sz w:val="28"/>
          <w:szCs w:val="28"/>
        </w:rPr>
        <w:t>)评价单元确定</w:t>
      </w:r>
    </w:p>
    <w:p>
      <w:pPr>
        <w:spacing w:line="560" w:lineRule="exact"/>
        <w:ind w:firstLine="454" w:firstLineChars="142"/>
        <w:rPr>
          <w:rFonts w:ascii="宋体" w:hAnsi="宋体" w:eastAsia="宋体"/>
          <w:color w:val="auto"/>
          <w:spacing w:val="20"/>
          <w:sz w:val="28"/>
          <w:szCs w:val="28"/>
        </w:rPr>
      </w:pPr>
      <w:r>
        <w:rPr>
          <w:rFonts w:ascii="宋体" w:hAnsi="宋体" w:eastAsia="宋体"/>
          <w:color w:val="auto"/>
          <w:spacing w:val="20"/>
          <w:sz w:val="28"/>
          <w:szCs w:val="28"/>
        </w:rPr>
        <w:t>依据该公司生产工艺过程分析，因为该公司甲类仓库中存在多种甲类易燃液体，所以发生火灾的可能性相应较大，确定为评价单元。</w:t>
      </w:r>
    </w:p>
    <w:p>
      <w:pPr>
        <w:spacing w:line="560" w:lineRule="exact"/>
        <w:ind w:firstLine="454" w:firstLineChars="142"/>
        <w:rPr>
          <w:rFonts w:ascii="宋体" w:hAnsi="宋体" w:eastAsia="宋体"/>
          <w:color w:val="auto"/>
          <w:spacing w:val="20"/>
          <w:sz w:val="28"/>
          <w:szCs w:val="28"/>
        </w:rPr>
      </w:pPr>
      <w:r>
        <w:rPr>
          <w:rFonts w:hint="eastAsia" w:ascii="宋体" w:hAnsi="宋体" w:eastAsia="宋体"/>
          <w:color w:val="auto"/>
          <w:spacing w:val="20"/>
          <w:sz w:val="28"/>
          <w:szCs w:val="28"/>
          <w:lang w:eastAsia="zh-CN"/>
        </w:rPr>
        <w:t>2</w:t>
      </w:r>
      <w:r>
        <w:rPr>
          <w:rFonts w:ascii="宋体" w:hAnsi="宋体" w:eastAsia="宋体"/>
          <w:color w:val="auto"/>
          <w:spacing w:val="20"/>
          <w:sz w:val="28"/>
          <w:szCs w:val="28"/>
        </w:rPr>
        <w:t>)确定物质系数</w:t>
      </w:r>
    </w:p>
    <w:p>
      <w:pPr>
        <w:spacing w:line="560" w:lineRule="exact"/>
        <w:ind w:firstLine="454" w:firstLineChars="142"/>
        <w:rPr>
          <w:rFonts w:ascii="宋体" w:hAnsi="宋体" w:eastAsia="宋体"/>
          <w:color w:val="auto"/>
          <w:spacing w:val="20"/>
          <w:sz w:val="28"/>
          <w:szCs w:val="28"/>
        </w:rPr>
      </w:pPr>
      <w:r>
        <w:rPr>
          <w:rFonts w:ascii="宋体" w:hAnsi="宋体" w:eastAsia="宋体"/>
          <w:color w:val="auto"/>
          <w:spacing w:val="20"/>
          <w:sz w:val="28"/>
          <w:szCs w:val="28"/>
        </w:rPr>
        <w:t>该项目甲类仓库中储存的主要危险化学品有</w:t>
      </w:r>
      <w:r>
        <w:rPr>
          <w:rFonts w:hint="eastAsia" w:ascii="宋体" w:hAnsi="宋体" w:eastAsia="宋体"/>
          <w:color w:val="auto"/>
          <w:spacing w:val="20"/>
          <w:sz w:val="28"/>
          <w:szCs w:val="28"/>
          <w:lang w:eastAsia="zh-CN"/>
        </w:rPr>
        <w:t>二甲苯异构体混合物、乙酸正丁酯、环己酮、乙酸乙酯、不饱和聚酯树脂</w:t>
      </w:r>
      <w:r>
        <w:rPr>
          <w:rFonts w:ascii="宋体" w:hAnsi="宋体" w:eastAsia="宋体"/>
          <w:color w:val="auto"/>
          <w:spacing w:val="20"/>
          <w:sz w:val="28"/>
          <w:szCs w:val="28"/>
        </w:rPr>
        <w:t>等甲乙类原料，其中</w:t>
      </w:r>
      <w:r>
        <w:rPr>
          <w:rFonts w:hint="eastAsia" w:ascii="宋体" w:hAnsi="宋体" w:eastAsia="宋体"/>
          <w:color w:val="auto"/>
          <w:spacing w:val="20"/>
          <w:sz w:val="28"/>
          <w:szCs w:val="28"/>
          <w:lang w:eastAsia="zh-CN"/>
        </w:rPr>
        <w:t>二甲苯异构体混合物</w:t>
      </w:r>
      <w:r>
        <w:rPr>
          <w:rFonts w:ascii="宋体" w:hAnsi="宋体" w:eastAsia="宋体"/>
          <w:color w:val="auto"/>
          <w:spacing w:val="20"/>
          <w:sz w:val="28"/>
          <w:szCs w:val="28"/>
        </w:rPr>
        <w:t>的储存量最</w:t>
      </w:r>
      <w:r>
        <w:rPr>
          <w:rFonts w:hint="eastAsia" w:ascii="宋体" w:hAnsi="宋体" w:eastAsia="宋体"/>
          <w:color w:val="auto"/>
          <w:spacing w:val="20"/>
          <w:sz w:val="28"/>
          <w:szCs w:val="28"/>
          <w:lang w:eastAsia="zh-CN"/>
        </w:rPr>
        <w:t>为20吨，年使用量最多</w:t>
      </w:r>
      <w:r>
        <w:rPr>
          <w:rFonts w:ascii="宋体" w:hAnsi="宋体" w:eastAsia="宋体"/>
          <w:color w:val="auto"/>
          <w:spacing w:val="20"/>
          <w:sz w:val="28"/>
          <w:szCs w:val="28"/>
        </w:rPr>
        <w:t>，其闪点</w:t>
      </w:r>
      <w:r>
        <w:rPr>
          <w:rFonts w:hint="eastAsia" w:ascii="宋体" w:hAnsi="宋体" w:eastAsia="宋体"/>
          <w:color w:val="auto"/>
          <w:spacing w:val="20"/>
          <w:sz w:val="28"/>
          <w:szCs w:val="28"/>
          <w:lang w:eastAsia="zh-CN"/>
        </w:rPr>
        <w:t>为</w:t>
      </w:r>
      <w:r>
        <w:rPr>
          <w:rFonts w:ascii="宋体" w:hAnsi="宋体" w:eastAsia="宋体"/>
          <w:color w:val="auto"/>
          <w:spacing w:val="20"/>
          <w:sz w:val="28"/>
          <w:szCs w:val="28"/>
        </w:rPr>
        <w:t>2</w:t>
      </w:r>
      <w:r>
        <w:rPr>
          <w:rFonts w:hint="eastAsia" w:ascii="宋体" w:hAnsi="宋体" w:eastAsia="宋体"/>
          <w:color w:val="auto"/>
          <w:spacing w:val="20"/>
          <w:sz w:val="28"/>
          <w:szCs w:val="28"/>
          <w:lang w:eastAsia="zh-CN"/>
        </w:rPr>
        <w:t>5</w:t>
      </w:r>
      <w:r>
        <w:rPr>
          <w:rFonts w:ascii="宋体" w:hAnsi="宋体" w:eastAsia="宋体"/>
          <w:color w:val="auto"/>
          <w:spacing w:val="20"/>
          <w:sz w:val="28"/>
          <w:szCs w:val="28"/>
        </w:rPr>
        <w:t>℃，发生火灾爆炸的可能性较大，因此本评价单元选择的代表物质为发生火灾爆炸可能性较大的</w:t>
      </w:r>
      <w:r>
        <w:rPr>
          <w:rFonts w:hint="eastAsia" w:ascii="宋体" w:hAnsi="宋体" w:eastAsia="宋体"/>
          <w:b/>
          <w:color w:val="auto"/>
          <w:spacing w:val="20"/>
          <w:sz w:val="28"/>
          <w:szCs w:val="28"/>
          <w:lang w:eastAsia="zh-CN"/>
        </w:rPr>
        <w:t>二甲苯异构体混合物</w:t>
      </w:r>
      <w:r>
        <w:rPr>
          <w:rFonts w:ascii="宋体" w:hAnsi="宋体" w:eastAsia="宋体"/>
          <w:b/>
          <w:color w:val="auto"/>
          <w:spacing w:val="20"/>
          <w:sz w:val="28"/>
          <w:szCs w:val="28"/>
        </w:rPr>
        <w:t>(为了便于计算，该仓库内其他物料的日常储量均换算为甲苯计，根据生产产品的需要，并非每种溶剂都有库存，正常生产情况下，</w:t>
      </w:r>
      <w:r>
        <w:rPr>
          <w:rFonts w:hint="eastAsia" w:ascii="宋体" w:hAnsi="宋体" w:eastAsia="宋体"/>
          <w:b/>
          <w:color w:val="auto"/>
          <w:spacing w:val="20"/>
          <w:sz w:val="28"/>
          <w:szCs w:val="28"/>
          <w:lang w:eastAsia="zh-CN"/>
        </w:rPr>
        <w:t>甲类</w:t>
      </w:r>
      <w:r>
        <w:rPr>
          <w:rFonts w:ascii="宋体" w:hAnsi="宋体" w:eastAsia="宋体"/>
          <w:b/>
          <w:color w:val="auto"/>
          <w:spacing w:val="20"/>
          <w:sz w:val="28"/>
          <w:szCs w:val="28"/>
        </w:rPr>
        <w:t>仓库内里日常溶剂的总量约78.7吨)。</w:t>
      </w:r>
      <w:r>
        <w:rPr>
          <w:rFonts w:hint="eastAsia" w:ascii="宋体" w:hAnsi="宋体" w:eastAsia="宋体"/>
          <w:color w:val="auto"/>
          <w:spacing w:val="20"/>
          <w:sz w:val="28"/>
          <w:szCs w:val="28"/>
          <w:lang w:eastAsia="zh-CN"/>
        </w:rPr>
        <w:t>二甲苯异构体混合物</w:t>
      </w:r>
      <w:r>
        <w:rPr>
          <w:rFonts w:ascii="宋体" w:hAnsi="宋体" w:eastAsia="宋体"/>
          <w:color w:val="auto"/>
          <w:spacing w:val="20"/>
          <w:sz w:val="28"/>
          <w:szCs w:val="28"/>
        </w:rPr>
        <w:t>的物质系数MF=16，N</w:t>
      </w:r>
      <w:r>
        <w:rPr>
          <w:rFonts w:ascii="宋体" w:hAnsi="宋体" w:eastAsia="宋体"/>
          <w:color w:val="auto"/>
          <w:spacing w:val="20"/>
          <w:sz w:val="28"/>
          <w:szCs w:val="28"/>
          <w:vertAlign w:val="subscript"/>
        </w:rPr>
        <w:t>h</w:t>
      </w:r>
      <w:r>
        <w:rPr>
          <w:rFonts w:ascii="宋体" w:hAnsi="宋体" w:eastAsia="宋体"/>
          <w:color w:val="auto"/>
          <w:spacing w:val="20"/>
          <w:sz w:val="28"/>
          <w:szCs w:val="28"/>
        </w:rPr>
        <w:t>=2，N</w:t>
      </w:r>
      <w:r>
        <w:rPr>
          <w:rFonts w:ascii="宋体" w:hAnsi="宋体" w:eastAsia="宋体"/>
          <w:color w:val="auto"/>
          <w:spacing w:val="20"/>
          <w:sz w:val="28"/>
          <w:szCs w:val="28"/>
          <w:vertAlign w:val="subscript"/>
        </w:rPr>
        <w:t>f</w:t>
      </w:r>
      <w:r>
        <w:rPr>
          <w:rFonts w:ascii="宋体" w:hAnsi="宋体" w:eastAsia="宋体"/>
          <w:color w:val="auto"/>
          <w:spacing w:val="20"/>
          <w:sz w:val="28"/>
          <w:szCs w:val="28"/>
        </w:rPr>
        <w:t>=3，N</w:t>
      </w:r>
      <w:r>
        <w:rPr>
          <w:rFonts w:ascii="宋体" w:hAnsi="宋体" w:eastAsia="宋体"/>
          <w:color w:val="auto"/>
          <w:spacing w:val="20"/>
          <w:sz w:val="28"/>
          <w:szCs w:val="28"/>
          <w:vertAlign w:val="subscript"/>
        </w:rPr>
        <w:t>r</w:t>
      </w:r>
      <w:r>
        <w:rPr>
          <w:rFonts w:ascii="宋体" w:hAnsi="宋体" w:eastAsia="宋体"/>
          <w:color w:val="auto"/>
          <w:spacing w:val="20"/>
          <w:sz w:val="28"/>
          <w:szCs w:val="28"/>
        </w:rPr>
        <w:t>=0。</w:t>
      </w:r>
    </w:p>
    <w:p>
      <w:pPr>
        <w:spacing w:line="560" w:lineRule="exact"/>
        <w:ind w:firstLine="454" w:firstLineChars="142"/>
        <w:rPr>
          <w:rFonts w:ascii="宋体" w:hAnsi="宋体" w:eastAsia="PMingLiU"/>
          <w:color w:val="auto"/>
          <w:spacing w:val="20"/>
          <w:sz w:val="28"/>
          <w:szCs w:val="28"/>
        </w:rPr>
      </w:pPr>
      <w:r>
        <w:rPr>
          <w:rFonts w:hint="eastAsia" w:ascii="宋体" w:hAnsi="宋体" w:eastAsia="宋体"/>
          <w:color w:val="auto"/>
          <w:spacing w:val="20"/>
          <w:sz w:val="28"/>
          <w:szCs w:val="28"/>
          <w:lang w:eastAsia="zh-CN"/>
        </w:rPr>
        <w:t>3</w:t>
      </w:r>
      <w:r>
        <w:rPr>
          <w:rFonts w:ascii="宋体" w:hAnsi="宋体" w:eastAsia="宋体"/>
          <w:color w:val="auto"/>
          <w:spacing w:val="20"/>
          <w:sz w:val="28"/>
          <w:szCs w:val="28"/>
        </w:rPr>
        <w:t>)确定一般工艺危险系数F</w:t>
      </w:r>
      <w:r>
        <w:rPr>
          <w:rFonts w:ascii="宋体" w:hAnsi="宋体" w:eastAsia="PMingLiU"/>
          <w:color w:val="auto"/>
          <w:spacing w:val="20"/>
          <w:sz w:val="28"/>
          <w:szCs w:val="28"/>
          <w:vertAlign w:val="subscript"/>
        </w:rPr>
        <w:t>1</w:t>
      </w:r>
    </w:p>
    <w:p>
      <w:pPr>
        <w:spacing w:line="560" w:lineRule="exact"/>
        <w:ind w:firstLine="454" w:firstLineChars="142"/>
        <w:rPr>
          <w:rFonts w:ascii="宋体" w:hAnsi="宋体" w:eastAsia="宋体"/>
          <w:color w:val="auto"/>
          <w:spacing w:val="20"/>
          <w:sz w:val="28"/>
          <w:szCs w:val="28"/>
        </w:rPr>
      </w:pPr>
      <w:r>
        <w:rPr>
          <w:rFonts w:ascii="宋体" w:hAnsi="宋体" w:eastAsia="宋体"/>
          <w:color w:val="auto"/>
          <w:spacing w:val="20"/>
          <w:sz w:val="28"/>
          <w:szCs w:val="28"/>
        </w:rPr>
        <w:t>一般工艺危险系数是确定事故损害大小的主要因素。与评价单元有关的系数值列于后表中(生产单元火灾爆炸危险指数表)，F</w:t>
      </w:r>
      <w:r>
        <w:rPr>
          <w:rFonts w:ascii="宋体" w:hAnsi="宋体" w:eastAsia="PMingLiU"/>
          <w:color w:val="auto"/>
          <w:spacing w:val="20"/>
          <w:sz w:val="28"/>
          <w:szCs w:val="28"/>
          <w:vertAlign w:val="subscript"/>
        </w:rPr>
        <w:t>1</w:t>
      </w:r>
      <w:r>
        <w:rPr>
          <w:rFonts w:ascii="宋体" w:hAnsi="宋体" w:eastAsia="宋体"/>
          <w:color w:val="auto"/>
          <w:spacing w:val="20"/>
          <w:sz w:val="28"/>
          <w:szCs w:val="28"/>
        </w:rPr>
        <w:t>等于基本系数与所有选取系数之和。</w:t>
      </w:r>
    </w:p>
    <w:p>
      <w:pPr>
        <w:spacing w:line="560" w:lineRule="exact"/>
        <w:ind w:firstLine="454" w:firstLineChars="142"/>
        <w:rPr>
          <w:rFonts w:ascii="宋体" w:hAnsi="宋体" w:eastAsia="宋体"/>
          <w:color w:val="auto"/>
          <w:spacing w:val="20"/>
          <w:sz w:val="28"/>
          <w:szCs w:val="28"/>
        </w:rPr>
      </w:pPr>
      <w:r>
        <w:rPr>
          <w:rFonts w:hint="eastAsia" w:ascii="宋体" w:hAnsi="宋体" w:eastAsia="宋体"/>
          <w:color w:val="auto"/>
          <w:spacing w:val="20"/>
          <w:sz w:val="28"/>
          <w:szCs w:val="28"/>
          <w:lang w:eastAsia="zh-CN"/>
        </w:rPr>
        <w:t>4</w:t>
      </w:r>
      <w:r>
        <w:rPr>
          <w:rFonts w:ascii="宋体" w:hAnsi="宋体" w:eastAsia="宋体"/>
          <w:color w:val="auto"/>
          <w:spacing w:val="20"/>
          <w:sz w:val="28"/>
          <w:szCs w:val="28"/>
        </w:rPr>
        <w:t>)确定特殊工艺危险系数F</w:t>
      </w:r>
      <w:r>
        <w:rPr>
          <w:rFonts w:ascii="宋体" w:hAnsi="宋体" w:eastAsia="宋体"/>
          <w:color w:val="auto"/>
          <w:spacing w:val="20"/>
          <w:sz w:val="28"/>
          <w:szCs w:val="28"/>
          <w:vertAlign w:val="subscript"/>
        </w:rPr>
        <w:t>2</w:t>
      </w:r>
    </w:p>
    <w:p>
      <w:pPr>
        <w:spacing w:line="560" w:lineRule="exact"/>
        <w:ind w:firstLine="454" w:firstLineChars="142"/>
        <w:rPr>
          <w:rFonts w:ascii="宋体" w:hAnsi="宋体" w:eastAsia="宋体"/>
          <w:color w:val="auto"/>
          <w:spacing w:val="20"/>
          <w:sz w:val="28"/>
          <w:szCs w:val="28"/>
        </w:rPr>
      </w:pPr>
      <w:r>
        <w:rPr>
          <w:rFonts w:ascii="宋体" w:hAnsi="宋体" w:eastAsia="宋体"/>
          <w:color w:val="auto"/>
          <w:spacing w:val="20"/>
          <w:sz w:val="28"/>
          <w:szCs w:val="28"/>
        </w:rPr>
        <w:t>特殊工艺危险系数是影响事故发生概率的主要因素，特定的工艺条件是导致火灾、爆炸事故的主要原因。与评价单元有关的系数列于后表中(生产单元火灾爆炸危险指数表)，F</w:t>
      </w:r>
      <w:r>
        <w:rPr>
          <w:rFonts w:ascii="宋体" w:hAnsi="宋体" w:eastAsia="宋体"/>
          <w:color w:val="auto"/>
          <w:spacing w:val="20"/>
          <w:sz w:val="28"/>
          <w:szCs w:val="28"/>
          <w:vertAlign w:val="subscript"/>
        </w:rPr>
        <w:t>2</w:t>
      </w:r>
      <w:r>
        <w:rPr>
          <w:rFonts w:ascii="宋体" w:hAnsi="宋体" w:eastAsia="宋体"/>
          <w:color w:val="auto"/>
          <w:spacing w:val="20"/>
          <w:sz w:val="28"/>
          <w:szCs w:val="28"/>
        </w:rPr>
        <w:t>等于基本系数与所有选取系数之和。</w:t>
      </w:r>
    </w:p>
    <w:p>
      <w:pPr>
        <w:spacing w:line="560" w:lineRule="exact"/>
        <w:ind w:firstLine="454" w:firstLineChars="142"/>
        <w:rPr>
          <w:rFonts w:ascii="宋体" w:hAnsi="宋体" w:eastAsia="宋体"/>
          <w:color w:val="auto"/>
          <w:spacing w:val="20"/>
          <w:sz w:val="28"/>
          <w:szCs w:val="28"/>
        </w:rPr>
      </w:pPr>
      <w:r>
        <w:rPr>
          <w:rFonts w:hint="eastAsia" w:ascii="宋体" w:hAnsi="宋体" w:eastAsia="宋体"/>
          <w:color w:val="auto"/>
          <w:spacing w:val="20"/>
          <w:sz w:val="28"/>
          <w:szCs w:val="28"/>
          <w:lang w:eastAsia="zh-CN"/>
        </w:rPr>
        <w:t>5</w:t>
      </w:r>
      <w:r>
        <w:rPr>
          <w:rFonts w:ascii="宋体" w:hAnsi="宋体" w:eastAsia="宋体"/>
          <w:color w:val="auto"/>
          <w:spacing w:val="20"/>
          <w:sz w:val="28"/>
          <w:szCs w:val="28"/>
        </w:rPr>
        <w:t>)计算单元工艺危险系数F</w:t>
      </w:r>
      <w:r>
        <w:rPr>
          <w:rFonts w:ascii="宋体" w:hAnsi="宋体" w:eastAsia="宋体"/>
          <w:color w:val="auto"/>
          <w:spacing w:val="20"/>
          <w:sz w:val="28"/>
          <w:szCs w:val="28"/>
          <w:vertAlign w:val="subscript"/>
        </w:rPr>
        <w:t>3</w:t>
      </w:r>
    </w:p>
    <w:p>
      <w:pPr>
        <w:spacing w:line="560" w:lineRule="exact"/>
        <w:ind w:firstLine="454" w:firstLineChars="142"/>
        <w:rPr>
          <w:rFonts w:ascii="宋体" w:hAnsi="宋体" w:eastAsia="宋体"/>
          <w:color w:val="auto"/>
          <w:spacing w:val="20"/>
          <w:sz w:val="28"/>
          <w:szCs w:val="28"/>
        </w:rPr>
      </w:pPr>
      <w:r>
        <w:rPr>
          <w:rFonts w:ascii="宋体" w:hAnsi="宋体" w:eastAsia="宋体"/>
          <w:color w:val="auto"/>
          <w:spacing w:val="20"/>
          <w:sz w:val="28"/>
          <w:szCs w:val="28"/>
        </w:rPr>
        <w:t>单元工艺危险系数是一般工艺危险系数F</w:t>
      </w:r>
      <w:r>
        <w:rPr>
          <w:rFonts w:ascii="宋体" w:hAnsi="宋体" w:eastAsia="PMingLiU"/>
          <w:color w:val="auto"/>
          <w:spacing w:val="20"/>
          <w:sz w:val="28"/>
          <w:szCs w:val="28"/>
          <w:vertAlign w:val="subscript"/>
        </w:rPr>
        <w:t>1</w:t>
      </w:r>
      <w:r>
        <w:rPr>
          <w:rFonts w:ascii="宋体" w:hAnsi="宋体" w:eastAsia="宋体"/>
          <w:color w:val="auto"/>
          <w:spacing w:val="20"/>
          <w:sz w:val="28"/>
          <w:szCs w:val="28"/>
        </w:rPr>
        <w:t>与特殊工艺危险系数的乘积，F</w:t>
      </w:r>
      <w:r>
        <w:rPr>
          <w:rFonts w:ascii="宋体" w:hAnsi="宋体" w:eastAsia="宋体"/>
          <w:color w:val="auto"/>
          <w:spacing w:val="20"/>
          <w:sz w:val="28"/>
          <w:szCs w:val="28"/>
          <w:vertAlign w:val="subscript"/>
        </w:rPr>
        <w:t>3</w:t>
      </w:r>
      <w:r>
        <w:rPr>
          <w:rFonts w:ascii="宋体" w:hAnsi="宋体" w:eastAsia="宋体"/>
          <w:color w:val="auto"/>
          <w:spacing w:val="20"/>
          <w:sz w:val="28"/>
          <w:szCs w:val="28"/>
        </w:rPr>
        <w:t>=F</w:t>
      </w:r>
      <w:r>
        <w:rPr>
          <w:rFonts w:ascii="宋体" w:hAnsi="宋体" w:eastAsia="PMingLiU"/>
          <w:color w:val="auto"/>
          <w:spacing w:val="20"/>
          <w:sz w:val="28"/>
          <w:szCs w:val="28"/>
          <w:vertAlign w:val="subscript"/>
        </w:rPr>
        <w:t>1</w:t>
      </w:r>
      <w:r>
        <w:rPr>
          <w:rFonts w:ascii="宋体" w:hAnsi="宋体" w:eastAsia="宋体"/>
          <w:color w:val="auto"/>
          <w:spacing w:val="20"/>
          <w:sz w:val="28"/>
          <w:szCs w:val="28"/>
        </w:rPr>
        <w:t>×F</w:t>
      </w:r>
      <w:r>
        <w:rPr>
          <w:rFonts w:ascii="宋体" w:hAnsi="宋体" w:eastAsia="宋体"/>
          <w:color w:val="auto"/>
          <w:spacing w:val="20"/>
          <w:sz w:val="28"/>
          <w:szCs w:val="28"/>
          <w:vertAlign w:val="subscript"/>
        </w:rPr>
        <w:t>2</w:t>
      </w:r>
      <w:r>
        <w:rPr>
          <w:rFonts w:ascii="宋体" w:hAnsi="宋体" w:eastAsia="宋体"/>
          <w:color w:val="auto"/>
          <w:spacing w:val="20"/>
          <w:sz w:val="28"/>
          <w:szCs w:val="28"/>
        </w:rPr>
        <w:t>，数值列于表中(生产单元火灾爆炸危险指数表)。</w:t>
      </w:r>
    </w:p>
    <w:p>
      <w:pPr>
        <w:spacing w:line="560" w:lineRule="exact"/>
        <w:ind w:firstLine="454" w:firstLineChars="142"/>
        <w:rPr>
          <w:rFonts w:ascii="宋体" w:hAnsi="宋体" w:eastAsia="宋体"/>
          <w:color w:val="auto"/>
          <w:spacing w:val="20"/>
          <w:sz w:val="28"/>
          <w:szCs w:val="28"/>
        </w:rPr>
      </w:pPr>
      <w:r>
        <w:rPr>
          <w:rFonts w:ascii="宋体" w:hAnsi="宋体" w:eastAsia="宋体"/>
          <w:color w:val="auto"/>
          <w:spacing w:val="20"/>
          <w:sz w:val="28"/>
          <w:szCs w:val="28"/>
        </w:rPr>
        <w:t>计算火灾爆炸指数F&amp;EI</w:t>
      </w:r>
    </w:p>
    <w:p>
      <w:pPr>
        <w:spacing w:line="560" w:lineRule="exact"/>
        <w:ind w:firstLine="454" w:firstLineChars="142"/>
        <w:rPr>
          <w:rFonts w:ascii="宋体" w:hAnsi="宋体" w:eastAsia="宋体"/>
          <w:color w:val="auto"/>
          <w:spacing w:val="20"/>
          <w:sz w:val="28"/>
          <w:szCs w:val="28"/>
        </w:rPr>
      </w:pPr>
      <w:r>
        <w:rPr>
          <w:rFonts w:ascii="宋体" w:hAnsi="宋体" w:eastAsia="宋体"/>
          <w:color w:val="auto"/>
          <w:spacing w:val="20"/>
          <w:sz w:val="28"/>
          <w:szCs w:val="28"/>
        </w:rPr>
        <w:t>火灾、爆炸指数是被用来估计生产过程中的事故可能造成的危险性大小。火灾、爆炸指数等于单元工艺危险系数和对应物质系数之积，F&amp;EI=F</w:t>
      </w:r>
      <w:r>
        <w:rPr>
          <w:rFonts w:ascii="宋体" w:hAnsi="宋体" w:eastAsia="宋体"/>
          <w:color w:val="auto"/>
          <w:spacing w:val="20"/>
          <w:sz w:val="28"/>
          <w:szCs w:val="28"/>
          <w:vertAlign w:val="subscript"/>
        </w:rPr>
        <w:t>3</w:t>
      </w:r>
      <w:r>
        <w:rPr>
          <w:rFonts w:ascii="宋体" w:hAnsi="宋体" w:eastAsia="宋体"/>
          <w:color w:val="auto"/>
          <w:spacing w:val="20"/>
          <w:sz w:val="28"/>
          <w:szCs w:val="28"/>
        </w:rPr>
        <w:t>×MF，各单元的结果分别列于后表(生产单元火灾爆炸危险指数表)中。</w:t>
      </w:r>
    </w:p>
    <w:p>
      <w:pPr>
        <w:spacing w:line="560" w:lineRule="exact"/>
        <w:ind w:firstLine="454" w:firstLineChars="142"/>
        <w:rPr>
          <w:rFonts w:ascii="宋体" w:hAnsi="宋体" w:eastAsia="宋体"/>
          <w:color w:val="auto"/>
          <w:spacing w:val="20"/>
          <w:sz w:val="28"/>
          <w:szCs w:val="28"/>
        </w:rPr>
      </w:pPr>
      <w:r>
        <w:rPr>
          <w:rFonts w:hint="eastAsia" w:ascii="宋体" w:hAnsi="宋体" w:eastAsia="宋体"/>
          <w:color w:val="auto"/>
          <w:spacing w:val="20"/>
          <w:sz w:val="28"/>
          <w:szCs w:val="28"/>
          <w:lang w:eastAsia="zh-CN"/>
        </w:rPr>
        <w:t>6</w:t>
      </w:r>
      <w:r>
        <w:rPr>
          <w:rFonts w:ascii="宋体" w:hAnsi="宋体" w:eastAsia="宋体"/>
          <w:color w:val="auto"/>
          <w:spacing w:val="20"/>
          <w:sz w:val="28"/>
          <w:szCs w:val="28"/>
        </w:rPr>
        <w:t>)确定安全措施补偿系数CF</w:t>
      </w:r>
    </w:p>
    <w:p>
      <w:pPr>
        <w:spacing w:line="560" w:lineRule="exact"/>
        <w:ind w:firstLine="454" w:firstLineChars="142"/>
        <w:rPr>
          <w:rFonts w:ascii="宋体" w:hAnsi="宋体" w:eastAsia="宋体"/>
          <w:color w:val="auto"/>
          <w:spacing w:val="20"/>
          <w:sz w:val="28"/>
          <w:szCs w:val="28"/>
        </w:rPr>
      </w:pPr>
      <w:r>
        <w:rPr>
          <w:rFonts w:ascii="宋体" w:hAnsi="宋体" w:eastAsia="宋体"/>
          <w:color w:val="auto"/>
          <w:spacing w:val="20"/>
          <w:sz w:val="28"/>
          <w:szCs w:val="28"/>
        </w:rPr>
        <w:t>通过采取一系列的安全措施，不仅能预防严重事故的发生，也能降低事故的发生概率和危害，安全措施可分为工艺控制(</w:t>
      </w:r>
      <w:r>
        <w:rPr>
          <w:rFonts w:hint="eastAsia" w:ascii="宋体" w:hAnsi="宋体" w:eastAsia="宋体"/>
          <w:color w:val="auto"/>
          <w:kern w:val="28"/>
          <w:sz w:val="28"/>
          <w:szCs w:val="28"/>
        </w:rPr>
        <w:t>C</w:t>
      </w:r>
      <w:r>
        <w:rPr>
          <w:rFonts w:hint="eastAsia" w:ascii="宋体" w:hAnsi="宋体" w:eastAsia="宋体"/>
          <w:color w:val="auto"/>
          <w:kern w:val="28"/>
          <w:sz w:val="28"/>
          <w:szCs w:val="28"/>
          <w:vertAlign w:val="subscript"/>
        </w:rPr>
        <w:t>1</w:t>
      </w:r>
      <w:r>
        <w:rPr>
          <w:rFonts w:ascii="宋体" w:hAnsi="宋体" w:eastAsia="宋体"/>
          <w:color w:val="auto"/>
          <w:spacing w:val="20"/>
          <w:sz w:val="28"/>
          <w:szCs w:val="28"/>
        </w:rPr>
        <w:t>)，物质隔离(C</w:t>
      </w:r>
      <w:r>
        <w:rPr>
          <w:rFonts w:ascii="宋体" w:hAnsi="宋体" w:eastAsia="宋体"/>
          <w:color w:val="auto"/>
          <w:spacing w:val="20"/>
          <w:sz w:val="28"/>
          <w:szCs w:val="28"/>
          <w:vertAlign w:val="subscript"/>
        </w:rPr>
        <w:t>2</w:t>
      </w:r>
      <w:r>
        <w:rPr>
          <w:rFonts w:ascii="宋体" w:hAnsi="宋体" w:eastAsia="宋体"/>
          <w:color w:val="auto"/>
          <w:spacing w:val="20"/>
          <w:sz w:val="28"/>
          <w:szCs w:val="28"/>
        </w:rPr>
        <w:t>)和防火措施(</w:t>
      </w:r>
      <w:r>
        <w:rPr>
          <w:rFonts w:hint="eastAsia" w:ascii="宋体" w:hAnsi="宋体" w:eastAsia="宋体"/>
          <w:color w:val="auto"/>
          <w:kern w:val="28"/>
          <w:sz w:val="28"/>
          <w:szCs w:val="28"/>
        </w:rPr>
        <w:t>C</w:t>
      </w:r>
      <w:r>
        <w:rPr>
          <w:rFonts w:ascii="宋体" w:hAnsi="宋体" w:eastAsia="宋体"/>
          <w:color w:val="auto"/>
          <w:kern w:val="28"/>
          <w:sz w:val="28"/>
          <w:szCs w:val="28"/>
          <w:vertAlign w:val="subscript"/>
        </w:rPr>
        <w:t>3</w:t>
      </w:r>
      <w:r>
        <w:rPr>
          <w:rFonts w:ascii="宋体" w:hAnsi="宋体" w:eastAsia="宋体"/>
          <w:color w:val="auto"/>
          <w:spacing w:val="20"/>
          <w:sz w:val="28"/>
          <w:szCs w:val="28"/>
        </w:rPr>
        <w:t>)等三大类。安全措施补偿系数CF=</w:t>
      </w:r>
      <w:r>
        <w:rPr>
          <w:rFonts w:hint="eastAsia" w:ascii="宋体" w:hAnsi="宋体" w:eastAsia="宋体"/>
          <w:color w:val="auto"/>
          <w:kern w:val="28"/>
          <w:sz w:val="28"/>
          <w:szCs w:val="28"/>
        </w:rPr>
        <w:t>C</w:t>
      </w:r>
      <w:r>
        <w:rPr>
          <w:rFonts w:hint="eastAsia" w:ascii="宋体" w:hAnsi="宋体" w:eastAsia="宋体"/>
          <w:color w:val="auto"/>
          <w:kern w:val="28"/>
          <w:sz w:val="28"/>
          <w:szCs w:val="28"/>
          <w:vertAlign w:val="subscript"/>
        </w:rPr>
        <w:t>1</w:t>
      </w:r>
      <w:r>
        <w:rPr>
          <w:rFonts w:ascii="宋体" w:hAnsi="宋体" w:eastAsia="宋体"/>
          <w:color w:val="auto"/>
          <w:spacing w:val="20"/>
          <w:sz w:val="28"/>
          <w:szCs w:val="28"/>
        </w:rPr>
        <w:t>×</w:t>
      </w:r>
      <w:r>
        <w:rPr>
          <w:rFonts w:hint="eastAsia" w:ascii="宋体" w:hAnsi="宋体" w:eastAsia="宋体"/>
          <w:color w:val="auto"/>
          <w:kern w:val="28"/>
          <w:sz w:val="28"/>
          <w:szCs w:val="28"/>
        </w:rPr>
        <w:t>C</w:t>
      </w:r>
      <w:r>
        <w:rPr>
          <w:rFonts w:ascii="宋体" w:hAnsi="宋体" w:eastAsia="宋体"/>
          <w:color w:val="auto"/>
          <w:kern w:val="28"/>
          <w:sz w:val="28"/>
          <w:szCs w:val="28"/>
          <w:vertAlign w:val="subscript"/>
        </w:rPr>
        <w:t>2</w:t>
      </w:r>
      <w:r>
        <w:rPr>
          <w:rFonts w:ascii="宋体" w:hAnsi="宋体" w:eastAsia="宋体"/>
          <w:color w:val="auto"/>
          <w:spacing w:val="20"/>
          <w:sz w:val="28"/>
          <w:szCs w:val="28"/>
        </w:rPr>
        <w:t>×</w:t>
      </w:r>
      <w:r>
        <w:rPr>
          <w:rFonts w:hint="eastAsia" w:ascii="宋体" w:hAnsi="宋体" w:eastAsia="宋体"/>
          <w:color w:val="auto"/>
          <w:kern w:val="28"/>
          <w:sz w:val="28"/>
          <w:szCs w:val="28"/>
        </w:rPr>
        <w:t>C</w:t>
      </w:r>
      <w:r>
        <w:rPr>
          <w:rFonts w:ascii="宋体" w:hAnsi="宋体" w:eastAsia="宋体"/>
          <w:color w:val="auto"/>
          <w:kern w:val="28"/>
          <w:sz w:val="28"/>
          <w:szCs w:val="28"/>
          <w:vertAlign w:val="subscript"/>
        </w:rPr>
        <w:t>3</w:t>
      </w:r>
      <w:r>
        <w:rPr>
          <w:rFonts w:ascii="宋体" w:hAnsi="宋体" w:eastAsia="宋体"/>
          <w:color w:val="auto"/>
          <w:spacing w:val="20"/>
          <w:sz w:val="28"/>
          <w:szCs w:val="28"/>
        </w:rPr>
        <w:t>，各单元的结果分别列于表中(生产单元火灾爆炸危险指数表)。分析过程如下。</w:t>
      </w:r>
    </w:p>
    <w:p>
      <w:pPr>
        <w:spacing w:afterLines="30" w:line="560" w:lineRule="exact"/>
        <w:jc w:val="center"/>
        <w:rPr>
          <w:rFonts w:ascii="宋体" w:hAnsi="宋体" w:eastAsia="宋体"/>
          <w:b/>
          <w:color w:val="auto"/>
        </w:rPr>
      </w:pPr>
      <w:r>
        <w:rPr>
          <w:rFonts w:hint="eastAsia" w:ascii="宋体" w:hAnsi="宋体" w:eastAsia="宋体"/>
          <w:b/>
          <w:color w:val="auto"/>
        </w:rPr>
        <w:t>附件表2-</w:t>
      </w:r>
      <w:r>
        <w:rPr>
          <w:rFonts w:hint="eastAsia" w:ascii="宋体" w:hAnsi="宋体" w:eastAsia="宋体"/>
          <w:b/>
          <w:color w:val="auto"/>
          <w:lang w:eastAsia="zh-CN"/>
        </w:rPr>
        <w:t>10</w:t>
      </w:r>
      <w:r>
        <w:rPr>
          <w:rFonts w:hint="eastAsia" w:ascii="宋体" w:hAnsi="宋体" w:eastAsia="宋体"/>
          <w:b/>
          <w:color w:val="auto"/>
        </w:rPr>
        <w:t>评价单元火灾爆炸危险指数表</w:t>
      </w:r>
    </w:p>
    <w:tbl>
      <w:tblPr>
        <w:tblStyle w:val="45"/>
        <w:tblW w:w="5000" w:type="pct"/>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4247"/>
        <w:gridCol w:w="1098"/>
        <w:gridCol w:w="4049"/>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147"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项 目</w:t>
            </w:r>
          </w:p>
        </w:tc>
        <w:tc>
          <w:tcPr>
            <w:tcW w:w="1072"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参数选取</w:t>
            </w:r>
          </w:p>
        </w:tc>
        <w:tc>
          <w:tcPr>
            <w:tcW w:w="3953"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取值说明</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147" w:type="dxa"/>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选取代表性物质</w:t>
            </w:r>
          </w:p>
        </w:tc>
        <w:tc>
          <w:tcPr>
            <w:tcW w:w="1072" w:type="dxa"/>
            <w:vAlign w:val="center"/>
          </w:tcPr>
          <w:p>
            <w:pPr>
              <w:spacing w:line="360" w:lineRule="exact"/>
              <w:jc w:val="center"/>
              <w:rPr>
                <w:rFonts w:ascii="宋体" w:hAnsi="宋体" w:eastAsia="宋体"/>
                <w:color w:val="auto"/>
                <w:sz w:val="21"/>
                <w:szCs w:val="21"/>
                <w:lang w:eastAsia="zh-CN"/>
              </w:rPr>
            </w:pPr>
            <w:r>
              <w:rPr>
                <w:rFonts w:hint="eastAsia" w:ascii="宋体" w:hAnsi="宋体" w:eastAsia="宋体"/>
                <w:color w:val="auto"/>
                <w:sz w:val="21"/>
                <w:szCs w:val="21"/>
                <w:lang w:eastAsia="zh-CN"/>
              </w:rPr>
              <w:t>二甲苯异构体混合物</w:t>
            </w:r>
          </w:p>
        </w:tc>
        <w:tc>
          <w:tcPr>
            <w:tcW w:w="3953" w:type="dxa"/>
            <w:vAlign w:val="center"/>
          </w:tcPr>
          <w:p>
            <w:pPr>
              <w:spacing w:line="360" w:lineRule="exact"/>
              <w:rPr>
                <w:rFonts w:ascii="宋体" w:hAnsi="宋体" w:eastAsia="宋体"/>
                <w:color w:val="auto"/>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147" w:type="dxa"/>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1、物质系数MF</w:t>
            </w:r>
          </w:p>
        </w:tc>
        <w:tc>
          <w:tcPr>
            <w:tcW w:w="1072"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16</w:t>
            </w:r>
          </w:p>
        </w:tc>
        <w:tc>
          <w:tcPr>
            <w:tcW w:w="3953" w:type="dxa"/>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查美国消防协会推荐的物质系数和特性表，N</w:t>
            </w:r>
            <w:r>
              <w:rPr>
                <w:rFonts w:hint="eastAsia" w:ascii="宋体" w:hAnsi="宋体" w:eastAsia="宋体"/>
                <w:color w:val="auto"/>
                <w:sz w:val="21"/>
                <w:szCs w:val="21"/>
                <w:vertAlign w:val="subscript"/>
              </w:rPr>
              <w:t>F</w:t>
            </w:r>
            <w:r>
              <w:rPr>
                <w:rFonts w:hint="eastAsia" w:ascii="宋体" w:hAnsi="宋体" w:eastAsia="宋体"/>
                <w:color w:val="auto"/>
                <w:sz w:val="21"/>
                <w:szCs w:val="21"/>
              </w:rPr>
              <w:t>=3，N</w:t>
            </w:r>
            <w:r>
              <w:rPr>
                <w:rFonts w:hint="eastAsia" w:ascii="宋体" w:hAnsi="宋体" w:eastAsia="宋体"/>
                <w:color w:val="auto"/>
                <w:sz w:val="21"/>
                <w:szCs w:val="21"/>
                <w:vertAlign w:val="subscript"/>
              </w:rPr>
              <w:t>H</w:t>
            </w:r>
            <w:r>
              <w:rPr>
                <w:rFonts w:hint="eastAsia" w:ascii="宋体" w:hAnsi="宋体" w:eastAsia="宋体"/>
                <w:color w:val="auto"/>
                <w:sz w:val="21"/>
                <w:szCs w:val="21"/>
              </w:rPr>
              <w:t>=2，N</w:t>
            </w:r>
            <w:r>
              <w:rPr>
                <w:rFonts w:hint="eastAsia" w:ascii="宋体" w:hAnsi="宋体" w:eastAsia="宋体"/>
                <w:color w:val="auto"/>
                <w:sz w:val="21"/>
                <w:szCs w:val="21"/>
                <w:vertAlign w:val="subscript"/>
              </w:rPr>
              <w:t>R</w:t>
            </w:r>
            <w:r>
              <w:rPr>
                <w:rFonts w:hint="eastAsia" w:ascii="宋体" w:hAnsi="宋体" w:eastAsia="宋体"/>
                <w:color w:val="auto"/>
                <w:sz w:val="21"/>
                <w:szCs w:val="21"/>
              </w:rPr>
              <w:t>=0。</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9172" w:type="dxa"/>
            <w:gridSpan w:val="3"/>
            <w:vAlign w:val="center"/>
          </w:tcPr>
          <w:p>
            <w:pPr>
              <w:spacing w:line="360" w:lineRule="exact"/>
              <w:rPr>
                <w:rFonts w:ascii="宋体" w:hAnsi="宋体" w:eastAsia="宋体"/>
                <w:b/>
                <w:color w:val="auto"/>
                <w:sz w:val="21"/>
                <w:szCs w:val="21"/>
              </w:rPr>
            </w:pPr>
            <w:r>
              <w:rPr>
                <w:rFonts w:hint="eastAsia" w:ascii="宋体" w:hAnsi="宋体" w:eastAsia="宋体"/>
                <w:b/>
                <w:color w:val="auto"/>
                <w:sz w:val="21"/>
                <w:szCs w:val="21"/>
              </w:rPr>
              <w:t>2、一般工艺危险系数F</w:t>
            </w:r>
            <w:r>
              <w:rPr>
                <w:rFonts w:hint="eastAsia" w:ascii="宋体" w:hAnsi="宋体" w:eastAsia="宋体"/>
                <w:b/>
                <w:color w:val="auto"/>
                <w:sz w:val="21"/>
                <w:szCs w:val="21"/>
                <w:vertAlign w:val="subscript"/>
              </w:rPr>
              <w:t>1</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147" w:type="dxa"/>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基本系数(1.00)</w:t>
            </w:r>
          </w:p>
        </w:tc>
        <w:tc>
          <w:tcPr>
            <w:tcW w:w="1072"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1.00</w:t>
            </w:r>
          </w:p>
        </w:tc>
        <w:tc>
          <w:tcPr>
            <w:tcW w:w="3953" w:type="dxa"/>
            <w:vAlign w:val="center"/>
          </w:tcPr>
          <w:p>
            <w:pPr>
              <w:spacing w:line="360" w:lineRule="exact"/>
              <w:rPr>
                <w:rFonts w:ascii="宋体" w:hAnsi="宋体" w:eastAsia="宋体"/>
                <w:color w:val="auto"/>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rPr>
          <w:trHeight w:val="510" w:hRule="atLeast"/>
          <w:jc w:val="center"/>
        </w:trPr>
        <w:tc>
          <w:tcPr>
            <w:tcW w:w="4147" w:type="dxa"/>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(1)放热化学反应(0.30～1.25)</w:t>
            </w:r>
          </w:p>
        </w:tc>
        <w:tc>
          <w:tcPr>
            <w:tcW w:w="1072"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0.00</w:t>
            </w:r>
          </w:p>
        </w:tc>
        <w:tc>
          <w:tcPr>
            <w:tcW w:w="3953" w:type="dxa"/>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无放热化学反应。</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147" w:type="dxa"/>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(2)吸热反应(0.20～0.40)</w:t>
            </w:r>
          </w:p>
        </w:tc>
        <w:tc>
          <w:tcPr>
            <w:tcW w:w="1072"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0.00</w:t>
            </w:r>
          </w:p>
        </w:tc>
        <w:tc>
          <w:tcPr>
            <w:tcW w:w="3953" w:type="dxa"/>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无吸热化学反应。</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147" w:type="dxa"/>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(3)物料处理与输送(0.25～1.05)</w:t>
            </w:r>
          </w:p>
        </w:tc>
        <w:tc>
          <w:tcPr>
            <w:tcW w:w="1072"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0.85</w:t>
            </w:r>
          </w:p>
        </w:tc>
        <w:tc>
          <w:tcPr>
            <w:tcW w:w="3953" w:type="dxa"/>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N</w:t>
            </w:r>
            <w:r>
              <w:rPr>
                <w:rFonts w:hint="eastAsia" w:ascii="宋体" w:hAnsi="宋体" w:eastAsia="宋体"/>
                <w:color w:val="auto"/>
                <w:sz w:val="21"/>
                <w:szCs w:val="21"/>
                <w:vertAlign w:val="subscript"/>
              </w:rPr>
              <w:t>F</w:t>
            </w:r>
            <w:r>
              <w:rPr>
                <w:rFonts w:hint="eastAsia" w:ascii="宋体" w:hAnsi="宋体" w:eastAsia="宋体"/>
                <w:color w:val="auto"/>
                <w:sz w:val="21"/>
                <w:szCs w:val="21"/>
              </w:rPr>
              <w:t>=3的易燃液体。</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147" w:type="dxa"/>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(4)密闭或室内工艺单元</w:t>
            </w:r>
          </w:p>
          <w:p>
            <w:pPr>
              <w:spacing w:line="360" w:lineRule="exact"/>
              <w:rPr>
                <w:rFonts w:ascii="宋体" w:hAnsi="宋体" w:eastAsia="宋体"/>
                <w:color w:val="auto"/>
                <w:sz w:val="21"/>
                <w:szCs w:val="21"/>
              </w:rPr>
            </w:pPr>
            <w:r>
              <w:rPr>
                <w:rFonts w:hint="eastAsia" w:ascii="宋体" w:hAnsi="宋体" w:eastAsia="宋体"/>
                <w:color w:val="auto"/>
                <w:sz w:val="21"/>
                <w:szCs w:val="21"/>
              </w:rPr>
              <w:t>(0.25～0.90)</w:t>
            </w:r>
          </w:p>
        </w:tc>
        <w:tc>
          <w:tcPr>
            <w:tcW w:w="1072"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0.00</w:t>
            </w:r>
          </w:p>
        </w:tc>
        <w:tc>
          <w:tcPr>
            <w:tcW w:w="3953" w:type="dxa"/>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溶剂不为露天式。</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147" w:type="dxa"/>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(5)通道(0.20～0.35)</w:t>
            </w:r>
          </w:p>
        </w:tc>
        <w:tc>
          <w:tcPr>
            <w:tcW w:w="1072"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0.00</w:t>
            </w:r>
          </w:p>
        </w:tc>
        <w:tc>
          <w:tcPr>
            <w:tcW w:w="3953" w:type="dxa"/>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通道不影响消防通道。</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147" w:type="dxa"/>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(6)排放和泄漏控制(0.25～0.50)</w:t>
            </w:r>
          </w:p>
        </w:tc>
        <w:tc>
          <w:tcPr>
            <w:tcW w:w="1072"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0.50</w:t>
            </w:r>
          </w:p>
        </w:tc>
        <w:tc>
          <w:tcPr>
            <w:tcW w:w="3953" w:type="dxa"/>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周围为可排放泄漏液平坦地，一旦失火，引起火灾。</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147" w:type="dxa"/>
            <w:vAlign w:val="center"/>
          </w:tcPr>
          <w:p>
            <w:pPr>
              <w:spacing w:line="360" w:lineRule="exact"/>
              <w:rPr>
                <w:rFonts w:ascii="宋体" w:hAnsi="宋体" w:eastAsia="宋体"/>
                <w:b/>
                <w:color w:val="auto"/>
                <w:sz w:val="21"/>
                <w:szCs w:val="21"/>
              </w:rPr>
            </w:pPr>
            <w:r>
              <w:rPr>
                <w:rFonts w:hint="eastAsia" w:ascii="宋体" w:hAnsi="宋体" w:eastAsia="宋体"/>
                <w:b/>
                <w:color w:val="auto"/>
                <w:sz w:val="21"/>
                <w:szCs w:val="21"/>
              </w:rPr>
              <w:t>确定一般工艺危险系数(F</w:t>
            </w:r>
            <w:r>
              <w:rPr>
                <w:rFonts w:hint="eastAsia" w:ascii="宋体" w:hAnsi="宋体" w:eastAsia="宋体"/>
                <w:b/>
                <w:color w:val="auto"/>
                <w:sz w:val="21"/>
                <w:szCs w:val="21"/>
                <w:vertAlign w:val="subscript"/>
              </w:rPr>
              <w:t>1</w:t>
            </w:r>
            <w:r>
              <w:rPr>
                <w:rFonts w:hint="eastAsia" w:ascii="宋体" w:hAnsi="宋体" w:eastAsia="宋体"/>
                <w:b/>
                <w:color w:val="auto"/>
                <w:sz w:val="21"/>
                <w:szCs w:val="21"/>
              </w:rPr>
              <w:t>)</w:t>
            </w:r>
          </w:p>
        </w:tc>
        <w:tc>
          <w:tcPr>
            <w:tcW w:w="1072" w:type="dxa"/>
            <w:vAlign w:val="center"/>
          </w:tcPr>
          <w:p>
            <w:pPr>
              <w:spacing w:line="360" w:lineRule="exact"/>
              <w:jc w:val="center"/>
              <w:rPr>
                <w:rFonts w:ascii="宋体" w:hAnsi="宋体" w:eastAsia="宋体"/>
                <w:b/>
                <w:color w:val="auto"/>
                <w:sz w:val="21"/>
                <w:szCs w:val="21"/>
              </w:rPr>
            </w:pPr>
            <w:r>
              <w:rPr>
                <w:rFonts w:hint="eastAsia" w:ascii="宋体" w:hAnsi="宋体" w:eastAsia="宋体"/>
                <w:b/>
                <w:color w:val="auto"/>
                <w:sz w:val="21"/>
                <w:szCs w:val="21"/>
              </w:rPr>
              <w:t>2.35</w:t>
            </w:r>
          </w:p>
        </w:tc>
        <w:tc>
          <w:tcPr>
            <w:tcW w:w="3953" w:type="dxa"/>
            <w:vAlign w:val="center"/>
          </w:tcPr>
          <w:p>
            <w:pPr>
              <w:spacing w:line="360" w:lineRule="exact"/>
              <w:rPr>
                <w:rFonts w:ascii="宋体" w:hAnsi="宋体" w:eastAsia="宋体"/>
                <w:b/>
                <w:color w:val="auto"/>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9172" w:type="dxa"/>
            <w:gridSpan w:val="3"/>
            <w:vAlign w:val="center"/>
          </w:tcPr>
          <w:p>
            <w:pPr>
              <w:spacing w:line="360" w:lineRule="exact"/>
              <w:rPr>
                <w:rFonts w:ascii="宋体" w:hAnsi="宋体" w:eastAsia="宋体"/>
                <w:b/>
                <w:color w:val="auto"/>
                <w:sz w:val="21"/>
                <w:szCs w:val="21"/>
              </w:rPr>
            </w:pPr>
            <w:r>
              <w:rPr>
                <w:rFonts w:hint="eastAsia" w:ascii="宋体" w:hAnsi="宋体" w:eastAsia="宋体"/>
                <w:b/>
                <w:color w:val="auto"/>
                <w:sz w:val="21"/>
                <w:szCs w:val="21"/>
              </w:rPr>
              <w:t>3、特殊工艺危险系数F</w:t>
            </w:r>
            <w:r>
              <w:rPr>
                <w:rFonts w:hint="eastAsia" w:ascii="宋体" w:hAnsi="宋体" w:eastAsia="宋体"/>
                <w:b/>
                <w:color w:val="auto"/>
                <w:sz w:val="21"/>
                <w:szCs w:val="21"/>
                <w:vertAlign w:val="subscript"/>
              </w:rPr>
              <w:t>2</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147" w:type="dxa"/>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基本系数(1.00)</w:t>
            </w:r>
          </w:p>
        </w:tc>
        <w:tc>
          <w:tcPr>
            <w:tcW w:w="1072"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1.00</w:t>
            </w:r>
          </w:p>
        </w:tc>
        <w:tc>
          <w:tcPr>
            <w:tcW w:w="3953" w:type="dxa"/>
            <w:vAlign w:val="center"/>
          </w:tcPr>
          <w:p>
            <w:pPr>
              <w:spacing w:line="360" w:lineRule="exact"/>
              <w:rPr>
                <w:rFonts w:ascii="宋体" w:hAnsi="宋体" w:eastAsia="宋体"/>
                <w:color w:val="auto"/>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147" w:type="dxa"/>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(1)毒性物质(0.20～0.80)</w:t>
            </w:r>
          </w:p>
        </w:tc>
        <w:tc>
          <w:tcPr>
            <w:tcW w:w="1072"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0.40</w:t>
            </w:r>
          </w:p>
        </w:tc>
        <w:tc>
          <w:tcPr>
            <w:tcW w:w="3953" w:type="dxa"/>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N</w:t>
            </w:r>
            <w:r>
              <w:rPr>
                <w:rFonts w:hint="eastAsia" w:ascii="宋体" w:hAnsi="宋体" w:eastAsia="宋体"/>
                <w:color w:val="auto"/>
                <w:sz w:val="21"/>
                <w:szCs w:val="21"/>
                <w:vertAlign w:val="subscript"/>
              </w:rPr>
              <w:t>H</w:t>
            </w:r>
            <w:r>
              <w:rPr>
                <w:rFonts w:hint="eastAsia" w:ascii="宋体" w:hAnsi="宋体" w:eastAsia="宋体"/>
                <w:color w:val="auto"/>
                <w:sz w:val="21"/>
                <w:szCs w:val="21"/>
              </w:rPr>
              <w:t>=2，短期接触引起刺激、轻微伤害。</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147" w:type="dxa"/>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(2)负压操作(0.5)</w:t>
            </w:r>
          </w:p>
        </w:tc>
        <w:tc>
          <w:tcPr>
            <w:tcW w:w="1072"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0.00</w:t>
            </w:r>
          </w:p>
        </w:tc>
        <w:tc>
          <w:tcPr>
            <w:tcW w:w="3953" w:type="dxa"/>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常压操作。</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147" w:type="dxa"/>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(3)易燃范围或接近易燃范围的操作(0.30～0.80)</w:t>
            </w:r>
          </w:p>
        </w:tc>
        <w:tc>
          <w:tcPr>
            <w:tcW w:w="1072"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0.50</w:t>
            </w:r>
          </w:p>
        </w:tc>
        <w:tc>
          <w:tcPr>
            <w:tcW w:w="3953" w:type="dxa"/>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贮有可燃液体，其温度在闭杯闪点以上且无惰性气体保护。</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147" w:type="dxa"/>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(4)粉尘爆炸(0.25～2.00)</w:t>
            </w:r>
          </w:p>
        </w:tc>
        <w:tc>
          <w:tcPr>
            <w:tcW w:w="1072"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0.00</w:t>
            </w:r>
          </w:p>
        </w:tc>
        <w:tc>
          <w:tcPr>
            <w:tcW w:w="3953" w:type="dxa"/>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无粉尘爆炸。</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147" w:type="dxa"/>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(5)压力释放(0～1.5)</w:t>
            </w:r>
          </w:p>
        </w:tc>
        <w:tc>
          <w:tcPr>
            <w:tcW w:w="1072"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0.00</w:t>
            </w:r>
          </w:p>
        </w:tc>
        <w:tc>
          <w:tcPr>
            <w:tcW w:w="3953" w:type="dxa"/>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147" w:type="dxa"/>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(6)低温(0.2～0.3)</w:t>
            </w:r>
          </w:p>
        </w:tc>
        <w:tc>
          <w:tcPr>
            <w:tcW w:w="1072"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0.00</w:t>
            </w:r>
          </w:p>
        </w:tc>
        <w:tc>
          <w:tcPr>
            <w:tcW w:w="3953" w:type="dxa"/>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正常操作和异常情况下的操作温度均不低于转变温度。</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147" w:type="dxa"/>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(7)易燃及不稳定物质的质量(0.15～3)</w:t>
            </w:r>
          </w:p>
        </w:tc>
        <w:tc>
          <w:tcPr>
            <w:tcW w:w="1072"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0.60</w:t>
            </w:r>
          </w:p>
        </w:tc>
        <w:tc>
          <w:tcPr>
            <w:tcW w:w="3953" w:type="dxa"/>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仓库中甲苯的日常最大储量约为78.7t。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147" w:type="dxa"/>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(8)腐蚀与磨损(0.10～0.75)</w:t>
            </w:r>
          </w:p>
        </w:tc>
        <w:tc>
          <w:tcPr>
            <w:tcW w:w="1072"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0.10</w:t>
            </w:r>
          </w:p>
        </w:tc>
        <w:tc>
          <w:tcPr>
            <w:tcW w:w="3953" w:type="dxa"/>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腐蚀速率＜0.127mm/a。</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147" w:type="dxa"/>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(9)泄漏(0.10～1.50)</w:t>
            </w:r>
          </w:p>
        </w:tc>
        <w:tc>
          <w:tcPr>
            <w:tcW w:w="1072"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0.10</w:t>
            </w:r>
          </w:p>
        </w:tc>
        <w:tc>
          <w:tcPr>
            <w:tcW w:w="3953" w:type="dxa"/>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泵和压盖密封处可能产生轻微泄漏。</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147" w:type="dxa"/>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(10)使用明火设备(0.10～1.00)</w:t>
            </w:r>
          </w:p>
        </w:tc>
        <w:tc>
          <w:tcPr>
            <w:tcW w:w="1072"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0.00</w:t>
            </w:r>
          </w:p>
        </w:tc>
        <w:tc>
          <w:tcPr>
            <w:tcW w:w="3953" w:type="dxa"/>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无明火设备。</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147" w:type="dxa"/>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(11)热油交换系统(0.15～1.15)</w:t>
            </w:r>
          </w:p>
        </w:tc>
        <w:tc>
          <w:tcPr>
            <w:tcW w:w="1072"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0.00</w:t>
            </w:r>
          </w:p>
        </w:tc>
        <w:tc>
          <w:tcPr>
            <w:tcW w:w="3953" w:type="dxa"/>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无热油交换系统。</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147" w:type="dxa"/>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(12)转动设备(0.5)</w:t>
            </w:r>
          </w:p>
        </w:tc>
        <w:tc>
          <w:tcPr>
            <w:tcW w:w="1072"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0.00</w:t>
            </w:r>
          </w:p>
        </w:tc>
        <w:tc>
          <w:tcPr>
            <w:tcW w:w="3953" w:type="dxa"/>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无大型转动设备。</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147" w:type="dxa"/>
            <w:vAlign w:val="center"/>
          </w:tcPr>
          <w:p>
            <w:pPr>
              <w:spacing w:line="360" w:lineRule="exact"/>
              <w:rPr>
                <w:rFonts w:ascii="宋体" w:hAnsi="宋体" w:eastAsia="宋体"/>
                <w:b/>
                <w:color w:val="auto"/>
                <w:sz w:val="21"/>
                <w:szCs w:val="21"/>
              </w:rPr>
            </w:pPr>
            <w:r>
              <w:rPr>
                <w:rFonts w:hint="eastAsia" w:ascii="宋体" w:hAnsi="宋体" w:eastAsia="宋体"/>
                <w:b/>
                <w:color w:val="auto"/>
                <w:sz w:val="21"/>
                <w:szCs w:val="21"/>
              </w:rPr>
              <w:t>特殊工艺危险系数(F</w:t>
            </w:r>
            <w:r>
              <w:rPr>
                <w:rFonts w:hint="eastAsia" w:ascii="宋体" w:hAnsi="宋体" w:eastAsia="宋体"/>
                <w:b/>
                <w:color w:val="auto"/>
                <w:sz w:val="21"/>
                <w:szCs w:val="21"/>
                <w:vertAlign w:val="subscript"/>
              </w:rPr>
              <w:t>2</w:t>
            </w:r>
            <w:r>
              <w:rPr>
                <w:rFonts w:hint="eastAsia" w:ascii="宋体" w:hAnsi="宋体" w:eastAsia="宋体"/>
                <w:b/>
                <w:color w:val="auto"/>
                <w:sz w:val="21"/>
                <w:szCs w:val="21"/>
              </w:rPr>
              <w:t>)</w:t>
            </w:r>
          </w:p>
        </w:tc>
        <w:tc>
          <w:tcPr>
            <w:tcW w:w="1072" w:type="dxa"/>
            <w:vAlign w:val="center"/>
          </w:tcPr>
          <w:p>
            <w:pPr>
              <w:spacing w:line="360" w:lineRule="exact"/>
              <w:jc w:val="center"/>
              <w:rPr>
                <w:rFonts w:ascii="宋体" w:hAnsi="宋体" w:eastAsia="宋体"/>
                <w:b/>
                <w:color w:val="auto"/>
                <w:sz w:val="21"/>
                <w:szCs w:val="21"/>
              </w:rPr>
            </w:pPr>
            <w:r>
              <w:rPr>
                <w:rFonts w:hint="eastAsia" w:ascii="宋体" w:hAnsi="宋体" w:eastAsia="宋体"/>
                <w:b/>
                <w:color w:val="auto"/>
                <w:sz w:val="21"/>
                <w:szCs w:val="21"/>
              </w:rPr>
              <w:t>2.7</w:t>
            </w:r>
          </w:p>
        </w:tc>
        <w:tc>
          <w:tcPr>
            <w:tcW w:w="3953" w:type="dxa"/>
            <w:vAlign w:val="center"/>
          </w:tcPr>
          <w:p>
            <w:pPr>
              <w:spacing w:line="360" w:lineRule="exact"/>
              <w:rPr>
                <w:rFonts w:ascii="宋体" w:hAnsi="宋体" w:eastAsia="宋体"/>
                <w:b/>
                <w:color w:val="auto"/>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147" w:type="dxa"/>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单元工艺危险系数F</w:t>
            </w:r>
            <w:r>
              <w:rPr>
                <w:rFonts w:hint="eastAsia" w:ascii="宋体" w:hAnsi="宋体" w:eastAsia="宋体"/>
                <w:color w:val="auto"/>
                <w:sz w:val="21"/>
                <w:szCs w:val="21"/>
                <w:vertAlign w:val="subscript"/>
              </w:rPr>
              <w:t>3</w:t>
            </w:r>
            <w:r>
              <w:rPr>
                <w:rFonts w:hint="eastAsia" w:ascii="宋体" w:hAnsi="宋体" w:eastAsia="宋体"/>
                <w:color w:val="auto"/>
                <w:sz w:val="21"/>
                <w:szCs w:val="21"/>
              </w:rPr>
              <w:t>=F</w:t>
            </w:r>
            <w:r>
              <w:rPr>
                <w:rFonts w:hint="eastAsia" w:ascii="宋体" w:hAnsi="宋体" w:eastAsia="宋体"/>
                <w:color w:val="auto"/>
                <w:sz w:val="21"/>
                <w:szCs w:val="21"/>
                <w:vertAlign w:val="subscript"/>
              </w:rPr>
              <w:t>1</w:t>
            </w:r>
            <w:r>
              <w:rPr>
                <w:rFonts w:hint="eastAsia" w:ascii="宋体" w:hAnsi="宋体" w:eastAsia="宋体"/>
                <w:color w:val="auto"/>
                <w:sz w:val="21"/>
                <w:szCs w:val="21"/>
              </w:rPr>
              <w:t>×F</w:t>
            </w:r>
            <w:r>
              <w:rPr>
                <w:rFonts w:hint="eastAsia" w:ascii="宋体" w:hAnsi="宋体" w:eastAsia="宋体"/>
                <w:color w:val="auto"/>
                <w:sz w:val="21"/>
                <w:szCs w:val="21"/>
                <w:vertAlign w:val="subscript"/>
              </w:rPr>
              <w:t>2</w:t>
            </w:r>
          </w:p>
        </w:tc>
        <w:tc>
          <w:tcPr>
            <w:tcW w:w="1072"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6.345</w:t>
            </w:r>
          </w:p>
        </w:tc>
        <w:tc>
          <w:tcPr>
            <w:tcW w:w="3953" w:type="dxa"/>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F</w:t>
            </w:r>
            <w:r>
              <w:rPr>
                <w:rFonts w:hint="eastAsia" w:ascii="宋体" w:hAnsi="宋体" w:eastAsia="宋体"/>
                <w:color w:val="auto"/>
                <w:sz w:val="21"/>
                <w:szCs w:val="21"/>
                <w:vertAlign w:val="subscript"/>
              </w:rPr>
              <w:t>3</w:t>
            </w:r>
            <w:r>
              <w:rPr>
                <w:rFonts w:hint="eastAsia" w:ascii="宋体" w:hAnsi="宋体" w:eastAsia="宋体"/>
                <w:color w:val="auto"/>
                <w:sz w:val="21"/>
                <w:szCs w:val="21"/>
              </w:rPr>
              <w:t>=F</w:t>
            </w:r>
            <w:r>
              <w:rPr>
                <w:rFonts w:hint="eastAsia" w:ascii="宋体" w:hAnsi="宋体" w:eastAsia="宋体"/>
                <w:color w:val="auto"/>
                <w:sz w:val="21"/>
                <w:szCs w:val="21"/>
                <w:vertAlign w:val="subscript"/>
              </w:rPr>
              <w:t>1</w:t>
            </w:r>
            <w:r>
              <w:rPr>
                <w:rFonts w:hint="eastAsia" w:ascii="宋体" w:hAnsi="宋体" w:eastAsia="宋体"/>
                <w:color w:val="auto"/>
                <w:sz w:val="21"/>
                <w:szCs w:val="21"/>
              </w:rPr>
              <w:t>×F</w:t>
            </w:r>
            <w:r>
              <w:rPr>
                <w:rFonts w:hint="eastAsia" w:ascii="宋体" w:hAnsi="宋体" w:eastAsia="宋体"/>
                <w:color w:val="auto"/>
                <w:sz w:val="21"/>
                <w:szCs w:val="21"/>
                <w:vertAlign w:val="subscript"/>
              </w:rPr>
              <w:t>2</w:t>
            </w:r>
            <w:r>
              <w:rPr>
                <w:rFonts w:hint="eastAsia" w:ascii="宋体" w:hAnsi="宋体" w:eastAsia="宋体"/>
                <w:color w:val="auto"/>
                <w:sz w:val="21"/>
                <w:szCs w:val="21"/>
              </w:rPr>
              <w:t>=2.35×2.7=6.345。</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147" w:type="dxa"/>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火灾爆炸危险指数F&amp;EI=F</w:t>
            </w:r>
            <w:r>
              <w:rPr>
                <w:rFonts w:hint="eastAsia" w:ascii="宋体" w:hAnsi="宋体" w:eastAsia="宋体"/>
                <w:color w:val="auto"/>
                <w:sz w:val="21"/>
                <w:szCs w:val="21"/>
                <w:vertAlign w:val="subscript"/>
              </w:rPr>
              <w:t>3</w:t>
            </w:r>
            <w:r>
              <w:rPr>
                <w:rFonts w:hint="eastAsia" w:ascii="宋体" w:hAnsi="宋体" w:eastAsia="宋体"/>
                <w:color w:val="auto"/>
                <w:sz w:val="21"/>
                <w:szCs w:val="21"/>
              </w:rPr>
              <w:t>×MF</w:t>
            </w:r>
          </w:p>
        </w:tc>
        <w:tc>
          <w:tcPr>
            <w:tcW w:w="1072"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101.52</w:t>
            </w:r>
          </w:p>
        </w:tc>
        <w:tc>
          <w:tcPr>
            <w:tcW w:w="3953" w:type="dxa"/>
            <w:vAlign w:val="center"/>
          </w:tcPr>
          <w:p>
            <w:pPr>
              <w:spacing w:line="360" w:lineRule="exact"/>
              <w:rPr>
                <w:rFonts w:ascii="宋体" w:hAnsi="宋体" w:eastAsia="宋体"/>
                <w:color w:val="auto"/>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147" w:type="dxa"/>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潜在火灾爆炸危险等级</w:t>
            </w:r>
          </w:p>
        </w:tc>
        <w:tc>
          <w:tcPr>
            <w:tcW w:w="1072"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中等</w:t>
            </w:r>
          </w:p>
        </w:tc>
        <w:tc>
          <w:tcPr>
            <w:tcW w:w="3953" w:type="dxa"/>
            <w:vAlign w:val="center"/>
          </w:tcPr>
          <w:p>
            <w:pPr>
              <w:spacing w:line="360" w:lineRule="exact"/>
              <w:rPr>
                <w:rFonts w:ascii="宋体" w:hAnsi="宋体" w:eastAsia="宋体"/>
                <w:color w:val="auto"/>
                <w:sz w:val="21"/>
                <w:szCs w:val="21"/>
              </w:rPr>
            </w:pPr>
          </w:p>
        </w:tc>
      </w:tr>
    </w:tbl>
    <w:p>
      <w:pPr>
        <w:spacing w:afterLines="30" w:line="560" w:lineRule="exact"/>
        <w:jc w:val="center"/>
        <w:rPr>
          <w:rFonts w:ascii="宋体" w:hAnsi="宋体" w:eastAsia="宋体"/>
          <w:b/>
          <w:color w:val="auto"/>
        </w:rPr>
      </w:pPr>
      <w:r>
        <w:rPr>
          <w:rFonts w:hint="eastAsia" w:ascii="宋体" w:hAnsi="宋体" w:eastAsia="宋体"/>
          <w:b/>
          <w:color w:val="auto"/>
        </w:rPr>
        <w:t>附件表2-</w:t>
      </w:r>
      <w:r>
        <w:rPr>
          <w:rFonts w:hint="eastAsia" w:ascii="宋体" w:hAnsi="宋体" w:eastAsia="宋体"/>
          <w:b/>
          <w:color w:val="auto"/>
          <w:lang w:eastAsia="zh-CN"/>
        </w:rPr>
        <w:t>11</w:t>
      </w:r>
      <w:r>
        <w:rPr>
          <w:rFonts w:hint="eastAsia" w:ascii="宋体" w:hAnsi="宋体" w:eastAsia="宋体"/>
          <w:b/>
          <w:color w:val="auto"/>
        </w:rPr>
        <w:t>评价单元火灾爆炸危险指数表</w:t>
      </w:r>
    </w:p>
    <w:tbl>
      <w:tblPr>
        <w:tblStyle w:val="45"/>
        <w:tblW w:w="5000" w:type="pct"/>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4284"/>
        <w:gridCol w:w="1310"/>
        <w:gridCol w:w="3800"/>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147"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项 目</w:t>
            </w:r>
          </w:p>
        </w:tc>
        <w:tc>
          <w:tcPr>
            <w:tcW w:w="1268"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参数选取</w:t>
            </w:r>
          </w:p>
        </w:tc>
        <w:tc>
          <w:tcPr>
            <w:tcW w:w="3678"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选取理由</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147" w:type="dxa"/>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代表性物质</w:t>
            </w:r>
          </w:p>
        </w:tc>
        <w:tc>
          <w:tcPr>
            <w:tcW w:w="1268"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lang w:eastAsia="zh-CN"/>
              </w:rPr>
              <w:t>二甲苯异构体混合物</w:t>
            </w:r>
          </w:p>
        </w:tc>
        <w:tc>
          <w:tcPr>
            <w:tcW w:w="3678" w:type="dxa"/>
            <w:vAlign w:val="center"/>
          </w:tcPr>
          <w:p>
            <w:pPr>
              <w:spacing w:line="360" w:lineRule="exact"/>
              <w:rPr>
                <w:rFonts w:ascii="宋体" w:hAnsi="宋体" w:eastAsia="宋体"/>
                <w:color w:val="auto"/>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147" w:type="dxa"/>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1工艺控制安全补偿系数C</w:t>
            </w:r>
            <w:r>
              <w:rPr>
                <w:rFonts w:hint="eastAsia" w:ascii="宋体" w:hAnsi="宋体" w:eastAsia="宋体"/>
                <w:color w:val="auto"/>
                <w:sz w:val="21"/>
                <w:szCs w:val="21"/>
                <w:vertAlign w:val="subscript"/>
              </w:rPr>
              <w:t>1</w:t>
            </w:r>
          </w:p>
        </w:tc>
        <w:tc>
          <w:tcPr>
            <w:tcW w:w="1268" w:type="dxa"/>
            <w:vAlign w:val="center"/>
          </w:tcPr>
          <w:p>
            <w:pPr>
              <w:spacing w:line="360" w:lineRule="exact"/>
              <w:jc w:val="center"/>
              <w:rPr>
                <w:rFonts w:ascii="宋体" w:hAnsi="宋体" w:eastAsia="宋体"/>
                <w:color w:val="auto"/>
                <w:sz w:val="21"/>
                <w:szCs w:val="21"/>
              </w:rPr>
            </w:pPr>
          </w:p>
        </w:tc>
        <w:tc>
          <w:tcPr>
            <w:tcW w:w="3678" w:type="dxa"/>
            <w:vAlign w:val="center"/>
          </w:tcPr>
          <w:p>
            <w:pPr>
              <w:spacing w:line="360" w:lineRule="exact"/>
              <w:rPr>
                <w:rFonts w:ascii="宋体" w:hAnsi="宋体" w:eastAsia="宋体"/>
                <w:color w:val="auto"/>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147" w:type="dxa"/>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(1)应急电源(0.98)</w:t>
            </w:r>
          </w:p>
        </w:tc>
        <w:tc>
          <w:tcPr>
            <w:tcW w:w="1268"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1.00</w:t>
            </w:r>
          </w:p>
        </w:tc>
        <w:tc>
          <w:tcPr>
            <w:tcW w:w="3678" w:type="dxa"/>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无应急电源。</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147" w:type="dxa"/>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(2)冷却装置(0.97～0.99)</w:t>
            </w:r>
          </w:p>
        </w:tc>
        <w:tc>
          <w:tcPr>
            <w:tcW w:w="1268"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1.00</w:t>
            </w:r>
          </w:p>
        </w:tc>
        <w:tc>
          <w:tcPr>
            <w:tcW w:w="3678" w:type="dxa"/>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无冷却装置。</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147" w:type="dxa"/>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(3)抑爆装置(0.84～0.98)</w:t>
            </w:r>
          </w:p>
        </w:tc>
        <w:tc>
          <w:tcPr>
            <w:tcW w:w="1268"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1.00</w:t>
            </w:r>
          </w:p>
        </w:tc>
        <w:tc>
          <w:tcPr>
            <w:tcW w:w="3678" w:type="dxa"/>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无防爆膜或泄爆口。</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147" w:type="dxa"/>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(4)紧急切断装置(0.96～0.99)</w:t>
            </w:r>
          </w:p>
        </w:tc>
        <w:tc>
          <w:tcPr>
            <w:tcW w:w="1268"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1.00</w:t>
            </w:r>
          </w:p>
        </w:tc>
        <w:tc>
          <w:tcPr>
            <w:tcW w:w="3678" w:type="dxa"/>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无紧急切断装置。</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147" w:type="dxa"/>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(5)计算机控制(0.93～0.99)</w:t>
            </w:r>
          </w:p>
        </w:tc>
        <w:tc>
          <w:tcPr>
            <w:tcW w:w="1268"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1.00</w:t>
            </w:r>
          </w:p>
        </w:tc>
        <w:tc>
          <w:tcPr>
            <w:tcW w:w="3678" w:type="dxa"/>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无信息系统。</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147" w:type="dxa"/>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(6)惰性气体保护(0.94～0.96)</w:t>
            </w:r>
          </w:p>
        </w:tc>
        <w:tc>
          <w:tcPr>
            <w:tcW w:w="1268"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1.00</w:t>
            </w:r>
          </w:p>
        </w:tc>
        <w:tc>
          <w:tcPr>
            <w:tcW w:w="3678" w:type="dxa"/>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无惰性气体保护。</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147" w:type="dxa"/>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(7)操作规程/程序(0.91～0.99)</w:t>
            </w:r>
          </w:p>
        </w:tc>
        <w:tc>
          <w:tcPr>
            <w:tcW w:w="1268"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0.95</w:t>
            </w:r>
          </w:p>
        </w:tc>
        <w:tc>
          <w:tcPr>
            <w:tcW w:w="3678" w:type="dxa"/>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制定了严格完善的操作规程。</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147" w:type="dxa"/>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(8)化学活泼性物质检查(0.91～0.98)</w:t>
            </w:r>
          </w:p>
        </w:tc>
        <w:tc>
          <w:tcPr>
            <w:tcW w:w="1268"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1.00</w:t>
            </w:r>
          </w:p>
        </w:tc>
        <w:tc>
          <w:tcPr>
            <w:tcW w:w="3678" w:type="dxa"/>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无活性物质检查。</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147" w:type="dxa"/>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(9)其他工艺危险分析(0.91～0.98)</w:t>
            </w:r>
          </w:p>
        </w:tc>
        <w:tc>
          <w:tcPr>
            <w:tcW w:w="1268"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0.98</w:t>
            </w:r>
          </w:p>
        </w:tc>
        <w:tc>
          <w:tcPr>
            <w:tcW w:w="3678" w:type="dxa"/>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有用检查表法评价。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147" w:type="dxa"/>
            <w:vAlign w:val="center"/>
          </w:tcPr>
          <w:p>
            <w:pPr>
              <w:spacing w:line="360" w:lineRule="exact"/>
              <w:rPr>
                <w:rFonts w:ascii="宋体" w:hAnsi="宋体" w:eastAsia="宋体"/>
                <w:b/>
                <w:color w:val="auto"/>
                <w:sz w:val="21"/>
                <w:szCs w:val="21"/>
              </w:rPr>
            </w:pPr>
            <w:r>
              <w:rPr>
                <w:rFonts w:hint="eastAsia" w:ascii="宋体" w:hAnsi="宋体" w:eastAsia="宋体"/>
                <w:b/>
                <w:color w:val="auto"/>
                <w:sz w:val="21"/>
                <w:szCs w:val="21"/>
              </w:rPr>
              <w:t>C</w:t>
            </w:r>
            <w:r>
              <w:rPr>
                <w:rFonts w:hint="eastAsia" w:ascii="宋体" w:hAnsi="宋体" w:eastAsia="宋体"/>
                <w:b/>
                <w:color w:val="auto"/>
                <w:sz w:val="21"/>
                <w:szCs w:val="21"/>
                <w:vertAlign w:val="subscript"/>
              </w:rPr>
              <w:t>1</w:t>
            </w:r>
            <w:r>
              <w:rPr>
                <w:rFonts w:hint="eastAsia" w:ascii="宋体" w:hAnsi="宋体" w:eastAsia="宋体"/>
                <w:b/>
                <w:color w:val="auto"/>
                <w:sz w:val="21"/>
                <w:szCs w:val="21"/>
              </w:rPr>
              <w:t>=(1)～(9)各系数的乘积</w:t>
            </w:r>
          </w:p>
        </w:tc>
        <w:tc>
          <w:tcPr>
            <w:tcW w:w="1268" w:type="dxa"/>
            <w:vAlign w:val="center"/>
          </w:tcPr>
          <w:p>
            <w:pPr>
              <w:spacing w:line="360" w:lineRule="exact"/>
              <w:jc w:val="center"/>
              <w:rPr>
                <w:rFonts w:ascii="宋体" w:hAnsi="宋体" w:eastAsia="宋体"/>
                <w:b/>
                <w:color w:val="auto"/>
                <w:sz w:val="21"/>
                <w:szCs w:val="21"/>
              </w:rPr>
            </w:pPr>
            <w:r>
              <w:rPr>
                <w:rFonts w:hint="eastAsia" w:ascii="宋体" w:hAnsi="宋体" w:eastAsia="宋体"/>
                <w:b/>
                <w:color w:val="auto"/>
                <w:sz w:val="21"/>
                <w:szCs w:val="21"/>
              </w:rPr>
              <w:t>0.93</w:t>
            </w:r>
          </w:p>
        </w:tc>
        <w:tc>
          <w:tcPr>
            <w:tcW w:w="3678" w:type="dxa"/>
            <w:vAlign w:val="center"/>
          </w:tcPr>
          <w:p>
            <w:pPr>
              <w:spacing w:line="360" w:lineRule="exact"/>
              <w:rPr>
                <w:rFonts w:ascii="宋体" w:hAnsi="宋体" w:eastAsia="宋体"/>
                <w:b/>
                <w:color w:val="auto"/>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147" w:type="dxa"/>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2、物质隔离安全补偿系数C</w:t>
            </w:r>
            <w:r>
              <w:rPr>
                <w:rFonts w:hint="eastAsia" w:ascii="宋体" w:hAnsi="宋体" w:eastAsia="宋体"/>
                <w:color w:val="auto"/>
                <w:sz w:val="21"/>
                <w:szCs w:val="21"/>
                <w:vertAlign w:val="subscript"/>
              </w:rPr>
              <w:t>2</w:t>
            </w:r>
          </w:p>
        </w:tc>
        <w:tc>
          <w:tcPr>
            <w:tcW w:w="1268" w:type="dxa"/>
            <w:vAlign w:val="center"/>
          </w:tcPr>
          <w:p>
            <w:pPr>
              <w:spacing w:line="360" w:lineRule="exact"/>
              <w:jc w:val="center"/>
              <w:rPr>
                <w:rFonts w:ascii="宋体" w:hAnsi="宋体" w:eastAsia="宋体"/>
                <w:color w:val="auto"/>
                <w:sz w:val="21"/>
                <w:szCs w:val="21"/>
              </w:rPr>
            </w:pPr>
          </w:p>
        </w:tc>
        <w:tc>
          <w:tcPr>
            <w:tcW w:w="3678" w:type="dxa"/>
            <w:vAlign w:val="center"/>
          </w:tcPr>
          <w:p>
            <w:pPr>
              <w:spacing w:line="360" w:lineRule="exact"/>
              <w:rPr>
                <w:rFonts w:ascii="宋体" w:hAnsi="宋体" w:eastAsia="宋体"/>
                <w:color w:val="auto"/>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147" w:type="dxa"/>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(1)遥控阀(0.96～0.98)</w:t>
            </w:r>
          </w:p>
        </w:tc>
        <w:tc>
          <w:tcPr>
            <w:tcW w:w="1268"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1.00</w:t>
            </w:r>
          </w:p>
        </w:tc>
        <w:tc>
          <w:tcPr>
            <w:tcW w:w="3678" w:type="dxa"/>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无遥控阀。</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147" w:type="dxa"/>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(2)备用泄料装置(0.96～0.98)</w:t>
            </w:r>
          </w:p>
        </w:tc>
        <w:tc>
          <w:tcPr>
            <w:tcW w:w="1268"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1.00</w:t>
            </w:r>
          </w:p>
        </w:tc>
        <w:tc>
          <w:tcPr>
            <w:tcW w:w="3678" w:type="dxa"/>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无备用泄料装置。</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147" w:type="dxa"/>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(3)排放系统(0.91～0.97)</w:t>
            </w:r>
          </w:p>
        </w:tc>
        <w:tc>
          <w:tcPr>
            <w:tcW w:w="1268"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1.00</w:t>
            </w:r>
          </w:p>
        </w:tc>
        <w:tc>
          <w:tcPr>
            <w:tcW w:w="3678" w:type="dxa"/>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无排放系统。</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147" w:type="dxa"/>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(4)连锁装置(0.98)</w:t>
            </w:r>
          </w:p>
        </w:tc>
        <w:tc>
          <w:tcPr>
            <w:tcW w:w="1268"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1.00</w:t>
            </w:r>
          </w:p>
        </w:tc>
        <w:tc>
          <w:tcPr>
            <w:tcW w:w="3678" w:type="dxa"/>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无连锁装置。</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147" w:type="dxa"/>
            <w:vAlign w:val="center"/>
          </w:tcPr>
          <w:p>
            <w:pPr>
              <w:spacing w:line="360" w:lineRule="exact"/>
              <w:rPr>
                <w:rFonts w:ascii="宋体" w:hAnsi="宋体" w:eastAsia="宋体"/>
                <w:b/>
                <w:color w:val="auto"/>
                <w:sz w:val="21"/>
                <w:szCs w:val="21"/>
              </w:rPr>
            </w:pPr>
            <w:r>
              <w:rPr>
                <w:rFonts w:hint="eastAsia" w:ascii="宋体" w:hAnsi="宋体" w:eastAsia="宋体"/>
                <w:b/>
                <w:color w:val="auto"/>
                <w:sz w:val="21"/>
                <w:szCs w:val="21"/>
              </w:rPr>
              <w:t>C</w:t>
            </w:r>
            <w:r>
              <w:rPr>
                <w:rFonts w:hint="eastAsia" w:ascii="宋体" w:hAnsi="宋体" w:eastAsia="宋体"/>
                <w:b/>
                <w:color w:val="auto"/>
                <w:sz w:val="21"/>
                <w:szCs w:val="21"/>
                <w:vertAlign w:val="subscript"/>
              </w:rPr>
              <w:t>2</w:t>
            </w:r>
            <w:r>
              <w:rPr>
                <w:rFonts w:hint="eastAsia" w:ascii="宋体" w:hAnsi="宋体" w:eastAsia="宋体"/>
                <w:b/>
                <w:color w:val="auto"/>
                <w:sz w:val="21"/>
                <w:szCs w:val="21"/>
              </w:rPr>
              <w:t>=(1)～(4)各系数的乘积</w:t>
            </w:r>
          </w:p>
        </w:tc>
        <w:tc>
          <w:tcPr>
            <w:tcW w:w="1268" w:type="dxa"/>
            <w:vAlign w:val="center"/>
          </w:tcPr>
          <w:p>
            <w:pPr>
              <w:spacing w:line="360" w:lineRule="exact"/>
              <w:jc w:val="center"/>
              <w:rPr>
                <w:rFonts w:ascii="宋体" w:hAnsi="宋体" w:eastAsia="宋体"/>
                <w:b/>
                <w:color w:val="auto"/>
                <w:sz w:val="21"/>
                <w:szCs w:val="21"/>
              </w:rPr>
            </w:pPr>
            <w:r>
              <w:rPr>
                <w:rFonts w:hint="eastAsia" w:ascii="宋体" w:hAnsi="宋体" w:eastAsia="宋体"/>
                <w:b/>
                <w:color w:val="auto"/>
                <w:sz w:val="21"/>
                <w:szCs w:val="21"/>
              </w:rPr>
              <w:t>1.00</w:t>
            </w:r>
          </w:p>
        </w:tc>
        <w:tc>
          <w:tcPr>
            <w:tcW w:w="3678" w:type="dxa"/>
            <w:vAlign w:val="center"/>
          </w:tcPr>
          <w:p>
            <w:pPr>
              <w:spacing w:line="360" w:lineRule="exact"/>
              <w:rPr>
                <w:rFonts w:ascii="宋体" w:hAnsi="宋体" w:eastAsia="宋体"/>
                <w:b/>
                <w:color w:val="auto"/>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147" w:type="dxa"/>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3、防火设施安全补偿系数C</w:t>
            </w:r>
            <w:r>
              <w:rPr>
                <w:rFonts w:hint="eastAsia" w:ascii="宋体" w:hAnsi="宋体" w:eastAsia="宋体"/>
                <w:color w:val="auto"/>
                <w:sz w:val="21"/>
                <w:szCs w:val="21"/>
                <w:vertAlign w:val="subscript"/>
              </w:rPr>
              <w:t>3</w:t>
            </w:r>
          </w:p>
        </w:tc>
        <w:tc>
          <w:tcPr>
            <w:tcW w:w="1268" w:type="dxa"/>
            <w:vAlign w:val="center"/>
          </w:tcPr>
          <w:p>
            <w:pPr>
              <w:spacing w:line="360" w:lineRule="exact"/>
              <w:jc w:val="center"/>
              <w:rPr>
                <w:rFonts w:ascii="宋体" w:hAnsi="宋体" w:eastAsia="宋体"/>
                <w:color w:val="auto"/>
                <w:sz w:val="21"/>
                <w:szCs w:val="21"/>
              </w:rPr>
            </w:pPr>
          </w:p>
        </w:tc>
        <w:tc>
          <w:tcPr>
            <w:tcW w:w="3678" w:type="dxa"/>
            <w:vAlign w:val="center"/>
          </w:tcPr>
          <w:p>
            <w:pPr>
              <w:spacing w:line="360" w:lineRule="exact"/>
              <w:rPr>
                <w:rFonts w:ascii="宋体" w:hAnsi="宋体" w:eastAsia="宋体"/>
                <w:color w:val="auto"/>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147" w:type="dxa"/>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(1)泄漏检测装置(0.94～0.98)</w:t>
            </w:r>
          </w:p>
        </w:tc>
        <w:tc>
          <w:tcPr>
            <w:tcW w:w="1268"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0.98</w:t>
            </w:r>
          </w:p>
        </w:tc>
        <w:tc>
          <w:tcPr>
            <w:tcW w:w="3678" w:type="dxa"/>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安装了可燃气体检测仪。</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147" w:type="dxa"/>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(2)钢结构(0.95～0.98)</w:t>
            </w:r>
          </w:p>
        </w:tc>
        <w:tc>
          <w:tcPr>
            <w:tcW w:w="1268"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1.00</w:t>
            </w:r>
          </w:p>
        </w:tc>
        <w:tc>
          <w:tcPr>
            <w:tcW w:w="3678" w:type="dxa"/>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钢筋混凝土结构。</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147" w:type="dxa"/>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(3)消防水供应系统(0.94～0.97)</w:t>
            </w:r>
          </w:p>
        </w:tc>
        <w:tc>
          <w:tcPr>
            <w:tcW w:w="1268"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0.97</w:t>
            </w:r>
          </w:p>
        </w:tc>
        <w:tc>
          <w:tcPr>
            <w:tcW w:w="3678" w:type="dxa"/>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有消火栓，供水压力小于690kPa。</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147" w:type="dxa"/>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(4)特殊灭火系统(0.91)</w:t>
            </w:r>
          </w:p>
        </w:tc>
        <w:tc>
          <w:tcPr>
            <w:tcW w:w="1268"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1.00</w:t>
            </w:r>
          </w:p>
        </w:tc>
        <w:tc>
          <w:tcPr>
            <w:tcW w:w="3678" w:type="dxa"/>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无特殊灭火系统。</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147" w:type="dxa"/>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(5)喷洒灭火系统(0.74～0.97)</w:t>
            </w:r>
          </w:p>
        </w:tc>
        <w:tc>
          <w:tcPr>
            <w:tcW w:w="1268"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1.00</w:t>
            </w:r>
          </w:p>
        </w:tc>
        <w:tc>
          <w:tcPr>
            <w:tcW w:w="3678" w:type="dxa"/>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无自动喷洒灭火系统。</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147" w:type="dxa"/>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(6)水幕(0.97～0.98)</w:t>
            </w:r>
          </w:p>
        </w:tc>
        <w:tc>
          <w:tcPr>
            <w:tcW w:w="1268"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1.00</w:t>
            </w:r>
          </w:p>
        </w:tc>
        <w:tc>
          <w:tcPr>
            <w:tcW w:w="3678" w:type="dxa"/>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无自动喷水幕。</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147" w:type="dxa"/>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(7)泡沫灭火装置(0.92～0.97)</w:t>
            </w:r>
          </w:p>
        </w:tc>
        <w:tc>
          <w:tcPr>
            <w:tcW w:w="1268"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0.97</w:t>
            </w:r>
          </w:p>
        </w:tc>
        <w:tc>
          <w:tcPr>
            <w:tcW w:w="3678" w:type="dxa"/>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有泡沫灭火装置。</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147" w:type="dxa"/>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(8)手提式灭火器材/喷水枪(0.93～0.98)</w:t>
            </w:r>
          </w:p>
        </w:tc>
        <w:tc>
          <w:tcPr>
            <w:tcW w:w="1268"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0.98</w:t>
            </w:r>
          </w:p>
        </w:tc>
        <w:tc>
          <w:tcPr>
            <w:tcW w:w="3678" w:type="dxa"/>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配备适量的手提式灭火器材和水枪。</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147" w:type="dxa"/>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(9)电缆防护(0.94～0.98)</w:t>
            </w:r>
          </w:p>
        </w:tc>
        <w:tc>
          <w:tcPr>
            <w:tcW w:w="1268"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1.00</w:t>
            </w:r>
          </w:p>
        </w:tc>
        <w:tc>
          <w:tcPr>
            <w:tcW w:w="3678" w:type="dxa"/>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无电缆防护。</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147" w:type="dxa"/>
            <w:vAlign w:val="center"/>
          </w:tcPr>
          <w:p>
            <w:pPr>
              <w:spacing w:line="360" w:lineRule="exact"/>
              <w:rPr>
                <w:rFonts w:ascii="宋体" w:hAnsi="宋体" w:eastAsia="宋体"/>
                <w:b/>
                <w:color w:val="auto"/>
                <w:sz w:val="21"/>
                <w:szCs w:val="21"/>
              </w:rPr>
            </w:pPr>
            <w:r>
              <w:rPr>
                <w:rFonts w:hint="eastAsia" w:ascii="宋体" w:hAnsi="宋体" w:eastAsia="宋体"/>
                <w:b/>
                <w:color w:val="auto"/>
                <w:sz w:val="21"/>
                <w:szCs w:val="21"/>
              </w:rPr>
              <w:t>C</w:t>
            </w:r>
            <w:r>
              <w:rPr>
                <w:rFonts w:hint="eastAsia" w:ascii="宋体" w:hAnsi="宋体" w:eastAsia="宋体"/>
                <w:b/>
                <w:color w:val="auto"/>
                <w:sz w:val="21"/>
                <w:szCs w:val="21"/>
                <w:vertAlign w:val="subscript"/>
              </w:rPr>
              <w:t>3</w:t>
            </w:r>
            <w:r>
              <w:rPr>
                <w:rFonts w:hint="eastAsia" w:ascii="宋体" w:hAnsi="宋体" w:eastAsia="宋体"/>
                <w:b/>
                <w:color w:val="auto"/>
                <w:sz w:val="21"/>
                <w:szCs w:val="21"/>
              </w:rPr>
              <w:t>=(1)～(9)各系数的乘积</w:t>
            </w:r>
          </w:p>
        </w:tc>
        <w:tc>
          <w:tcPr>
            <w:tcW w:w="1268" w:type="dxa"/>
            <w:vAlign w:val="center"/>
          </w:tcPr>
          <w:p>
            <w:pPr>
              <w:spacing w:line="360" w:lineRule="exact"/>
              <w:jc w:val="center"/>
              <w:rPr>
                <w:rFonts w:ascii="宋体" w:hAnsi="宋体" w:eastAsia="宋体"/>
                <w:b/>
                <w:color w:val="auto"/>
                <w:sz w:val="21"/>
                <w:szCs w:val="21"/>
              </w:rPr>
            </w:pPr>
            <w:r>
              <w:rPr>
                <w:rFonts w:hint="eastAsia" w:ascii="宋体" w:hAnsi="宋体" w:eastAsia="宋体"/>
                <w:b/>
                <w:color w:val="auto"/>
                <w:sz w:val="21"/>
                <w:szCs w:val="21"/>
              </w:rPr>
              <w:t>0.9021</w:t>
            </w:r>
          </w:p>
        </w:tc>
        <w:tc>
          <w:tcPr>
            <w:tcW w:w="3678" w:type="dxa"/>
            <w:vAlign w:val="center"/>
          </w:tcPr>
          <w:p>
            <w:pPr>
              <w:spacing w:line="360" w:lineRule="exact"/>
              <w:rPr>
                <w:rFonts w:ascii="宋体" w:hAnsi="宋体" w:eastAsia="宋体"/>
                <w:b/>
                <w:color w:val="auto"/>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147" w:type="dxa"/>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安全措施补偿系数C</w:t>
            </w:r>
            <w:r>
              <w:rPr>
                <w:rFonts w:hint="eastAsia" w:ascii="宋体" w:hAnsi="宋体" w:eastAsia="宋体"/>
                <w:color w:val="auto"/>
                <w:sz w:val="21"/>
                <w:szCs w:val="21"/>
                <w:vertAlign w:val="subscript"/>
              </w:rPr>
              <w:t>F</w:t>
            </w:r>
            <w:r>
              <w:rPr>
                <w:rFonts w:hint="eastAsia" w:ascii="宋体" w:hAnsi="宋体" w:eastAsia="宋体"/>
                <w:color w:val="auto"/>
                <w:sz w:val="21"/>
                <w:szCs w:val="21"/>
              </w:rPr>
              <w:t>=C</w:t>
            </w:r>
            <w:r>
              <w:rPr>
                <w:rFonts w:hint="eastAsia" w:ascii="宋体" w:hAnsi="宋体" w:eastAsia="宋体"/>
                <w:color w:val="auto"/>
                <w:sz w:val="21"/>
                <w:szCs w:val="21"/>
                <w:vertAlign w:val="subscript"/>
              </w:rPr>
              <w:t>1</w:t>
            </w:r>
            <w:r>
              <w:rPr>
                <w:rFonts w:hint="eastAsia" w:ascii="宋体" w:hAnsi="宋体" w:eastAsia="宋体"/>
                <w:color w:val="auto"/>
                <w:sz w:val="21"/>
                <w:szCs w:val="21"/>
              </w:rPr>
              <w:t>×C</w:t>
            </w:r>
            <w:r>
              <w:rPr>
                <w:rFonts w:hint="eastAsia" w:ascii="宋体" w:hAnsi="宋体" w:eastAsia="宋体"/>
                <w:color w:val="auto"/>
                <w:sz w:val="21"/>
                <w:szCs w:val="21"/>
                <w:vertAlign w:val="subscript"/>
              </w:rPr>
              <w:t>2</w:t>
            </w:r>
            <w:r>
              <w:rPr>
                <w:rFonts w:hint="eastAsia" w:ascii="宋体" w:hAnsi="宋体" w:eastAsia="宋体"/>
                <w:color w:val="auto"/>
                <w:sz w:val="21"/>
                <w:szCs w:val="21"/>
              </w:rPr>
              <w:t>×C</w:t>
            </w:r>
            <w:r>
              <w:rPr>
                <w:rFonts w:hint="eastAsia" w:ascii="宋体" w:hAnsi="宋体" w:eastAsia="宋体"/>
                <w:color w:val="auto"/>
                <w:sz w:val="21"/>
                <w:szCs w:val="21"/>
                <w:vertAlign w:val="subscript"/>
              </w:rPr>
              <w:t>3</w:t>
            </w:r>
          </w:p>
        </w:tc>
        <w:tc>
          <w:tcPr>
            <w:tcW w:w="1268"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0.839</w:t>
            </w:r>
          </w:p>
        </w:tc>
        <w:tc>
          <w:tcPr>
            <w:tcW w:w="3678" w:type="dxa"/>
            <w:vAlign w:val="center"/>
          </w:tcPr>
          <w:p>
            <w:pPr>
              <w:spacing w:line="360" w:lineRule="exact"/>
              <w:rPr>
                <w:rFonts w:ascii="宋体" w:hAnsi="宋体" w:eastAsia="宋体"/>
                <w:color w:val="auto"/>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147" w:type="dxa"/>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补偿后火灾爆炸危险指数F&amp;EI′=F&amp;EI×C</w:t>
            </w:r>
            <w:r>
              <w:rPr>
                <w:rFonts w:hint="eastAsia" w:ascii="宋体" w:hAnsi="宋体" w:eastAsia="宋体"/>
                <w:color w:val="auto"/>
                <w:sz w:val="21"/>
                <w:szCs w:val="21"/>
                <w:vertAlign w:val="subscript"/>
              </w:rPr>
              <w:t>F</w:t>
            </w:r>
          </w:p>
        </w:tc>
        <w:tc>
          <w:tcPr>
            <w:tcW w:w="1268"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85.2</w:t>
            </w:r>
          </w:p>
        </w:tc>
        <w:tc>
          <w:tcPr>
            <w:tcW w:w="3678" w:type="dxa"/>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101.52×0.839=85.2</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4147" w:type="dxa"/>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补偿后火灾爆炸危险等级</w:t>
            </w:r>
          </w:p>
        </w:tc>
        <w:tc>
          <w:tcPr>
            <w:tcW w:w="1268"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较轻</w:t>
            </w:r>
          </w:p>
        </w:tc>
        <w:tc>
          <w:tcPr>
            <w:tcW w:w="3678" w:type="dxa"/>
            <w:vAlign w:val="center"/>
          </w:tcPr>
          <w:p>
            <w:pPr>
              <w:spacing w:line="360" w:lineRule="exact"/>
              <w:rPr>
                <w:rFonts w:ascii="宋体" w:hAnsi="宋体" w:eastAsia="宋体"/>
                <w:color w:val="auto"/>
                <w:sz w:val="21"/>
                <w:szCs w:val="21"/>
              </w:rPr>
            </w:pPr>
          </w:p>
        </w:tc>
      </w:tr>
    </w:tbl>
    <w:p>
      <w:pPr>
        <w:spacing w:line="560" w:lineRule="exact"/>
        <w:jc w:val="both"/>
        <w:outlineLvl w:val="2"/>
        <w:rPr>
          <w:rFonts w:ascii="宋体" w:hAnsi="宋体" w:eastAsia="宋体" w:cs="Times New Roman"/>
          <w:bCs/>
          <w:color w:val="auto"/>
          <w:kern w:val="2"/>
          <w:sz w:val="28"/>
          <w:szCs w:val="28"/>
          <w:lang w:val="en-US" w:eastAsia="zh-CN" w:bidi="ar-SA"/>
        </w:rPr>
      </w:pPr>
      <w:r>
        <w:rPr>
          <w:rFonts w:ascii="宋体" w:hAnsi="宋体" w:eastAsia="宋体" w:cs="Times New Roman"/>
          <w:bCs/>
          <w:color w:val="auto"/>
          <w:kern w:val="2"/>
          <w:sz w:val="28"/>
          <w:szCs w:val="28"/>
          <w:lang w:val="en-US" w:eastAsia="zh-CN" w:bidi="ar-SA"/>
        </w:rPr>
        <w:t>2.3.2评价单元的道化学计算</w:t>
      </w:r>
    </w:p>
    <w:p>
      <w:pPr>
        <w:spacing w:line="560" w:lineRule="exact"/>
        <w:ind w:firstLine="454" w:firstLineChars="142"/>
        <w:rPr>
          <w:rFonts w:ascii="宋体" w:hAnsi="宋体" w:eastAsia="宋体"/>
          <w:color w:val="auto"/>
          <w:spacing w:val="20"/>
          <w:sz w:val="28"/>
          <w:szCs w:val="28"/>
          <w:lang w:eastAsia="zh-CN"/>
        </w:rPr>
      </w:pPr>
      <w:r>
        <w:rPr>
          <w:rFonts w:hint="eastAsia" w:ascii="宋体" w:hAnsi="宋体" w:eastAsia="宋体"/>
          <w:color w:val="auto"/>
          <w:spacing w:val="20"/>
          <w:sz w:val="28"/>
          <w:szCs w:val="28"/>
          <w:lang w:eastAsia="zh-CN"/>
        </w:rPr>
        <w:t>1</w:t>
      </w:r>
      <w:r>
        <w:rPr>
          <w:rFonts w:ascii="宋体" w:hAnsi="宋体" w:eastAsia="宋体"/>
          <w:color w:val="auto"/>
          <w:spacing w:val="20"/>
          <w:sz w:val="28"/>
          <w:szCs w:val="28"/>
          <w:lang w:eastAsia="zh-CN"/>
        </w:rPr>
        <w:t>)确定暴露面积</w:t>
      </w:r>
    </w:p>
    <w:p>
      <w:pPr>
        <w:spacing w:line="560" w:lineRule="exact"/>
        <w:ind w:firstLine="454" w:firstLineChars="142"/>
        <w:rPr>
          <w:rFonts w:ascii="宋体" w:hAnsi="宋体" w:eastAsia="宋体"/>
          <w:color w:val="auto"/>
          <w:spacing w:val="20"/>
          <w:sz w:val="28"/>
          <w:szCs w:val="28"/>
          <w:lang w:eastAsia="zh-CN"/>
        </w:rPr>
      </w:pPr>
      <w:r>
        <w:rPr>
          <w:rFonts w:ascii="宋体" w:hAnsi="宋体" w:eastAsia="宋体"/>
          <w:color w:val="auto"/>
          <w:spacing w:val="20"/>
          <w:sz w:val="28"/>
          <w:szCs w:val="28"/>
          <w:lang w:eastAsia="zh-CN"/>
        </w:rPr>
        <w:t>在火灾、爆炸事故中，暴露区域内的设备、设施将会暴露在火灾或爆炸的环境之中，并可能遭受破坏。为了评价这些设备、设施在火灾、爆炸中遭受的破坏，将考虑实际影响的体积是一个围绕着工艺单元的圆柱体的体积，其面积是暴露区域，高度相当于暴露半径。</w:t>
      </w:r>
    </w:p>
    <w:p>
      <w:pPr>
        <w:spacing w:line="560" w:lineRule="exact"/>
        <w:ind w:firstLine="454" w:firstLineChars="142"/>
        <w:rPr>
          <w:rFonts w:ascii="宋体" w:hAnsi="宋体" w:eastAsia="宋体"/>
          <w:color w:val="auto"/>
          <w:spacing w:val="20"/>
          <w:sz w:val="28"/>
          <w:szCs w:val="28"/>
          <w:lang w:eastAsia="zh-CN"/>
        </w:rPr>
      </w:pPr>
      <w:r>
        <w:rPr>
          <w:rFonts w:ascii="宋体" w:hAnsi="宋体" w:eastAsia="宋体"/>
          <w:color w:val="auto"/>
          <w:spacing w:val="20"/>
          <w:sz w:val="28"/>
          <w:szCs w:val="28"/>
          <w:lang w:eastAsia="zh-CN"/>
        </w:rPr>
        <w:t>暴露半径(R：米)R=F&amp;EI×0.256</w:t>
      </w:r>
    </w:p>
    <w:p>
      <w:pPr>
        <w:spacing w:line="560" w:lineRule="exact"/>
        <w:ind w:firstLine="454" w:firstLineChars="142"/>
        <w:rPr>
          <w:rFonts w:ascii="宋体" w:hAnsi="宋体" w:eastAsia="宋体"/>
          <w:color w:val="auto"/>
          <w:spacing w:val="20"/>
          <w:sz w:val="28"/>
          <w:szCs w:val="28"/>
          <w:lang w:eastAsia="zh-CN"/>
        </w:rPr>
      </w:pPr>
      <w:r>
        <w:rPr>
          <w:rFonts w:ascii="宋体" w:hAnsi="宋体" w:eastAsia="宋体"/>
          <w:color w:val="auto"/>
          <w:spacing w:val="20"/>
          <w:sz w:val="28"/>
          <w:szCs w:val="28"/>
          <w:lang w:eastAsia="zh-CN"/>
        </w:rPr>
        <w:t>式中0.256为公英制转换，因而，甲类仓库储存单元暴露半径为：R=F&amp;EI×0.256=101.52×0.256=26.0m</w:t>
      </w:r>
    </w:p>
    <w:p>
      <w:pPr>
        <w:spacing w:line="560" w:lineRule="exact"/>
        <w:ind w:firstLine="454" w:firstLineChars="142"/>
        <w:rPr>
          <w:rFonts w:ascii="宋体" w:hAnsi="宋体" w:eastAsia="宋体"/>
          <w:color w:val="auto"/>
          <w:spacing w:val="20"/>
          <w:sz w:val="28"/>
          <w:szCs w:val="28"/>
          <w:lang w:eastAsia="zh-CN"/>
        </w:rPr>
      </w:pPr>
      <w:r>
        <w:rPr>
          <w:rFonts w:hint="eastAsia" w:ascii="宋体" w:hAnsi="宋体" w:eastAsia="宋体"/>
          <w:color w:val="auto"/>
          <w:spacing w:val="20"/>
          <w:sz w:val="28"/>
          <w:szCs w:val="28"/>
          <w:lang w:eastAsia="zh-CN"/>
        </w:rPr>
        <w:t>2</w:t>
      </w:r>
      <w:r>
        <w:rPr>
          <w:rFonts w:ascii="宋体" w:hAnsi="宋体" w:eastAsia="宋体"/>
          <w:color w:val="auto"/>
          <w:spacing w:val="20"/>
          <w:sz w:val="28"/>
          <w:szCs w:val="28"/>
          <w:lang w:eastAsia="zh-CN"/>
        </w:rPr>
        <w:t>)计算暴露区域面积A</w:t>
      </w:r>
    </w:p>
    <w:p>
      <w:pPr>
        <w:spacing w:line="560" w:lineRule="exact"/>
        <w:ind w:firstLine="454" w:firstLineChars="142"/>
        <w:rPr>
          <w:rFonts w:ascii="宋体" w:hAnsi="宋体" w:eastAsia="宋体"/>
          <w:color w:val="auto"/>
          <w:spacing w:val="20"/>
          <w:sz w:val="28"/>
          <w:szCs w:val="28"/>
          <w:lang w:eastAsia="zh-CN"/>
        </w:rPr>
      </w:pPr>
      <w:r>
        <w:rPr>
          <w:rFonts w:ascii="宋体" w:hAnsi="宋体" w:eastAsia="宋体"/>
          <w:color w:val="auto"/>
          <w:spacing w:val="20"/>
          <w:sz w:val="28"/>
          <w:szCs w:val="28"/>
          <w:lang w:eastAsia="zh-CN"/>
        </w:rPr>
        <w:t>按道化评价法(七版)，暴露区域面积：A=nR</w:t>
      </w:r>
      <w:r>
        <w:rPr>
          <w:rFonts w:ascii="宋体" w:hAnsi="宋体" w:eastAsia="宋体"/>
          <w:color w:val="auto"/>
          <w:spacing w:val="20"/>
          <w:sz w:val="28"/>
          <w:szCs w:val="28"/>
          <w:vertAlign w:val="superscript"/>
          <w:lang w:eastAsia="zh-CN"/>
        </w:rPr>
        <w:t>2</w:t>
      </w:r>
      <w:r>
        <w:rPr>
          <w:rFonts w:ascii="宋体" w:hAnsi="宋体" w:eastAsia="宋体"/>
          <w:color w:val="auto"/>
          <w:spacing w:val="20"/>
          <w:sz w:val="28"/>
          <w:szCs w:val="28"/>
          <w:lang w:eastAsia="zh-CN"/>
        </w:rPr>
        <w:t>(㎡)</w:t>
      </w:r>
    </w:p>
    <w:p>
      <w:pPr>
        <w:spacing w:line="560" w:lineRule="exact"/>
        <w:ind w:firstLine="454" w:firstLineChars="142"/>
        <w:rPr>
          <w:rFonts w:ascii="宋体" w:hAnsi="宋体" w:eastAsia="宋体"/>
          <w:color w:val="auto"/>
          <w:spacing w:val="20"/>
          <w:sz w:val="28"/>
          <w:szCs w:val="28"/>
          <w:lang w:eastAsia="zh-CN"/>
        </w:rPr>
      </w:pPr>
      <w:r>
        <w:rPr>
          <w:rFonts w:ascii="宋体" w:hAnsi="宋体" w:eastAsia="宋体"/>
          <w:color w:val="auto"/>
          <w:spacing w:val="20"/>
          <w:sz w:val="28"/>
          <w:szCs w:val="28"/>
          <w:lang w:eastAsia="zh-CN"/>
        </w:rPr>
        <w:t>甲类仓库储存单元暴露区域面积为：</w:t>
      </w:r>
    </w:p>
    <w:p>
      <w:pPr>
        <w:spacing w:line="560" w:lineRule="exact"/>
        <w:ind w:firstLine="454" w:firstLineChars="142"/>
        <w:rPr>
          <w:rFonts w:ascii="宋体" w:hAnsi="宋体" w:eastAsia="宋体"/>
          <w:color w:val="auto"/>
          <w:spacing w:val="20"/>
          <w:sz w:val="28"/>
          <w:szCs w:val="28"/>
          <w:lang w:eastAsia="zh-CN"/>
        </w:rPr>
      </w:pPr>
      <w:r>
        <w:rPr>
          <w:rFonts w:ascii="宋体" w:hAnsi="宋体" w:eastAsia="宋体"/>
          <w:color w:val="auto"/>
          <w:spacing w:val="20"/>
          <w:sz w:val="28"/>
          <w:szCs w:val="28"/>
          <w:lang w:eastAsia="zh-CN"/>
        </w:rPr>
        <w:t>A=nR</w:t>
      </w:r>
      <w:r>
        <w:rPr>
          <w:rFonts w:ascii="宋体" w:hAnsi="宋体" w:eastAsia="宋体"/>
          <w:color w:val="auto"/>
          <w:spacing w:val="20"/>
          <w:sz w:val="28"/>
          <w:szCs w:val="28"/>
          <w:vertAlign w:val="superscript"/>
          <w:lang w:eastAsia="zh-CN"/>
        </w:rPr>
        <w:t>2</w:t>
      </w:r>
    </w:p>
    <w:p>
      <w:pPr>
        <w:spacing w:line="560" w:lineRule="exact"/>
        <w:ind w:firstLine="454" w:firstLineChars="142"/>
        <w:rPr>
          <w:rFonts w:ascii="宋体" w:hAnsi="宋体" w:eastAsia="宋体"/>
          <w:color w:val="auto"/>
          <w:spacing w:val="20"/>
          <w:sz w:val="28"/>
          <w:szCs w:val="28"/>
          <w:lang w:eastAsia="zh-CN"/>
        </w:rPr>
      </w:pPr>
      <w:r>
        <w:rPr>
          <w:rFonts w:ascii="宋体" w:hAnsi="宋体" w:eastAsia="宋体"/>
          <w:color w:val="auto"/>
          <w:spacing w:val="20"/>
          <w:sz w:val="28"/>
          <w:szCs w:val="28"/>
          <w:lang w:eastAsia="zh-CN"/>
        </w:rPr>
        <w:t>=3.14×26.0</w:t>
      </w:r>
      <w:r>
        <w:rPr>
          <w:rFonts w:ascii="宋体" w:hAnsi="宋体" w:eastAsia="宋体"/>
          <w:color w:val="auto"/>
          <w:spacing w:val="20"/>
          <w:sz w:val="28"/>
          <w:szCs w:val="28"/>
          <w:vertAlign w:val="superscript"/>
          <w:lang w:eastAsia="zh-CN"/>
        </w:rPr>
        <w:t>2</w:t>
      </w:r>
      <w:r>
        <w:rPr>
          <w:rFonts w:ascii="宋体" w:hAnsi="宋体" w:eastAsia="宋体"/>
          <w:color w:val="auto"/>
          <w:spacing w:val="20"/>
          <w:sz w:val="28"/>
          <w:szCs w:val="28"/>
          <w:lang w:eastAsia="zh-CN"/>
        </w:rPr>
        <w:t>=2123㎡</w:t>
      </w:r>
    </w:p>
    <w:p>
      <w:pPr>
        <w:spacing w:line="560" w:lineRule="exact"/>
        <w:ind w:firstLine="454" w:firstLineChars="142"/>
        <w:rPr>
          <w:rFonts w:ascii="宋体" w:hAnsi="宋体" w:eastAsia="宋体"/>
          <w:color w:val="auto"/>
          <w:spacing w:val="20"/>
          <w:sz w:val="28"/>
          <w:szCs w:val="28"/>
          <w:lang w:eastAsia="zh-CN"/>
        </w:rPr>
      </w:pPr>
      <w:r>
        <w:rPr>
          <w:rFonts w:hint="eastAsia" w:ascii="宋体" w:hAnsi="宋体" w:eastAsia="宋体"/>
          <w:color w:val="auto"/>
          <w:spacing w:val="20"/>
          <w:sz w:val="28"/>
          <w:szCs w:val="28"/>
          <w:lang w:eastAsia="zh-CN"/>
        </w:rPr>
        <w:t>3</w:t>
      </w:r>
      <w:r>
        <w:rPr>
          <w:rFonts w:ascii="宋体" w:hAnsi="宋体" w:eastAsia="宋体"/>
          <w:color w:val="auto"/>
          <w:spacing w:val="20"/>
          <w:sz w:val="28"/>
          <w:szCs w:val="28"/>
          <w:lang w:eastAsia="zh-CN"/>
        </w:rPr>
        <w:t>)危害系数HF</w:t>
      </w:r>
    </w:p>
    <w:p>
      <w:pPr>
        <w:spacing w:line="560" w:lineRule="exact"/>
        <w:ind w:firstLine="454" w:firstLineChars="142"/>
        <w:rPr>
          <w:rFonts w:ascii="宋体" w:hAnsi="宋体" w:eastAsia="宋体"/>
          <w:color w:val="auto"/>
          <w:spacing w:val="20"/>
          <w:sz w:val="28"/>
          <w:szCs w:val="28"/>
          <w:lang w:eastAsia="zh-CN"/>
        </w:rPr>
      </w:pPr>
      <w:r>
        <w:rPr>
          <w:rFonts w:ascii="宋体" w:hAnsi="宋体" w:eastAsia="宋体"/>
          <w:color w:val="auto"/>
          <w:spacing w:val="20"/>
          <w:sz w:val="28"/>
          <w:szCs w:val="28"/>
          <w:lang w:eastAsia="zh-CN"/>
        </w:rPr>
        <w:t>按道化评价法(七版)查单元危害系数计算图，当MF=16,3=6.345，HF=0.67。</w:t>
      </w:r>
    </w:p>
    <w:p>
      <w:pPr>
        <w:spacing w:line="560" w:lineRule="exact"/>
        <w:ind w:firstLine="454" w:firstLineChars="142"/>
        <w:rPr>
          <w:rFonts w:ascii="宋体" w:hAnsi="宋体" w:eastAsia="宋体"/>
          <w:color w:val="auto"/>
          <w:spacing w:val="20"/>
          <w:sz w:val="28"/>
          <w:szCs w:val="28"/>
          <w:lang w:eastAsia="zh-CN"/>
        </w:rPr>
      </w:pPr>
      <w:r>
        <w:rPr>
          <w:rFonts w:hint="eastAsia" w:ascii="宋体" w:hAnsi="宋体" w:eastAsia="宋体"/>
          <w:color w:val="auto"/>
          <w:spacing w:val="20"/>
          <w:sz w:val="28"/>
          <w:szCs w:val="28"/>
          <w:lang w:eastAsia="zh-CN"/>
        </w:rPr>
        <w:t>4</w:t>
      </w:r>
      <w:r>
        <w:rPr>
          <w:rFonts w:ascii="宋体" w:hAnsi="宋体" w:eastAsia="宋体"/>
          <w:color w:val="auto"/>
          <w:spacing w:val="20"/>
          <w:sz w:val="28"/>
          <w:szCs w:val="28"/>
          <w:lang w:eastAsia="zh-CN"/>
        </w:rPr>
        <w:t>)基本最大可能财产损失(BaseMPPD)</w:t>
      </w:r>
    </w:p>
    <w:p>
      <w:pPr>
        <w:spacing w:line="560" w:lineRule="exact"/>
        <w:ind w:firstLine="454" w:firstLineChars="142"/>
        <w:rPr>
          <w:rFonts w:ascii="宋体" w:hAnsi="宋体" w:eastAsia="宋体"/>
          <w:color w:val="auto"/>
          <w:spacing w:val="20"/>
          <w:sz w:val="28"/>
          <w:szCs w:val="28"/>
          <w:lang w:eastAsia="zh-CN"/>
        </w:rPr>
      </w:pPr>
      <w:r>
        <w:rPr>
          <w:rFonts w:ascii="宋体" w:hAnsi="宋体" w:eastAsia="宋体"/>
          <w:color w:val="auto"/>
          <w:spacing w:val="20"/>
          <w:sz w:val="28"/>
          <w:szCs w:val="28"/>
          <w:lang w:eastAsia="zh-CN"/>
        </w:rPr>
        <w:t>BMPPD=Mc×HF式中MC—暴露区域内财产价值该单元BMPPD=Mc×0.67</w:t>
      </w:r>
    </w:p>
    <w:p>
      <w:pPr>
        <w:spacing w:line="560" w:lineRule="exact"/>
        <w:ind w:firstLine="454" w:firstLineChars="142"/>
        <w:rPr>
          <w:rFonts w:ascii="宋体" w:hAnsi="宋体" w:eastAsia="宋体"/>
          <w:color w:val="auto"/>
          <w:spacing w:val="20"/>
          <w:sz w:val="28"/>
          <w:szCs w:val="28"/>
        </w:rPr>
      </w:pPr>
      <w:r>
        <w:rPr>
          <w:rFonts w:hint="eastAsia" w:ascii="宋体" w:hAnsi="宋体" w:eastAsia="宋体"/>
          <w:color w:val="auto"/>
          <w:spacing w:val="20"/>
          <w:sz w:val="28"/>
          <w:szCs w:val="28"/>
        </w:rPr>
        <w:t>5</w:t>
      </w:r>
      <w:r>
        <w:rPr>
          <w:rFonts w:ascii="宋体" w:hAnsi="宋体" w:eastAsia="宋体"/>
          <w:color w:val="auto"/>
          <w:spacing w:val="20"/>
          <w:sz w:val="28"/>
          <w:szCs w:val="28"/>
        </w:rPr>
        <w:t>)实际最大可能财产损失(ActualMPPD)</w:t>
      </w:r>
    </w:p>
    <w:p>
      <w:pPr>
        <w:spacing w:line="560" w:lineRule="exact"/>
        <w:ind w:firstLine="454" w:firstLineChars="142"/>
        <w:rPr>
          <w:rFonts w:ascii="宋体" w:hAnsi="宋体" w:eastAsia="宋体"/>
          <w:color w:val="auto"/>
          <w:spacing w:val="20"/>
          <w:sz w:val="28"/>
          <w:szCs w:val="28"/>
        </w:rPr>
      </w:pPr>
      <w:r>
        <w:rPr>
          <w:rFonts w:ascii="宋体" w:hAnsi="宋体" w:eastAsia="宋体"/>
          <w:color w:val="auto"/>
          <w:spacing w:val="20"/>
          <w:sz w:val="28"/>
          <w:szCs w:val="28"/>
        </w:rPr>
        <w:t>AMPPD=BMPPD×CF式中CF—安全措施补偿系数</w:t>
      </w:r>
    </w:p>
    <w:p>
      <w:pPr>
        <w:spacing w:line="560" w:lineRule="exact"/>
        <w:ind w:firstLine="454" w:firstLineChars="142"/>
        <w:rPr>
          <w:rFonts w:ascii="宋体" w:hAnsi="宋体" w:eastAsia="宋体"/>
          <w:color w:val="auto"/>
          <w:spacing w:val="20"/>
          <w:sz w:val="28"/>
          <w:szCs w:val="28"/>
        </w:rPr>
      </w:pPr>
      <w:r>
        <w:rPr>
          <w:rFonts w:ascii="宋体" w:hAnsi="宋体" w:eastAsia="宋体"/>
          <w:color w:val="auto"/>
          <w:spacing w:val="20"/>
          <w:sz w:val="28"/>
          <w:szCs w:val="28"/>
        </w:rPr>
        <w:t>该单元AMPPD=MC×0.67×0.839=MC×0.56</w:t>
      </w:r>
    </w:p>
    <w:p>
      <w:pPr>
        <w:spacing w:line="560" w:lineRule="exact"/>
        <w:ind w:firstLine="454" w:firstLineChars="142"/>
        <w:rPr>
          <w:rFonts w:ascii="宋体" w:hAnsi="宋体" w:eastAsia="宋体"/>
          <w:color w:val="auto"/>
          <w:spacing w:val="20"/>
          <w:sz w:val="28"/>
          <w:szCs w:val="28"/>
          <w:lang w:eastAsia="zh-CN"/>
        </w:rPr>
      </w:pPr>
      <w:r>
        <w:rPr>
          <w:rFonts w:ascii="宋体" w:hAnsi="宋体" w:eastAsia="宋体"/>
          <w:color w:val="auto"/>
          <w:spacing w:val="20"/>
          <w:sz w:val="28"/>
          <w:szCs w:val="28"/>
          <w:lang w:eastAsia="zh-CN"/>
        </w:rPr>
        <w:t>结果详见下表：</w:t>
      </w:r>
    </w:p>
    <w:p>
      <w:pPr>
        <w:spacing w:line="560" w:lineRule="exact"/>
        <w:jc w:val="center"/>
        <w:rPr>
          <w:rFonts w:ascii="宋体" w:hAnsi="宋体" w:eastAsia="宋体"/>
          <w:b/>
          <w:color w:val="auto"/>
          <w:spacing w:val="20"/>
          <w:lang w:eastAsia="zh-CN"/>
        </w:rPr>
      </w:pPr>
      <w:r>
        <w:rPr>
          <w:rFonts w:ascii="宋体" w:hAnsi="宋体" w:eastAsia="宋体"/>
          <w:b/>
          <w:color w:val="auto"/>
          <w:spacing w:val="20"/>
          <w:lang w:eastAsia="zh-CN"/>
        </w:rPr>
        <w:t>火灾爆炸危险分析汇总表</w:t>
      </w:r>
    </w:p>
    <w:tbl>
      <w:tblPr>
        <w:tblStyle w:val="45"/>
        <w:tblW w:w="5000" w:type="pct"/>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4697"/>
        <w:gridCol w:w="4697"/>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2500" w:type="pct"/>
            <w:vAlign w:val="center"/>
          </w:tcPr>
          <w:p>
            <w:pPr>
              <w:spacing w:line="360" w:lineRule="exact"/>
              <w:jc w:val="center"/>
              <w:rPr>
                <w:rFonts w:ascii="宋体" w:hAnsi="宋体" w:eastAsia="宋体"/>
                <w:color w:val="auto"/>
                <w:kern w:val="21"/>
                <w:sz w:val="21"/>
                <w:szCs w:val="21"/>
                <w:lang w:val="en-GB"/>
              </w:rPr>
            </w:pPr>
            <w:r>
              <w:rPr>
                <w:rFonts w:hint="eastAsia" w:ascii="宋体" w:hAnsi="宋体" w:eastAsia="宋体"/>
                <w:color w:val="auto"/>
                <w:kern w:val="21"/>
                <w:sz w:val="21"/>
                <w:szCs w:val="21"/>
                <w:lang w:val="en-GB"/>
              </w:rPr>
              <w:t>评价工艺单元</w:t>
            </w:r>
          </w:p>
        </w:tc>
        <w:tc>
          <w:tcPr>
            <w:tcW w:w="2500" w:type="pct"/>
            <w:vAlign w:val="center"/>
          </w:tcPr>
          <w:p>
            <w:pPr>
              <w:spacing w:line="360" w:lineRule="exact"/>
              <w:jc w:val="center"/>
              <w:rPr>
                <w:rFonts w:ascii="宋体" w:hAnsi="宋体" w:eastAsia="宋体"/>
                <w:color w:val="auto"/>
                <w:kern w:val="21"/>
                <w:sz w:val="21"/>
                <w:szCs w:val="21"/>
                <w:lang w:val="en-GB"/>
              </w:rPr>
            </w:pPr>
            <w:r>
              <w:rPr>
                <w:rFonts w:hint="eastAsia" w:ascii="宋体" w:hAnsi="宋体" w:eastAsia="宋体"/>
                <w:color w:val="auto"/>
                <w:kern w:val="21"/>
                <w:sz w:val="21"/>
                <w:szCs w:val="21"/>
                <w:lang w:val="en-GB"/>
              </w:rPr>
              <w:t>甲类仓库单元</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2500" w:type="pct"/>
            <w:vAlign w:val="center"/>
          </w:tcPr>
          <w:p>
            <w:pPr>
              <w:spacing w:line="360" w:lineRule="exact"/>
              <w:jc w:val="center"/>
              <w:rPr>
                <w:rFonts w:ascii="宋体" w:hAnsi="宋体" w:eastAsia="宋体"/>
                <w:color w:val="auto"/>
                <w:kern w:val="21"/>
                <w:sz w:val="21"/>
                <w:szCs w:val="21"/>
                <w:lang w:val="en-GB"/>
              </w:rPr>
            </w:pPr>
            <w:r>
              <w:rPr>
                <w:rFonts w:hint="eastAsia" w:ascii="宋体" w:hAnsi="宋体" w:eastAsia="宋体"/>
                <w:color w:val="auto"/>
                <w:kern w:val="21"/>
                <w:sz w:val="21"/>
                <w:szCs w:val="21"/>
                <w:lang w:val="en-GB"/>
              </w:rPr>
              <w:t>代表性评价物质</w:t>
            </w:r>
          </w:p>
        </w:tc>
        <w:tc>
          <w:tcPr>
            <w:tcW w:w="2500" w:type="pct"/>
            <w:vAlign w:val="center"/>
          </w:tcPr>
          <w:p>
            <w:pPr>
              <w:spacing w:line="360" w:lineRule="exact"/>
              <w:jc w:val="center"/>
              <w:rPr>
                <w:rFonts w:ascii="宋体" w:hAnsi="宋体" w:eastAsia="宋体"/>
                <w:color w:val="auto"/>
                <w:kern w:val="21"/>
                <w:sz w:val="21"/>
                <w:szCs w:val="21"/>
                <w:lang w:val="en-GB"/>
              </w:rPr>
            </w:pPr>
            <w:r>
              <w:rPr>
                <w:rFonts w:hint="eastAsia" w:ascii="宋体" w:hAnsi="宋体" w:eastAsia="宋体"/>
                <w:color w:val="auto"/>
                <w:sz w:val="21"/>
                <w:szCs w:val="21"/>
                <w:lang w:eastAsia="zh-CN"/>
              </w:rPr>
              <w:t>二甲苯异构体混合物</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2500" w:type="pct"/>
            <w:vAlign w:val="center"/>
          </w:tcPr>
          <w:p>
            <w:pPr>
              <w:spacing w:line="360" w:lineRule="exact"/>
              <w:jc w:val="center"/>
              <w:rPr>
                <w:rFonts w:ascii="宋体" w:hAnsi="宋体" w:eastAsia="宋体"/>
                <w:color w:val="auto"/>
                <w:kern w:val="21"/>
                <w:sz w:val="21"/>
                <w:szCs w:val="21"/>
                <w:lang w:val="en-GB"/>
              </w:rPr>
            </w:pPr>
            <w:r>
              <w:rPr>
                <w:rFonts w:hint="eastAsia" w:ascii="宋体" w:hAnsi="宋体" w:eastAsia="宋体"/>
                <w:color w:val="auto"/>
                <w:kern w:val="21"/>
                <w:sz w:val="21"/>
                <w:szCs w:val="21"/>
                <w:lang w:val="en-GB"/>
              </w:rPr>
              <w:t>物质系数(MF)</w:t>
            </w:r>
          </w:p>
        </w:tc>
        <w:tc>
          <w:tcPr>
            <w:tcW w:w="2500" w:type="pct"/>
            <w:vAlign w:val="center"/>
          </w:tcPr>
          <w:p>
            <w:pPr>
              <w:spacing w:line="360" w:lineRule="exact"/>
              <w:jc w:val="center"/>
              <w:rPr>
                <w:rFonts w:ascii="宋体" w:hAnsi="宋体" w:eastAsia="宋体"/>
                <w:color w:val="auto"/>
                <w:kern w:val="21"/>
                <w:sz w:val="21"/>
                <w:szCs w:val="21"/>
                <w:lang w:val="en-GB"/>
              </w:rPr>
            </w:pPr>
            <w:r>
              <w:rPr>
                <w:rFonts w:hint="eastAsia" w:ascii="宋体" w:hAnsi="宋体" w:eastAsia="宋体"/>
                <w:color w:val="auto"/>
                <w:kern w:val="21"/>
                <w:sz w:val="21"/>
                <w:szCs w:val="21"/>
                <w:lang w:val="en-GB"/>
              </w:rPr>
              <w:t>16</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2500" w:type="pct"/>
            <w:tcBorders>
              <w:bottom w:val="single" w:color="auto" w:sz="4" w:space="0"/>
            </w:tcBorders>
            <w:vAlign w:val="center"/>
          </w:tcPr>
          <w:p>
            <w:pPr>
              <w:spacing w:line="360" w:lineRule="exact"/>
              <w:jc w:val="center"/>
              <w:rPr>
                <w:rFonts w:ascii="宋体" w:hAnsi="宋体" w:eastAsia="宋体"/>
                <w:color w:val="auto"/>
                <w:kern w:val="21"/>
                <w:sz w:val="21"/>
                <w:szCs w:val="21"/>
                <w:lang w:val="en-GB"/>
              </w:rPr>
            </w:pPr>
            <w:r>
              <w:rPr>
                <w:rFonts w:hint="eastAsia" w:ascii="宋体" w:hAnsi="宋体" w:eastAsia="宋体"/>
                <w:color w:val="auto"/>
                <w:kern w:val="21"/>
                <w:sz w:val="21"/>
                <w:szCs w:val="21"/>
                <w:lang w:val="en-GB"/>
              </w:rPr>
              <w:t>危险指数F&amp;EI=F</w:t>
            </w:r>
            <w:r>
              <w:rPr>
                <w:rFonts w:hint="eastAsia" w:ascii="宋体" w:hAnsi="宋体" w:eastAsia="宋体"/>
                <w:color w:val="auto"/>
                <w:kern w:val="21"/>
                <w:sz w:val="21"/>
                <w:szCs w:val="21"/>
                <w:vertAlign w:val="subscript"/>
                <w:lang w:val="en-GB"/>
              </w:rPr>
              <w:t>3</w:t>
            </w:r>
            <w:r>
              <w:rPr>
                <w:rFonts w:hint="eastAsia" w:ascii="宋体" w:hAnsi="宋体" w:eastAsia="宋体"/>
                <w:color w:val="auto"/>
                <w:kern w:val="21"/>
                <w:sz w:val="21"/>
                <w:szCs w:val="21"/>
              </w:rPr>
              <w:t>×MF</w:t>
            </w:r>
          </w:p>
        </w:tc>
        <w:tc>
          <w:tcPr>
            <w:tcW w:w="2500" w:type="pct"/>
            <w:tcBorders>
              <w:bottom w:val="single" w:color="auto" w:sz="4" w:space="0"/>
            </w:tcBorders>
            <w:vAlign w:val="center"/>
          </w:tcPr>
          <w:p>
            <w:pPr>
              <w:spacing w:line="360" w:lineRule="exact"/>
              <w:jc w:val="center"/>
              <w:rPr>
                <w:rFonts w:ascii="宋体" w:hAnsi="宋体" w:eastAsia="宋体"/>
                <w:color w:val="auto"/>
                <w:kern w:val="21"/>
                <w:sz w:val="21"/>
                <w:szCs w:val="21"/>
                <w:lang w:val="en-GB"/>
              </w:rPr>
            </w:pPr>
            <w:r>
              <w:rPr>
                <w:rFonts w:hint="eastAsia" w:ascii="宋体" w:hAnsi="宋体" w:eastAsia="宋体"/>
                <w:color w:val="auto"/>
                <w:kern w:val="21"/>
                <w:sz w:val="21"/>
                <w:szCs w:val="21"/>
                <w:lang w:val="en-GB"/>
              </w:rPr>
              <w:t>101.52</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80" w:hRule="atLeast"/>
          <w:jc w:val="center"/>
        </w:trPr>
        <w:tc>
          <w:tcPr>
            <w:tcW w:w="2500" w:type="pct"/>
            <w:tcBorders>
              <w:top w:val="single" w:color="auto" w:sz="4" w:space="0"/>
              <w:bottom w:val="single" w:color="auto" w:sz="4" w:space="0"/>
            </w:tcBorders>
            <w:vAlign w:val="center"/>
          </w:tcPr>
          <w:p>
            <w:pPr>
              <w:spacing w:line="360" w:lineRule="exact"/>
              <w:jc w:val="center"/>
              <w:rPr>
                <w:rFonts w:ascii="宋体" w:hAnsi="宋体" w:eastAsia="宋体"/>
                <w:color w:val="auto"/>
                <w:kern w:val="21"/>
                <w:sz w:val="21"/>
                <w:szCs w:val="21"/>
                <w:lang w:val="en-GB"/>
              </w:rPr>
            </w:pPr>
            <w:r>
              <w:rPr>
                <w:rFonts w:hint="eastAsia" w:ascii="宋体" w:hAnsi="宋体" w:eastAsia="宋体"/>
                <w:color w:val="auto"/>
                <w:kern w:val="21"/>
                <w:sz w:val="21"/>
                <w:szCs w:val="21"/>
                <w:lang w:val="en-GB"/>
              </w:rPr>
              <w:t>潜在火灾爆炸危险等级</w:t>
            </w:r>
          </w:p>
        </w:tc>
        <w:tc>
          <w:tcPr>
            <w:tcW w:w="2500" w:type="pct"/>
            <w:tcBorders>
              <w:top w:val="single" w:color="auto" w:sz="4" w:space="0"/>
              <w:bottom w:val="single" w:color="auto" w:sz="4" w:space="0"/>
            </w:tcBorders>
            <w:vAlign w:val="center"/>
          </w:tcPr>
          <w:p>
            <w:pPr>
              <w:spacing w:line="360" w:lineRule="exact"/>
              <w:jc w:val="center"/>
              <w:rPr>
                <w:rFonts w:ascii="宋体" w:hAnsi="宋体" w:eastAsia="宋体"/>
                <w:color w:val="auto"/>
                <w:kern w:val="21"/>
                <w:sz w:val="21"/>
                <w:szCs w:val="21"/>
                <w:lang w:val="en-GB"/>
              </w:rPr>
            </w:pPr>
            <w:r>
              <w:rPr>
                <w:rFonts w:hint="eastAsia" w:ascii="宋体" w:hAnsi="宋体" w:eastAsia="宋体"/>
                <w:color w:val="auto"/>
                <w:kern w:val="21"/>
                <w:sz w:val="21"/>
                <w:szCs w:val="21"/>
                <w:lang w:val="en-GB"/>
              </w:rPr>
              <w:t>中等</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15" w:hRule="atLeast"/>
          <w:jc w:val="center"/>
        </w:trPr>
        <w:tc>
          <w:tcPr>
            <w:tcW w:w="2500" w:type="pct"/>
            <w:tcBorders>
              <w:top w:val="single" w:color="auto" w:sz="4" w:space="0"/>
            </w:tcBorders>
            <w:vAlign w:val="center"/>
          </w:tcPr>
          <w:p>
            <w:pPr>
              <w:spacing w:line="360" w:lineRule="exact"/>
              <w:jc w:val="center"/>
              <w:rPr>
                <w:rFonts w:ascii="宋体" w:hAnsi="宋体" w:eastAsia="宋体"/>
                <w:color w:val="auto"/>
                <w:kern w:val="21"/>
                <w:sz w:val="21"/>
                <w:szCs w:val="21"/>
                <w:lang w:val="en-GB"/>
              </w:rPr>
            </w:pPr>
            <w:r>
              <w:rPr>
                <w:rFonts w:hint="eastAsia" w:ascii="宋体" w:hAnsi="宋体" w:eastAsia="宋体"/>
                <w:color w:val="auto"/>
                <w:kern w:val="21"/>
                <w:sz w:val="21"/>
                <w:szCs w:val="21"/>
                <w:lang w:val="en-GB"/>
              </w:rPr>
              <w:t>暴露半径</w:t>
            </w:r>
          </w:p>
        </w:tc>
        <w:tc>
          <w:tcPr>
            <w:tcW w:w="2500" w:type="pct"/>
            <w:tcBorders>
              <w:top w:val="single" w:color="auto" w:sz="4" w:space="0"/>
            </w:tcBorders>
            <w:vAlign w:val="center"/>
          </w:tcPr>
          <w:p>
            <w:pPr>
              <w:spacing w:line="360" w:lineRule="exact"/>
              <w:jc w:val="center"/>
              <w:rPr>
                <w:rFonts w:ascii="宋体" w:hAnsi="宋体" w:eastAsia="宋体"/>
                <w:color w:val="auto"/>
                <w:kern w:val="21"/>
                <w:sz w:val="21"/>
                <w:szCs w:val="21"/>
                <w:lang w:val="en-GB"/>
              </w:rPr>
            </w:pPr>
            <w:r>
              <w:rPr>
                <w:rFonts w:hint="eastAsia" w:ascii="宋体" w:hAnsi="宋体" w:eastAsia="宋体"/>
                <w:color w:val="auto"/>
                <w:kern w:val="21"/>
                <w:sz w:val="21"/>
                <w:szCs w:val="21"/>
                <w:lang w:val="en-GB"/>
              </w:rPr>
              <w:t>26.0</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2500" w:type="pct"/>
            <w:vAlign w:val="center"/>
          </w:tcPr>
          <w:p>
            <w:pPr>
              <w:spacing w:line="360" w:lineRule="exact"/>
              <w:jc w:val="center"/>
              <w:rPr>
                <w:rFonts w:ascii="宋体" w:hAnsi="宋体" w:eastAsia="宋体"/>
                <w:color w:val="auto"/>
                <w:kern w:val="21"/>
                <w:sz w:val="21"/>
                <w:szCs w:val="21"/>
                <w:lang w:val="en-GB"/>
              </w:rPr>
            </w:pPr>
            <w:r>
              <w:rPr>
                <w:rFonts w:hint="eastAsia" w:ascii="宋体" w:hAnsi="宋体" w:eastAsia="宋体"/>
                <w:color w:val="auto"/>
                <w:kern w:val="21"/>
                <w:sz w:val="21"/>
                <w:szCs w:val="21"/>
                <w:lang w:val="en-GB"/>
              </w:rPr>
              <w:t>安全补偿系数C</w:t>
            </w:r>
            <w:r>
              <w:rPr>
                <w:rFonts w:hint="eastAsia" w:ascii="宋体" w:hAnsi="宋体" w:eastAsia="宋体"/>
                <w:color w:val="auto"/>
                <w:kern w:val="21"/>
                <w:sz w:val="21"/>
                <w:szCs w:val="21"/>
                <w:vertAlign w:val="subscript"/>
                <w:lang w:val="en-GB"/>
              </w:rPr>
              <w:t>F</w:t>
            </w:r>
          </w:p>
        </w:tc>
        <w:tc>
          <w:tcPr>
            <w:tcW w:w="2500" w:type="pct"/>
            <w:vAlign w:val="center"/>
          </w:tcPr>
          <w:p>
            <w:pPr>
              <w:spacing w:line="360" w:lineRule="exact"/>
              <w:jc w:val="center"/>
              <w:rPr>
                <w:rFonts w:ascii="宋体" w:hAnsi="宋体" w:eastAsia="宋体"/>
                <w:color w:val="auto"/>
                <w:kern w:val="21"/>
                <w:sz w:val="21"/>
                <w:szCs w:val="21"/>
              </w:rPr>
            </w:pPr>
            <w:r>
              <w:rPr>
                <w:rFonts w:hint="eastAsia" w:ascii="宋体" w:hAnsi="宋体" w:eastAsia="宋体"/>
                <w:color w:val="auto"/>
                <w:kern w:val="21"/>
                <w:sz w:val="21"/>
                <w:szCs w:val="21"/>
              </w:rPr>
              <w:t>0.839</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2500" w:type="pct"/>
            <w:vAlign w:val="center"/>
          </w:tcPr>
          <w:p>
            <w:pPr>
              <w:spacing w:line="360" w:lineRule="exact"/>
              <w:jc w:val="center"/>
              <w:rPr>
                <w:rFonts w:ascii="宋体" w:hAnsi="宋体" w:eastAsia="宋体"/>
                <w:color w:val="auto"/>
                <w:kern w:val="21"/>
                <w:sz w:val="21"/>
                <w:szCs w:val="21"/>
                <w:lang w:val="en-GB"/>
              </w:rPr>
            </w:pPr>
            <w:r>
              <w:rPr>
                <w:rFonts w:hint="eastAsia" w:ascii="宋体" w:hAnsi="宋体" w:eastAsia="宋体"/>
                <w:color w:val="auto"/>
                <w:kern w:val="21"/>
                <w:sz w:val="21"/>
                <w:szCs w:val="21"/>
                <w:lang w:val="en-GB"/>
              </w:rPr>
              <w:t>危害系数HF</w:t>
            </w:r>
          </w:p>
        </w:tc>
        <w:tc>
          <w:tcPr>
            <w:tcW w:w="2500" w:type="pct"/>
            <w:vAlign w:val="center"/>
          </w:tcPr>
          <w:p>
            <w:pPr>
              <w:spacing w:line="360" w:lineRule="exact"/>
              <w:jc w:val="center"/>
              <w:rPr>
                <w:rFonts w:ascii="宋体" w:hAnsi="宋体" w:eastAsia="宋体"/>
                <w:color w:val="auto"/>
                <w:kern w:val="21"/>
                <w:sz w:val="21"/>
                <w:szCs w:val="21"/>
                <w:lang w:val="en-GB"/>
              </w:rPr>
            </w:pPr>
            <w:r>
              <w:rPr>
                <w:rFonts w:hint="eastAsia" w:ascii="宋体" w:hAnsi="宋体" w:eastAsia="宋体"/>
                <w:color w:val="auto"/>
                <w:kern w:val="21"/>
                <w:sz w:val="21"/>
                <w:szCs w:val="21"/>
                <w:lang w:val="en-GB"/>
              </w:rPr>
              <w:t>0.67</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2500" w:type="pct"/>
            <w:vAlign w:val="center"/>
          </w:tcPr>
          <w:p>
            <w:pPr>
              <w:spacing w:line="360" w:lineRule="exact"/>
              <w:jc w:val="center"/>
              <w:rPr>
                <w:rFonts w:ascii="宋体" w:hAnsi="宋体" w:eastAsia="宋体"/>
                <w:color w:val="auto"/>
                <w:kern w:val="21"/>
                <w:sz w:val="21"/>
                <w:szCs w:val="21"/>
                <w:lang w:val="en-GB"/>
              </w:rPr>
            </w:pPr>
            <w:r>
              <w:rPr>
                <w:rFonts w:hint="eastAsia" w:ascii="宋体" w:hAnsi="宋体" w:eastAsia="宋体"/>
                <w:color w:val="auto"/>
                <w:kern w:val="21"/>
                <w:sz w:val="21"/>
                <w:szCs w:val="21"/>
                <w:lang w:val="en-GB" w:eastAsia="zh-CN"/>
              </w:rPr>
              <w:t>补偿前</w:t>
            </w:r>
            <w:r>
              <w:rPr>
                <w:rFonts w:hint="eastAsia" w:ascii="宋体" w:hAnsi="宋体" w:eastAsia="宋体"/>
                <w:color w:val="auto"/>
                <w:kern w:val="21"/>
                <w:sz w:val="21"/>
                <w:szCs w:val="21"/>
                <w:lang w:val="en-GB"/>
              </w:rPr>
              <w:t>最大可能财产损失</w:t>
            </w:r>
          </w:p>
        </w:tc>
        <w:tc>
          <w:tcPr>
            <w:tcW w:w="2500" w:type="pct"/>
            <w:vAlign w:val="center"/>
          </w:tcPr>
          <w:p>
            <w:pPr>
              <w:spacing w:line="360" w:lineRule="exact"/>
              <w:jc w:val="center"/>
              <w:rPr>
                <w:rFonts w:ascii="宋体" w:hAnsi="宋体" w:eastAsia="宋体"/>
                <w:color w:val="auto"/>
                <w:kern w:val="21"/>
                <w:sz w:val="21"/>
                <w:szCs w:val="21"/>
                <w:lang w:val="en-GB"/>
              </w:rPr>
            </w:pPr>
            <w:r>
              <w:rPr>
                <w:rFonts w:hint="eastAsia" w:ascii="宋体" w:hAnsi="宋体" w:eastAsia="宋体"/>
                <w:color w:val="auto"/>
                <w:kern w:val="21"/>
                <w:sz w:val="21"/>
                <w:szCs w:val="21"/>
                <w:lang w:val="en-GB"/>
              </w:rPr>
              <w:t>暴露区域内财产价值×0.67</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2500" w:type="pct"/>
            <w:vAlign w:val="center"/>
          </w:tcPr>
          <w:p>
            <w:pPr>
              <w:spacing w:line="360" w:lineRule="exact"/>
              <w:jc w:val="center"/>
              <w:rPr>
                <w:rFonts w:ascii="宋体" w:hAnsi="宋体" w:eastAsia="宋体"/>
                <w:color w:val="auto"/>
                <w:kern w:val="21"/>
                <w:sz w:val="21"/>
                <w:szCs w:val="21"/>
                <w:lang w:val="en-GB"/>
              </w:rPr>
            </w:pPr>
            <w:r>
              <w:rPr>
                <w:rFonts w:hint="eastAsia" w:ascii="宋体" w:hAnsi="宋体" w:eastAsia="宋体"/>
                <w:color w:val="auto"/>
                <w:kern w:val="21"/>
                <w:sz w:val="21"/>
                <w:szCs w:val="21"/>
                <w:lang w:val="en-GB"/>
              </w:rPr>
              <w:t>补偿后火灾爆炸指数F&amp;EI＇=F&amp;EI×C</w:t>
            </w:r>
            <w:r>
              <w:rPr>
                <w:rFonts w:hint="eastAsia" w:ascii="宋体" w:hAnsi="宋体" w:eastAsia="宋体"/>
                <w:color w:val="auto"/>
                <w:kern w:val="21"/>
                <w:sz w:val="21"/>
                <w:szCs w:val="21"/>
                <w:vertAlign w:val="subscript"/>
                <w:lang w:val="en-GB"/>
              </w:rPr>
              <w:t>F</w:t>
            </w:r>
          </w:p>
        </w:tc>
        <w:tc>
          <w:tcPr>
            <w:tcW w:w="2500" w:type="pct"/>
            <w:vAlign w:val="center"/>
          </w:tcPr>
          <w:p>
            <w:pPr>
              <w:spacing w:line="360" w:lineRule="exact"/>
              <w:jc w:val="center"/>
              <w:rPr>
                <w:rFonts w:ascii="宋体" w:hAnsi="宋体" w:eastAsia="宋体"/>
                <w:color w:val="auto"/>
                <w:kern w:val="21"/>
                <w:sz w:val="21"/>
                <w:szCs w:val="21"/>
                <w:lang w:val="en-GB"/>
              </w:rPr>
            </w:pPr>
            <w:r>
              <w:rPr>
                <w:rFonts w:hint="eastAsia" w:ascii="宋体" w:hAnsi="宋体" w:eastAsia="宋体"/>
                <w:color w:val="auto"/>
                <w:kern w:val="21"/>
                <w:sz w:val="21"/>
                <w:szCs w:val="21"/>
                <w:lang w:val="en-GB"/>
              </w:rPr>
              <w:t>85.2</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2500" w:type="pct"/>
            <w:vAlign w:val="center"/>
          </w:tcPr>
          <w:p>
            <w:pPr>
              <w:spacing w:line="360" w:lineRule="exact"/>
              <w:jc w:val="center"/>
              <w:rPr>
                <w:rFonts w:ascii="宋体" w:hAnsi="宋体" w:eastAsia="宋体"/>
                <w:color w:val="auto"/>
                <w:kern w:val="21"/>
                <w:sz w:val="21"/>
                <w:szCs w:val="21"/>
                <w:lang w:val="en-GB"/>
              </w:rPr>
            </w:pPr>
            <w:r>
              <w:rPr>
                <w:rFonts w:hint="eastAsia" w:ascii="宋体" w:hAnsi="宋体" w:eastAsia="宋体"/>
                <w:color w:val="auto"/>
                <w:kern w:val="21"/>
                <w:sz w:val="21"/>
                <w:szCs w:val="21"/>
                <w:lang w:val="en-GB"/>
              </w:rPr>
              <w:t>实际火灾爆炸危险等级</w:t>
            </w:r>
          </w:p>
        </w:tc>
        <w:tc>
          <w:tcPr>
            <w:tcW w:w="2500" w:type="pct"/>
            <w:vAlign w:val="center"/>
          </w:tcPr>
          <w:p>
            <w:pPr>
              <w:spacing w:line="360" w:lineRule="exact"/>
              <w:jc w:val="center"/>
              <w:rPr>
                <w:rFonts w:ascii="宋体" w:hAnsi="宋体" w:eastAsia="宋体"/>
                <w:color w:val="auto"/>
                <w:kern w:val="21"/>
                <w:sz w:val="21"/>
                <w:szCs w:val="21"/>
                <w:lang w:val="en-GB"/>
              </w:rPr>
            </w:pPr>
            <w:r>
              <w:rPr>
                <w:rFonts w:hint="eastAsia" w:ascii="宋体" w:hAnsi="宋体" w:eastAsia="宋体"/>
                <w:color w:val="auto"/>
                <w:kern w:val="21"/>
                <w:sz w:val="21"/>
                <w:szCs w:val="21"/>
                <w:lang w:val="en-GB"/>
              </w:rPr>
              <w:t>较轻</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2500" w:type="pct"/>
            <w:vAlign w:val="center"/>
          </w:tcPr>
          <w:p>
            <w:pPr>
              <w:spacing w:line="360" w:lineRule="exact"/>
              <w:jc w:val="center"/>
              <w:rPr>
                <w:rFonts w:ascii="宋体" w:hAnsi="宋体" w:eastAsia="宋体"/>
                <w:color w:val="auto"/>
                <w:kern w:val="21"/>
                <w:sz w:val="21"/>
                <w:szCs w:val="21"/>
                <w:lang w:val="en-GB"/>
              </w:rPr>
            </w:pPr>
            <w:r>
              <w:rPr>
                <w:rFonts w:hint="eastAsia" w:ascii="宋体" w:hAnsi="宋体" w:eastAsia="宋体"/>
                <w:color w:val="auto"/>
                <w:kern w:val="21"/>
                <w:sz w:val="21"/>
                <w:szCs w:val="21"/>
                <w:lang w:val="en-GB"/>
              </w:rPr>
              <w:t>补偿后暴露半径(R：m)</w:t>
            </w:r>
          </w:p>
        </w:tc>
        <w:tc>
          <w:tcPr>
            <w:tcW w:w="2500" w:type="pct"/>
            <w:vAlign w:val="center"/>
          </w:tcPr>
          <w:p>
            <w:pPr>
              <w:spacing w:line="360" w:lineRule="exact"/>
              <w:jc w:val="center"/>
              <w:rPr>
                <w:rFonts w:ascii="宋体" w:hAnsi="宋体" w:eastAsia="宋体"/>
                <w:color w:val="auto"/>
                <w:kern w:val="21"/>
                <w:sz w:val="21"/>
                <w:szCs w:val="21"/>
                <w:lang w:val="en-GB"/>
              </w:rPr>
            </w:pPr>
            <w:r>
              <w:rPr>
                <w:rFonts w:hint="eastAsia" w:ascii="宋体" w:hAnsi="宋体" w:eastAsia="宋体"/>
                <w:color w:val="auto"/>
                <w:kern w:val="21"/>
                <w:sz w:val="21"/>
                <w:szCs w:val="21"/>
                <w:lang w:val="en-GB"/>
              </w:rPr>
              <w:t>21.8</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2500" w:type="pct"/>
            <w:vAlign w:val="center"/>
          </w:tcPr>
          <w:p>
            <w:pPr>
              <w:spacing w:line="360" w:lineRule="exact"/>
              <w:jc w:val="center"/>
              <w:rPr>
                <w:rFonts w:ascii="宋体" w:hAnsi="宋体" w:eastAsia="宋体"/>
                <w:color w:val="auto"/>
                <w:kern w:val="21"/>
                <w:sz w:val="21"/>
                <w:szCs w:val="21"/>
                <w:lang w:val="en-GB"/>
              </w:rPr>
            </w:pPr>
            <w:r>
              <w:rPr>
                <w:rFonts w:hint="eastAsia" w:ascii="宋体" w:hAnsi="宋体" w:eastAsia="宋体"/>
                <w:color w:val="auto"/>
                <w:kern w:val="21"/>
                <w:sz w:val="21"/>
                <w:szCs w:val="21"/>
                <w:lang w:val="en-GB" w:eastAsia="zh-CN"/>
              </w:rPr>
              <w:t>补偿后</w:t>
            </w:r>
            <w:r>
              <w:rPr>
                <w:rFonts w:hint="eastAsia" w:ascii="宋体" w:hAnsi="宋体" w:eastAsia="宋体"/>
                <w:color w:val="auto"/>
                <w:kern w:val="21"/>
                <w:sz w:val="21"/>
                <w:szCs w:val="21"/>
                <w:lang w:val="en-GB"/>
              </w:rPr>
              <w:t>最大可能财产损失</w:t>
            </w:r>
          </w:p>
        </w:tc>
        <w:tc>
          <w:tcPr>
            <w:tcW w:w="2500" w:type="pct"/>
            <w:vAlign w:val="center"/>
          </w:tcPr>
          <w:p>
            <w:pPr>
              <w:spacing w:line="360" w:lineRule="exact"/>
              <w:jc w:val="center"/>
              <w:rPr>
                <w:rFonts w:ascii="宋体" w:hAnsi="宋体" w:eastAsia="宋体"/>
                <w:color w:val="auto"/>
                <w:kern w:val="21"/>
                <w:sz w:val="21"/>
                <w:szCs w:val="21"/>
                <w:lang w:val="en-GB"/>
              </w:rPr>
            </w:pPr>
            <w:r>
              <w:rPr>
                <w:rFonts w:hint="eastAsia" w:ascii="宋体" w:hAnsi="宋体" w:eastAsia="宋体"/>
                <w:color w:val="auto"/>
                <w:kern w:val="21"/>
                <w:sz w:val="21"/>
                <w:szCs w:val="21"/>
                <w:lang w:val="en-GB"/>
              </w:rPr>
              <w:t>暴露区域内财产价值×0.56</w:t>
            </w:r>
          </w:p>
        </w:tc>
      </w:tr>
    </w:tbl>
    <w:p>
      <w:pPr>
        <w:spacing w:line="560" w:lineRule="exact"/>
        <w:ind w:firstLine="454" w:firstLineChars="142"/>
        <w:rPr>
          <w:rFonts w:ascii="宋体" w:hAnsi="宋体" w:eastAsia="宋体"/>
          <w:color w:val="auto"/>
          <w:spacing w:val="20"/>
          <w:sz w:val="28"/>
          <w:szCs w:val="28"/>
          <w:lang w:eastAsia="zh-CN"/>
        </w:rPr>
      </w:pPr>
      <w:r>
        <w:rPr>
          <w:rFonts w:hint="eastAsia" w:ascii="宋体" w:hAnsi="宋体" w:eastAsia="宋体"/>
          <w:color w:val="auto"/>
          <w:spacing w:val="20"/>
          <w:sz w:val="28"/>
          <w:szCs w:val="28"/>
          <w:lang w:eastAsia="zh-CN"/>
        </w:rPr>
        <w:t>6</w:t>
      </w:r>
      <w:r>
        <w:rPr>
          <w:rFonts w:ascii="宋体" w:hAnsi="宋体" w:eastAsia="宋体"/>
          <w:color w:val="auto"/>
          <w:spacing w:val="20"/>
          <w:sz w:val="28"/>
          <w:szCs w:val="28"/>
          <w:lang w:eastAsia="zh-CN"/>
        </w:rPr>
        <w:t>)火灾爆炸</w:t>
      </w:r>
      <w:r>
        <w:rPr>
          <w:rFonts w:hint="eastAsia" w:ascii="宋体" w:hAnsi="宋体" w:eastAsia="宋体"/>
          <w:color w:val="auto"/>
          <w:spacing w:val="20"/>
          <w:sz w:val="28"/>
          <w:szCs w:val="28"/>
          <w:lang w:eastAsia="zh-CN"/>
        </w:rPr>
        <w:t>指数</w:t>
      </w:r>
      <w:r>
        <w:rPr>
          <w:rFonts w:ascii="宋体" w:hAnsi="宋体" w:eastAsia="宋体"/>
          <w:color w:val="auto"/>
          <w:spacing w:val="20"/>
          <w:sz w:val="28"/>
          <w:szCs w:val="28"/>
          <w:lang w:eastAsia="zh-CN"/>
        </w:rPr>
        <w:t>危险等级</w:t>
      </w:r>
      <w:r>
        <w:rPr>
          <w:rFonts w:hint="eastAsia" w:ascii="宋体" w:hAnsi="宋体" w:eastAsia="宋体"/>
          <w:color w:val="auto"/>
          <w:spacing w:val="20"/>
          <w:sz w:val="28"/>
          <w:szCs w:val="28"/>
          <w:lang w:eastAsia="zh-CN"/>
        </w:rPr>
        <w:t>划分</w:t>
      </w:r>
    </w:p>
    <w:p>
      <w:pPr>
        <w:spacing w:line="560" w:lineRule="exact"/>
        <w:ind w:firstLine="454" w:firstLineChars="142"/>
        <w:rPr>
          <w:rFonts w:ascii="宋体" w:hAnsi="宋体" w:eastAsia="宋体"/>
          <w:color w:val="auto"/>
          <w:spacing w:val="20"/>
          <w:sz w:val="28"/>
          <w:szCs w:val="28"/>
          <w:lang w:eastAsia="zh-CN"/>
        </w:rPr>
      </w:pPr>
      <w:r>
        <w:rPr>
          <w:rFonts w:ascii="宋体" w:hAnsi="宋体" w:eastAsia="宋体"/>
          <w:color w:val="auto"/>
          <w:spacing w:val="20"/>
          <w:sz w:val="28"/>
          <w:szCs w:val="28"/>
          <w:lang w:eastAsia="zh-CN"/>
        </w:rPr>
        <w:t>根据道化法(七版)火灾爆炸指数分级标准表的规定，火灾爆炸危险指数值与危险等级的对应关系如下表。</w:t>
      </w:r>
    </w:p>
    <w:p>
      <w:pPr>
        <w:spacing w:line="560" w:lineRule="exact"/>
        <w:jc w:val="center"/>
        <w:rPr>
          <w:rFonts w:ascii="宋体" w:hAnsi="宋体" w:eastAsia="宋体"/>
          <w:b/>
          <w:color w:val="auto"/>
          <w:spacing w:val="20"/>
          <w:lang w:eastAsia="zh-CN"/>
        </w:rPr>
      </w:pPr>
      <w:r>
        <w:rPr>
          <w:rFonts w:ascii="宋体" w:hAnsi="宋体" w:eastAsia="宋体"/>
          <w:b/>
          <w:color w:val="auto"/>
          <w:spacing w:val="20"/>
          <w:lang w:eastAsia="zh-CN"/>
        </w:rPr>
        <w:t>火灾爆炸危险指数F&amp;EI与危险等级的对应关系</w:t>
      </w:r>
    </w:p>
    <w:tbl>
      <w:tblPr>
        <w:tblStyle w:val="45"/>
        <w:tblW w:w="487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24"/>
        <w:gridCol w:w="1523"/>
        <w:gridCol w:w="1526"/>
        <w:gridCol w:w="1525"/>
        <w:gridCol w:w="1528"/>
        <w:gridCol w:w="15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88" w:type="dxa"/>
            <w:tcBorders>
              <w:top w:val="single" w:color="auto" w:sz="4" w:space="0"/>
              <w:left w:val="single" w:color="auto" w:sz="4" w:space="0"/>
              <w:bottom w:val="single" w:color="auto" w:sz="4" w:space="0"/>
              <w:right w:val="single" w:color="auto" w:sz="4" w:space="0"/>
            </w:tcBorders>
            <w:vAlign w:val="center"/>
          </w:tcPr>
          <w:p>
            <w:pPr>
              <w:pStyle w:val="19"/>
              <w:ind w:firstLine="0" w:firstLineChars="0"/>
              <w:jc w:val="center"/>
              <w:rPr>
                <w:bCs/>
                <w:color w:val="auto"/>
                <w:kern w:val="21"/>
                <w:sz w:val="21"/>
                <w:szCs w:val="21"/>
                <w:lang w:val="en-US" w:eastAsia="zh-CN"/>
              </w:rPr>
            </w:pPr>
            <w:r>
              <w:rPr>
                <w:rFonts w:hint="eastAsia"/>
                <w:color w:val="auto"/>
                <w:kern w:val="21"/>
                <w:sz w:val="21"/>
                <w:szCs w:val="21"/>
                <w:lang w:val="en-US" w:eastAsia="zh-CN"/>
              </w:rPr>
              <w:t>F&amp;EI值</w:t>
            </w:r>
          </w:p>
        </w:tc>
        <w:tc>
          <w:tcPr>
            <w:tcW w:w="1487" w:type="dxa"/>
            <w:tcBorders>
              <w:top w:val="single" w:color="auto" w:sz="4" w:space="0"/>
              <w:left w:val="single" w:color="auto" w:sz="4" w:space="0"/>
              <w:bottom w:val="single" w:color="auto" w:sz="4" w:space="0"/>
              <w:right w:val="single" w:color="auto" w:sz="4" w:space="0"/>
            </w:tcBorders>
            <w:vAlign w:val="center"/>
          </w:tcPr>
          <w:p>
            <w:pPr>
              <w:pStyle w:val="19"/>
              <w:ind w:firstLine="0" w:firstLineChars="0"/>
              <w:jc w:val="center"/>
              <w:rPr>
                <w:color w:val="auto"/>
                <w:kern w:val="21"/>
                <w:sz w:val="21"/>
                <w:szCs w:val="21"/>
                <w:lang w:val="en-US" w:eastAsia="zh-CN"/>
              </w:rPr>
            </w:pPr>
            <w:r>
              <w:rPr>
                <w:rFonts w:hint="eastAsia"/>
                <w:color w:val="auto"/>
                <w:kern w:val="21"/>
                <w:sz w:val="21"/>
                <w:szCs w:val="21"/>
                <w:lang w:val="en-US" w:eastAsia="zh-CN"/>
              </w:rPr>
              <w:t>1～60</w:t>
            </w:r>
          </w:p>
        </w:tc>
        <w:tc>
          <w:tcPr>
            <w:tcW w:w="1489" w:type="dxa"/>
            <w:tcBorders>
              <w:top w:val="single" w:color="auto" w:sz="4" w:space="0"/>
              <w:left w:val="single" w:color="auto" w:sz="4" w:space="0"/>
              <w:bottom w:val="single" w:color="auto" w:sz="4" w:space="0"/>
              <w:right w:val="single" w:color="auto" w:sz="4" w:space="0"/>
            </w:tcBorders>
            <w:vAlign w:val="center"/>
          </w:tcPr>
          <w:p>
            <w:pPr>
              <w:pStyle w:val="19"/>
              <w:ind w:firstLine="0" w:firstLineChars="0"/>
              <w:jc w:val="center"/>
              <w:rPr>
                <w:color w:val="auto"/>
                <w:kern w:val="21"/>
                <w:sz w:val="21"/>
                <w:szCs w:val="21"/>
                <w:lang w:val="en-US" w:eastAsia="zh-CN"/>
              </w:rPr>
            </w:pPr>
            <w:r>
              <w:rPr>
                <w:rFonts w:hint="eastAsia"/>
                <w:color w:val="auto"/>
                <w:kern w:val="21"/>
                <w:sz w:val="21"/>
                <w:szCs w:val="21"/>
                <w:lang w:val="en-US" w:eastAsia="zh-CN"/>
              </w:rPr>
              <w:t>61～96</w:t>
            </w:r>
          </w:p>
        </w:tc>
        <w:tc>
          <w:tcPr>
            <w:tcW w:w="1488" w:type="dxa"/>
            <w:tcBorders>
              <w:top w:val="single" w:color="auto" w:sz="4" w:space="0"/>
              <w:left w:val="single" w:color="auto" w:sz="4" w:space="0"/>
              <w:bottom w:val="single" w:color="auto" w:sz="4" w:space="0"/>
              <w:right w:val="single" w:color="auto" w:sz="4" w:space="0"/>
            </w:tcBorders>
            <w:vAlign w:val="center"/>
          </w:tcPr>
          <w:p>
            <w:pPr>
              <w:pStyle w:val="19"/>
              <w:ind w:firstLine="0" w:firstLineChars="0"/>
              <w:jc w:val="center"/>
              <w:rPr>
                <w:color w:val="auto"/>
                <w:kern w:val="21"/>
                <w:sz w:val="21"/>
                <w:szCs w:val="21"/>
                <w:lang w:val="en-US" w:eastAsia="zh-CN"/>
              </w:rPr>
            </w:pPr>
            <w:r>
              <w:rPr>
                <w:rFonts w:hint="eastAsia"/>
                <w:color w:val="auto"/>
                <w:kern w:val="21"/>
                <w:sz w:val="21"/>
                <w:szCs w:val="21"/>
                <w:lang w:val="en-US" w:eastAsia="zh-CN"/>
              </w:rPr>
              <w:t>97～127</w:t>
            </w:r>
          </w:p>
        </w:tc>
        <w:tc>
          <w:tcPr>
            <w:tcW w:w="1491" w:type="dxa"/>
            <w:tcBorders>
              <w:top w:val="single" w:color="auto" w:sz="4" w:space="0"/>
              <w:left w:val="single" w:color="auto" w:sz="4" w:space="0"/>
              <w:bottom w:val="single" w:color="auto" w:sz="4" w:space="0"/>
              <w:right w:val="single" w:color="auto" w:sz="4" w:space="0"/>
            </w:tcBorders>
            <w:vAlign w:val="center"/>
          </w:tcPr>
          <w:p>
            <w:pPr>
              <w:pStyle w:val="19"/>
              <w:ind w:firstLine="0" w:firstLineChars="0"/>
              <w:jc w:val="center"/>
              <w:rPr>
                <w:color w:val="auto"/>
                <w:kern w:val="21"/>
                <w:sz w:val="21"/>
                <w:szCs w:val="21"/>
                <w:lang w:val="en-US" w:eastAsia="zh-CN"/>
              </w:rPr>
            </w:pPr>
            <w:r>
              <w:rPr>
                <w:rFonts w:hint="eastAsia"/>
                <w:color w:val="auto"/>
                <w:kern w:val="21"/>
                <w:sz w:val="21"/>
                <w:szCs w:val="21"/>
                <w:lang w:val="en-US" w:eastAsia="zh-CN"/>
              </w:rPr>
              <w:t>128～158</w:t>
            </w:r>
          </w:p>
        </w:tc>
        <w:tc>
          <w:tcPr>
            <w:tcW w:w="1487" w:type="dxa"/>
            <w:tcBorders>
              <w:top w:val="single" w:color="auto" w:sz="4" w:space="0"/>
              <w:left w:val="single" w:color="auto" w:sz="4" w:space="0"/>
              <w:bottom w:val="single" w:color="auto" w:sz="4" w:space="0"/>
              <w:right w:val="single" w:color="auto" w:sz="4" w:space="0"/>
            </w:tcBorders>
            <w:vAlign w:val="center"/>
          </w:tcPr>
          <w:p>
            <w:pPr>
              <w:pStyle w:val="19"/>
              <w:ind w:firstLine="0" w:firstLineChars="0"/>
              <w:jc w:val="center"/>
              <w:rPr>
                <w:color w:val="auto"/>
                <w:kern w:val="21"/>
                <w:sz w:val="21"/>
                <w:szCs w:val="21"/>
                <w:lang w:val="en-US" w:eastAsia="zh-CN"/>
              </w:rPr>
            </w:pPr>
            <w:r>
              <w:rPr>
                <w:rFonts w:hint="eastAsia"/>
                <w:color w:val="auto"/>
                <w:kern w:val="21"/>
                <w:sz w:val="21"/>
                <w:szCs w:val="21"/>
                <w:lang w:val="en-US" w:eastAsia="zh-CN"/>
              </w:rPr>
              <w:t>＞159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88" w:type="dxa"/>
            <w:tcBorders>
              <w:top w:val="single" w:color="auto" w:sz="4" w:space="0"/>
              <w:left w:val="single" w:color="auto" w:sz="4" w:space="0"/>
              <w:bottom w:val="single" w:color="auto" w:sz="4" w:space="0"/>
              <w:right w:val="single" w:color="auto" w:sz="4" w:space="0"/>
            </w:tcBorders>
            <w:vAlign w:val="center"/>
          </w:tcPr>
          <w:p>
            <w:pPr>
              <w:pStyle w:val="19"/>
              <w:ind w:firstLine="0" w:firstLineChars="0"/>
              <w:jc w:val="center"/>
              <w:rPr>
                <w:bCs/>
                <w:color w:val="auto"/>
                <w:kern w:val="21"/>
                <w:sz w:val="21"/>
                <w:szCs w:val="21"/>
                <w:lang w:val="en-US" w:eastAsia="zh-CN"/>
              </w:rPr>
            </w:pPr>
            <w:r>
              <w:rPr>
                <w:rFonts w:hint="eastAsia"/>
                <w:color w:val="auto"/>
                <w:kern w:val="21"/>
                <w:sz w:val="21"/>
                <w:szCs w:val="21"/>
                <w:lang w:val="en-US" w:eastAsia="zh-CN"/>
              </w:rPr>
              <w:t>危险等级</w:t>
            </w:r>
          </w:p>
        </w:tc>
        <w:tc>
          <w:tcPr>
            <w:tcW w:w="1487" w:type="dxa"/>
            <w:tcBorders>
              <w:top w:val="single" w:color="auto" w:sz="4" w:space="0"/>
              <w:left w:val="single" w:color="auto" w:sz="4" w:space="0"/>
              <w:bottom w:val="single" w:color="auto" w:sz="4" w:space="0"/>
              <w:right w:val="single" w:color="auto" w:sz="4" w:space="0"/>
            </w:tcBorders>
            <w:vAlign w:val="center"/>
          </w:tcPr>
          <w:p>
            <w:pPr>
              <w:pStyle w:val="19"/>
              <w:ind w:firstLine="0" w:firstLineChars="0"/>
              <w:jc w:val="center"/>
              <w:rPr>
                <w:color w:val="auto"/>
                <w:kern w:val="21"/>
                <w:sz w:val="21"/>
                <w:szCs w:val="21"/>
                <w:lang w:val="en-US" w:eastAsia="zh-CN"/>
              </w:rPr>
            </w:pPr>
            <w:r>
              <w:rPr>
                <w:rFonts w:hint="eastAsia"/>
                <w:color w:val="auto"/>
                <w:kern w:val="21"/>
                <w:sz w:val="21"/>
                <w:szCs w:val="21"/>
                <w:lang w:val="en-US" w:eastAsia="zh-CN"/>
              </w:rPr>
              <w:t>最轻</w:t>
            </w:r>
          </w:p>
        </w:tc>
        <w:tc>
          <w:tcPr>
            <w:tcW w:w="1489" w:type="dxa"/>
            <w:tcBorders>
              <w:top w:val="single" w:color="auto" w:sz="4" w:space="0"/>
              <w:left w:val="single" w:color="auto" w:sz="4" w:space="0"/>
              <w:bottom w:val="single" w:color="auto" w:sz="4" w:space="0"/>
              <w:right w:val="single" w:color="auto" w:sz="4" w:space="0"/>
            </w:tcBorders>
            <w:vAlign w:val="center"/>
          </w:tcPr>
          <w:p>
            <w:pPr>
              <w:pStyle w:val="19"/>
              <w:ind w:firstLine="0" w:firstLineChars="0"/>
              <w:jc w:val="center"/>
              <w:rPr>
                <w:color w:val="auto"/>
                <w:kern w:val="21"/>
                <w:sz w:val="21"/>
                <w:szCs w:val="21"/>
                <w:lang w:val="en-US" w:eastAsia="zh-CN"/>
              </w:rPr>
            </w:pPr>
            <w:r>
              <w:rPr>
                <w:rFonts w:hint="eastAsia"/>
                <w:color w:val="auto"/>
                <w:kern w:val="21"/>
                <w:sz w:val="21"/>
                <w:szCs w:val="21"/>
                <w:lang w:val="en-US" w:eastAsia="zh-CN"/>
              </w:rPr>
              <w:t>较轻</w:t>
            </w:r>
          </w:p>
        </w:tc>
        <w:tc>
          <w:tcPr>
            <w:tcW w:w="1488" w:type="dxa"/>
            <w:tcBorders>
              <w:top w:val="single" w:color="auto" w:sz="4" w:space="0"/>
              <w:left w:val="single" w:color="auto" w:sz="4" w:space="0"/>
              <w:bottom w:val="single" w:color="auto" w:sz="4" w:space="0"/>
              <w:right w:val="single" w:color="auto" w:sz="4" w:space="0"/>
            </w:tcBorders>
            <w:vAlign w:val="center"/>
          </w:tcPr>
          <w:p>
            <w:pPr>
              <w:pStyle w:val="19"/>
              <w:ind w:firstLine="0" w:firstLineChars="0"/>
              <w:jc w:val="center"/>
              <w:rPr>
                <w:color w:val="auto"/>
                <w:kern w:val="21"/>
                <w:sz w:val="21"/>
                <w:szCs w:val="21"/>
                <w:lang w:val="en-US" w:eastAsia="zh-CN"/>
              </w:rPr>
            </w:pPr>
            <w:r>
              <w:rPr>
                <w:rFonts w:hint="eastAsia"/>
                <w:color w:val="auto"/>
                <w:kern w:val="21"/>
                <w:sz w:val="21"/>
                <w:szCs w:val="21"/>
                <w:lang w:val="en-US" w:eastAsia="zh-CN"/>
              </w:rPr>
              <w:t>中等</w:t>
            </w:r>
          </w:p>
        </w:tc>
        <w:tc>
          <w:tcPr>
            <w:tcW w:w="1491" w:type="dxa"/>
            <w:tcBorders>
              <w:top w:val="single" w:color="auto" w:sz="4" w:space="0"/>
              <w:left w:val="single" w:color="auto" w:sz="4" w:space="0"/>
              <w:bottom w:val="single" w:color="auto" w:sz="4" w:space="0"/>
              <w:right w:val="single" w:color="auto" w:sz="4" w:space="0"/>
            </w:tcBorders>
            <w:vAlign w:val="center"/>
          </w:tcPr>
          <w:p>
            <w:pPr>
              <w:pStyle w:val="19"/>
              <w:ind w:firstLine="0" w:firstLineChars="0"/>
              <w:jc w:val="center"/>
              <w:rPr>
                <w:color w:val="auto"/>
                <w:kern w:val="21"/>
                <w:sz w:val="21"/>
                <w:szCs w:val="21"/>
                <w:lang w:val="en-US" w:eastAsia="zh-CN"/>
              </w:rPr>
            </w:pPr>
            <w:r>
              <w:rPr>
                <w:rFonts w:hint="eastAsia"/>
                <w:color w:val="auto"/>
                <w:kern w:val="21"/>
                <w:sz w:val="21"/>
                <w:szCs w:val="21"/>
                <w:lang w:val="en-US" w:eastAsia="zh-CN"/>
              </w:rPr>
              <w:t>很大</w:t>
            </w:r>
          </w:p>
        </w:tc>
        <w:tc>
          <w:tcPr>
            <w:tcW w:w="1487" w:type="dxa"/>
            <w:tcBorders>
              <w:top w:val="single" w:color="auto" w:sz="4" w:space="0"/>
              <w:left w:val="single" w:color="auto" w:sz="4" w:space="0"/>
              <w:bottom w:val="single" w:color="auto" w:sz="4" w:space="0"/>
              <w:right w:val="single" w:color="auto" w:sz="4" w:space="0"/>
            </w:tcBorders>
            <w:vAlign w:val="center"/>
          </w:tcPr>
          <w:p>
            <w:pPr>
              <w:pStyle w:val="19"/>
              <w:ind w:firstLine="0" w:firstLineChars="0"/>
              <w:jc w:val="center"/>
              <w:rPr>
                <w:color w:val="auto"/>
                <w:kern w:val="21"/>
                <w:sz w:val="21"/>
                <w:szCs w:val="21"/>
                <w:lang w:val="en-US" w:eastAsia="zh-CN"/>
              </w:rPr>
            </w:pPr>
            <w:r>
              <w:rPr>
                <w:rFonts w:hint="eastAsia"/>
                <w:color w:val="auto"/>
                <w:kern w:val="21"/>
                <w:sz w:val="21"/>
                <w:szCs w:val="21"/>
                <w:lang w:val="en-US" w:eastAsia="zh-CN"/>
              </w:rPr>
              <w:t>非常大</w:t>
            </w:r>
          </w:p>
        </w:tc>
      </w:tr>
    </w:tbl>
    <w:p>
      <w:pPr>
        <w:spacing w:line="560" w:lineRule="exact"/>
        <w:jc w:val="both"/>
        <w:outlineLvl w:val="2"/>
        <w:rPr>
          <w:rFonts w:ascii="宋体" w:hAnsi="宋体" w:eastAsia="宋体" w:cs="Times New Roman"/>
          <w:bCs/>
          <w:color w:val="auto"/>
          <w:kern w:val="2"/>
          <w:sz w:val="28"/>
          <w:szCs w:val="28"/>
          <w:lang w:val="en-US" w:eastAsia="zh-CN" w:bidi="ar-SA"/>
        </w:rPr>
      </w:pPr>
      <w:bookmarkStart w:id="215" w:name="bookmark152"/>
      <w:r>
        <w:rPr>
          <w:rFonts w:ascii="宋体" w:hAnsi="宋体" w:eastAsia="宋体" w:cs="Times New Roman"/>
          <w:bCs/>
          <w:color w:val="auto"/>
          <w:kern w:val="2"/>
          <w:sz w:val="28"/>
          <w:szCs w:val="28"/>
          <w:lang w:val="en-US" w:eastAsia="zh-CN" w:bidi="ar-SA"/>
        </w:rPr>
        <w:t>2.3.3道化学分析总结</w:t>
      </w:r>
      <w:bookmarkEnd w:id="215"/>
    </w:p>
    <w:p>
      <w:pPr>
        <w:spacing w:line="560" w:lineRule="exact"/>
        <w:ind w:firstLine="454" w:firstLineChars="142"/>
        <w:rPr>
          <w:rFonts w:ascii="宋体" w:hAnsi="宋体" w:eastAsia="宋体"/>
          <w:color w:val="auto"/>
          <w:spacing w:val="20"/>
          <w:sz w:val="28"/>
          <w:szCs w:val="28"/>
          <w:lang w:eastAsia="zh-CN"/>
        </w:rPr>
      </w:pPr>
      <w:r>
        <w:rPr>
          <w:rFonts w:hint="eastAsia" w:ascii="宋体" w:hAnsi="宋体" w:eastAsia="宋体"/>
          <w:color w:val="auto"/>
          <w:spacing w:val="20"/>
          <w:sz w:val="28"/>
          <w:szCs w:val="28"/>
          <w:lang w:eastAsia="zh-CN"/>
        </w:rPr>
        <w:t>1</w:t>
      </w:r>
      <w:r>
        <w:rPr>
          <w:rFonts w:ascii="宋体" w:hAnsi="宋体" w:eastAsia="宋体"/>
          <w:color w:val="auto"/>
          <w:spacing w:val="20"/>
          <w:sz w:val="28"/>
          <w:szCs w:val="28"/>
          <w:lang w:eastAsia="zh-CN"/>
        </w:rPr>
        <w:t>)从以上评价分析可知，甲类仓库储存单元的火灾爆炸危险指数为101.52,火灾爆炸危险等级处于“中等”的程度，暴露半径为26.0m。</w:t>
      </w:r>
    </w:p>
    <w:p>
      <w:pPr>
        <w:spacing w:line="560" w:lineRule="exact"/>
        <w:ind w:firstLine="454" w:firstLineChars="142"/>
        <w:rPr>
          <w:rFonts w:ascii="宋体" w:hAnsi="宋体" w:eastAsia="宋体"/>
          <w:color w:val="auto"/>
          <w:spacing w:val="20"/>
          <w:sz w:val="28"/>
          <w:szCs w:val="28"/>
          <w:lang w:eastAsia="zh-CN"/>
        </w:rPr>
      </w:pPr>
      <w:r>
        <w:rPr>
          <w:rFonts w:hint="eastAsia" w:ascii="宋体" w:hAnsi="宋体" w:eastAsia="宋体"/>
          <w:color w:val="auto"/>
          <w:spacing w:val="20"/>
          <w:sz w:val="28"/>
          <w:szCs w:val="28"/>
          <w:lang w:eastAsia="zh-CN"/>
        </w:rPr>
        <w:t>2</w:t>
      </w:r>
      <w:r>
        <w:rPr>
          <w:rFonts w:ascii="宋体" w:hAnsi="宋体" w:eastAsia="宋体"/>
          <w:color w:val="auto"/>
          <w:spacing w:val="20"/>
          <w:sz w:val="28"/>
          <w:szCs w:val="28"/>
          <w:lang w:eastAsia="zh-CN"/>
        </w:rPr>
        <w:t>)经过采取安全措施补偿后，甲类仓库储存单元火灾爆炸危险指数为85.2，火灾爆炸危险等级为“较轻”程度，暴露半径21.8m。</w:t>
      </w:r>
    </w:p>
    <w:p>
      <w:pPr>
        <w:spacing w:line="560" w:lineRule="exact"/>
        <w:ind w:firstLine="454" w:firstLineChars="142"/>
        <w:rPr>
          <w:rFonts w:ascii="宋体" w:hAnsi="宋体" w:eastAsia="宋体"/>
          <w:color w:val="auto"/>
          <w:spacing w:val="20"/>
          <w:sz w:val="28"/>
          <w:szCs w:val="28"/>
          <w:lang w:eastAsia="zh-CN"/>
        </w:rPr>
      </w:pPr>
      <w:r>
        <w:rPr>
          <w:rFonts w:hint="eastAsia" w:ascii="宋体" w:hAnsi="宋体" w:eastAsia="宋体"/>
          <w:color w:val="auto"/>
          <w:spacing w:val="20"/>
          <w:sz w:val="28"/>
          <w:szCs w:val="28"/>
          <w:lang w:eastAsia="zh-CN"/>
        </w:rPr>
        <w:t>3</w:t>
      </w:r>
      <w:r>
        <w:rPr>
          <w:rFonts w:ascii="宋体" w:hAnsi="宋体" w:eastAsia="宋体"/>
          <w:color w:val="auto"/>
          <w:spacing w:val="20"/>
          <w:sz w:val="28"/>
          <w:szCs w:val="28"/>
          <w:lang w:eastAsia="zh-CN"/>
        </w:rPr>
        <w:t>)从以上的计算分析中可以看出，甲类仓库储存单元固有的火灾爆炸危险等级在安全措施补偿后，危险程度得到一定程度的降低，说明现有的安全措施是有效的，它不仅能预防严重事故发生，也能降低事故的发生概率和危害。因此，这些安全措施一定要得到保障，并不断完善。同时要加强操作检查，严格遵守操作规程，防止泄漏，防止火灾爆炸事故或人员中毒事故的发生。</w:t>
      </w:r>
      <w:bookmarkStart w:id="216" w:name="bookmark154"/>
      <w:bookmarkStart w:id="217" w:name="bookmark153"/>
    </w:p>
    <w:p>
      <w:pPr>
        <w:spacing w:line="560" w:lineRule="exact"/>
        <w:jc w:val="both"/>
        <w:outlineLvl w:val="1"/>
        <w:rPr>
          <w:rFonts w:ascii="楷体_GB2312" w:hAnsi="Times New Roman" w:eastAsia="楷体_GB2312" w:cs="Times New Roman"/>
          <w:bCs/>
          <w:color w:val="auto"/>
          <w:kern w:val="2"/>
          <w:sz w:val="32"/>
          <w:lang w:val="en-US" w:eastAsia="zh-CN" w:bidi="ar-SA"/>
        </w:rPr>
      </w:pPr>
      <w:bookmarkStart w:id="218" w:name="_Toc40045946"/>
      <w:r>
        <w:rPr>
          <w:rFonts w:ascii="楷体_GB2312" w:hAnsi="Times New Roman" w:eastAsia="楷体_GB2312" w:cs="Times New Roman"/>
          <w:bCs/>
          <w:color w:val="auto"/>
          <w:kern w:val="2"/>
          <w:sz w:val="32"/>
          <w:lang w:val="en-US" w:eastAsia="zh-CN" w:bidi="ar-SA"/>
        </w:rPr>
        <w:t>附件2.</w:t>
      </w:r>
      <w:r>
        <w:rPr>
          <w:rFonts w:hint="eastAsia" w:ascii="楷体_GB2312" w:hAnsi="Times New Roman" w:eastAsia="楷体_GB2312" w:cs="Times New Roman"/>
          <w:bCs/>
          <w:color w:val="auto"/>
          <w:kern w:val="2"/>
          <w:sz w:val="32"/>
          <w:lang w:val="en-US" w:eastAsia="zh-CN" w:bidi="ar-SA"/>
        </w:rPr>
        <w:t>4危险度评价法</w:t>
      </w:r>
      <w:bookmarkEnd w:id="218"/>
    </w:p>
    <w:p>
      <w:pPr>
        <w:spacing w:line="560" w:lineRule="exact"/>
        <w:ind w:firstLine="397" w:firstLineChars="142"/>
        <w:jc w:val="both"/>
        <w:rPr>
          <w:rFonts w:ascii="宋体" w:hAnsi="宋体" w:eastAsia="宋体" w:cs="宋体"/>
          <w:color w:val="auto"/>
          <w:sz w:val="28"/>
          <w:szCs w:val="28"/>
          <w:lang w:eastAsia="zh-CN"/>
        </w:rPr>
      </w:pPr>
      <w:r>
        <w:rPr>
          <w:rFonts w:hint="eastAsia" w:ascii="宋体" w:hAnsi="宋体" w:eastAsia="宋体" w:cs="宋体"/>
          <w:color w:val="auto"/>
          <w:sz w:val="28"/>
          <w:szCs w:val="28"/>
        </w:rPr>
        <w:t>本次评价根据《广东省安全生产监督管理局关于做好危险化学品和烟花爆竹领域风险点危险源排查管控工作的通知》(粤安监〔2016〕121号)的内容，对企业进行定量、定性和综合评定，确定企业危险度等级。</w:t>
      </w:r>
    </w:p>
    <w:p>
      <w:pPr>
        <w:spacing w:afterLines="30" w:line="560" w:lineRule="exact"/>
        <w:jc w:val="center"/>
        <w:rPr>
          <w:rFonts w:ascii="宋体" w:hAnsi="宋体" w:eastAsia="宋体"/>
          <w:b/>
          <w:color w:val="auto"/>
          <w:lang w:eastAsia="zh-CN"/>
        </w:rPr>
      </w:pPr>
      <w:r>
        <w:rPr>
          <w:rFonts w:hint="eastAsia" w:ascii="宋体" w:hAnsi="宋体" w:eastAsia="宋体"/>
          <w:b/>
          <w:color w:val="auto"/>
        </w:rPr>
        <w:t>附件表2-</w:t>
      </w:r>
      <w:r>
        <w:rPr>
          <w:rFonts w:hint="eastAsia" w:ascii="宋体" w:hAnsi="宋体" w:eastAsia="宋体"/>
          <w:b/>
          <w:color w:val="auto"/>
          <w:lang w:eastAsia="zh-CN"/>
        </w:rPr>
        <w:t>12危险度评价取值表</w:t>
      </w:r>
    </w:p>
    <w:tbl>
      <w:tblPr>
        <w:tblStyle w:val="4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57" w:type="dxa"/>
          <w:bottom w:w="28" w:type="dxa"/>
          <w:right w:w="57" w:type="dxa"/>
        </w:tblCellMar>
      </w:tblPr>
      <w:tblGrid>
        <w:gridCol w:w="1499"/>
        <w:gridCol w:w="2388"/>
        <w:gridCol w:w="1842"/>
        <w:gridCol w:w="1984"/>
        <w:gridCol w:w="14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57" w:type="dxa"/>
            <w:bottom w:w="28" w:type="dxa"/>
            <w:right w:w="57" w:type="dxa"/>
          </w:tblCellMar>
        </w:tblPrEx>
        <w:trPr>
          <w:trHeight w:val="454" w:hRule="atLeast"/>
          <w:jc w:val="center"/>
        </w:trPr>
        <w:tc>
          <w:tcPr>
            <w:tcW w:w="1499" w:type="dxa"/>
            <w:vMerge w:val="restart"/>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项 目</w:t>
            </w:r>
          </w:p>
        </w:tc>
        <w:tc>
          <w:tcPr>
            <w:tcW w:w="7685" w:type="dxa"/>
            <w:gridSpan w:val="4"/>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分   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57" w:type="dxa"/>
            <w:bottom w:w="28" w:type="dxa"/>
            <w:right w:w="57" w:type="dxa"/>
          </w:tblCellMar>
        </w:tblPrEx>
        <w:trPr>
          <w:trHeight w:val="454" w:hRule="atLeast"/>
          <w:jc w:val="center"/>
        </w:trPr>
        <w:tc>
          <w:tcPr>
            <w:tcW w:w="1499" w:type="dxa"/>
            <w:vMerge w:val="continue"/>
            <w:vAlign w:val="center"/>
          </w:tcPr>
          <w:p>
            <w:pPr>
              <w:pStyle w:val="2"/>
              <w:adjustRightInd w:val="0"/>
              <w:snapToGrid w:val="0"/>
              <w:jc w:val="center"/>
              <w:rPr>
                <w:rFonts w:ascii="宋体" w:hAnsi="宋体" w:cs="宋体"/>
                <w:color w:val="auto"/>
                <w:sz w:val="21"/>
                <w:szCs w:val="21"/>
              </w:rPr>
            </w:pPr>
          </w:p>
        </w:tc>
        <w:tc>
          <w:tcPr>
            <w:tcW w:w="2388" w:type="dxa"/>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（10分）</w:t>
            </w:r>
          </w:p>
        </w:tc>
        <w:tc>
          <w:tcPr>
            <w:tcW w:w="1842" w:type="dxa"/>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（5分）</w:t>
            </w:r>
          </w:p>
        </w:tc>
        <w:tc>
          <w:tcPr>
            <w:tcW w:w="1984" w:type="dxa"/>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（2分）</w:t>
            </w:r>
          </w:p>
        </w:tc>
        <w:tc>
          <w:tcPr>
            <w:tcW w:w="1471" w:type="dxa"/>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57" w:type="dxa"/>
            <w:bottom w:w="28" w:type="dxa"/>
            <w:right w:w="57" w:type="dxa"/>
          </w:tblCellMar>
        </w:tblPrEx>
        <w:trPr>
          <w:trHeight w:val="340" w:hRule="atLeast"/>
          <w:jc w:val="center"/>
        </w:trPr>
        <w:tc>
          <w:tcPr>
            <w:tcW w:w="1499" w:type="dxa"/>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物质（系指单位中危险、有害程度最大之物质）</w:t>
            </w:r>
          </w:p>
        </w:tc>
        <w:tc>
          <w:tcPr>
            <w:tcW w:w="2388" w:type="dxa"/>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1.甲类可燃气体</w:t>
            </w:r>
          </w:p>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2.甲A类物质及液体烃类</w:t>
            </w:r>
          </w:p>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3.甲类固体</w:t>
            </w:r>
          </w:p>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4.极度危害介质</w:t>
            </w:r>
          </w:p>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5.重点监管危险化学品</w:t>
            </w:r>
          </w:p>
        </w:tc>
        <w:tc>
          <w:tcPr>
            <w:tcW w:w="1842" w:type="dxa"/>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1.乙类可燃气体</w:t>
            </w:r>
          </w:p>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2.甲B、乙A类可燃液体</w:t>
            </w:r>
          </w:p>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3.乙类固体</w:t>
            </w:r>
          </w:p>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4.高度危害介质</w:t>
            </w:r>
          </w:p>
        </w:tc>
        <w:tc>
          <w:tcPr>
            <w:tcW w:w="1984" w:type="dxa"/>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1.乙B、丙A、丙B类可燃液体</w:t>
            </w:r>
          </w:p>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2.丙类固体</w:t>
            </w:r>
          </w:p>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3.中、轻度危害介质</w:t>
            </w:r>
          </w:p>
        </w:tc>
        <w:tc>
          <w:tcPr>
            <w:tcW w:w="1471" w:type="dxa"/>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不属于左侧物质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57" w:type="dxa"/>
            <w:bottom w:w="28" w:type="dxa"/>
            <w:right w:w="57" w:type="dxa"/>
          </w:tblCellMar>
        </w:tblPrEx>
        <w:trPr>
          <w:trHeight w:val="340" w:hRule="atLeast"/>
          <w:jc w:val="center"/>
        </w:trPr>
        <w:tc>
          <w:tcPr>
            <w:tcW w:w="1499" w:type="dxa"/>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容量</w:t>
            </w:r>
          </w:p>
        </w:tc>
        <w:tc>
          <w:tcPr>
            <w:tcW w:w="2388" w:type="dxa"/>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R≥50（一、二级重大危险源）</w:t>
            </w:r>
          </w:p>
        </w:tc>
        <w:tc>
          <w:tcPr>
            <w:tcW w:w="1842" w:type="dxa"/>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R＜50（三、四级重大危险源）</w:t>
            </w:r>
          </w:p>
        </w:tc>
        <w:tc>
          <w:tcPr>
            <w:tcW w:w="1984" w:type="dxa"/>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0.1≤q/Q＜1</w:t>
            </w:r>
          </w:p>
        </w:tc>
        <w:tc>
          <w:tcPr>
            <w:tcW w:w="1471" w:type="dxa"/>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q/Q＜0.1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57" w:type="dxa"/>
            <w:bottom w:w="28" w:type="dxa"/>
            <w:right w:w="57" w:type="dxa"/>
          </w:tblCellMar>
        </w:tblPrEx>
        <w:trPr>
          <w:trHeight w:val="340" w:hRule="atLeast"/>
          <w:jc w:val="center"/>
        </w:trPr>
        <w:tc>
          <w:tcPr>
            <w:tcW w:w="1499" w:type="dxa"/>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温 度</w:t>
            </w:r>
          </w:p>
        </w:tc>
        <w:tc>
          <w:tcPr>
            <w:tcW w:w="2388" w:type="dxa"/>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其操作温度超过1000℃，且高于介质的燃点。</w:t>
            </w:r>
          </w:p>
        </w:tc>
        <w:tc>
          <w:tcPr>
            <w:tcW w:w="1842" w:type="dxa"/>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1.其操作温度超过1000℃但低于介质的燃点；</w:t>
            </w:r>
          </w:p>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2.其操作温度在250～1000℃，且高于介质的燃点。</w:t>
            </w:r>
          </w:p>
        </w:tc>
        <w:tc>
          <w:tcPr>
            <w:tcW w:w="1984" w:type="dxa"/>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1.其操作温度在250～1000℃，且低于介质的燃点；</w:t>
            </w:r>
          </w:p>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2.操作温度低于250℃，但高于介质的燃点。</w:t>
            </w:r>
          </w:p>
        </w:tc>
        <w:tc>
          <w:tcPr>
            <w:tcW w:w="1471" w:type="dxa"/>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操作温度低于250℃，且低于介质的燃点。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57" w:type="dxa"/>
            <w:bottom w:w="28" w:type="dxa"/>
            <w:right w:w="57" w:type="dxa"/>
          </w:tblCellMar>
        </w:tblPrEx>
        <w:trPr>
          <w:trHeight w:val="340" w:hRule="atLeast"/>
          <w:jc w:val="center"/>
        </w:trPr>
        <w:tc>
          <w:tcPr>
            <w:tcW w:w="1499" w:type="dxa"/>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压 力</w:t>
            </w:r>
          </w:p>
        </w:tc>
        <w:tc>
          <w:tcPr>
            <w:tcW w:w="2388" w:type="dxa"/>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 xml:space="preserve">超过100MPa </w:t>
            </w:r>
          </w:p>
        </w:tc>
        <w:tc>
          <w:tcPr>
            <w:tcW w:w="1842" w:type="dxa"/>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 xml:space="preserve">20～100MPa </w:t>
            </w:r>
          </w:p>
        </w:tc>
        <w:tc>
          <w:tcPr>
            <w:tcW w:w="1984" w:type="dxa"/>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1～20MPa</w:t>
            </w:r>
          </w:p>
        </w:tc>
        <w:tc>
          <w:tcPr>
            <w:tcW w:w="1471" w:type="dxa"/>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1MPa以下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57" w:type="dxa"/>
            <w:bottom w:w="28" w:type="dxa"/>
            <w:right w:w="57" w:type="dxa"/>
          </w:tblCellMar>
        </w:tblPrEx>
        <w:trPr>
          <w:trHeight w:val="340" w:hRule="atLeast"/>
          <w:jc w:val="center"/>
        </w:trPr>
        <w:tc>
          <w:tcPr>
            <w:tcW w:w="1499" w:type="dxa"/>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工艺</w:t>
            </w:r>
          </w:p>
        </w:tc>
        <w:tc>
          <w:tcPr>
            <w:tcW w:w="2388" w:type="dxa"/>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1.临界放热和特别剧烈的放热反应操作；</w:t>
            </w:r>
          </w:p>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2.在爆炸极限范围内或其附近操作。</w:t>
            </w:r>
          </w:p>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3、涉及硝化、强氧化、磺化、卤化、氟化、重氮化、加氢反应等反应操作。</w:t>
            </w:r>
          </w:p>
        </w:tc>
        <w:tc>
          <w:tcPr>
            <w:tcW w:w="1842" w:type="dxa"/>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1.中等放热反应（如烷基化、酯化、加成、氧化、聚合、缩合等反应）操作；</w:t>
            </w:r>
          </w:p>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2.系统进入空气或不纯物质，可能发生危险的操作；</w:t>
            </w:r>
          </w:p>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3.使用粉状或雾状物质，有可能发生粉尘爆炸的操作；</w:t>
            </w:r>
          </w:p>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4.单批式操作。</w:t>
            </w:r>
          </w:p>
        </w:tc>
        <w:tc>
          <w:tcPr>
            <w:tcW w:w="1984" w:type="dxa"/>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1.轻微放热反应（如水合、异构化、中和等反应）操作；</w:t>
            </w:r>
          </w:p>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2.在精制过程中伴有化学反应；</w:t>
            </w:r>
          </w:p>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3.单批式操作，但部分使用机械等手段进行程序操作；</w:t>
            </w:r>
          </w:p>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4.有一定危险的操作。</w:t>
            </w:r>
          </w:p>
        </w:tc>
        <w:tc>
          <w:tcPr>
            <w:tcW w:w="1471" w:type="dxa"/>
            <w:vAlign w:val="center"/>
          </w:tcPr>
          <w:p>
            <w:pPr>
              <w:pStyle w:val="2"/>
              <w:adjustRightInd w:val="0"/>
              <w:snapToGrid w:val="0"/>
              <w:jc w:val="center"/>
              <w:rPr>
                <w:rFonts w:ascii="宋体" w:hAnsi="宋体" w:cs="宋体"/>
                <w:color w:val="auto"/>
                <w:sz w:val="21"/>
                <w:szCs w:val="21"/>
              </w:rPr>
            </w:pPr>
            <w:r>
              <w:rPr>
                <w:rFonts w:hint="eastAsia" w:ascii="宋体" w:hAnsi="宋体" w:cs="宋体"/>
                <w:color w:val="auto"/>
                <w:sz w:val="21"/>
                <w:szCs w:val="21"/>
              </w:rPr>
              <w:t>不属于左侧工艺</w:t>
            </w:r>
          </w:p>
        </w:tc>
      </w:tr>
    </w:tbl>
    <w:p>
      <w:pPr>
        <w:spacing w:afterLines="30" w:line="560" w:lineRule="exact"/>
        <w:jc w:val="center"/>
        <w:rPr>
          <w:rFonts w:ascii="宋体" w:hAnsi="宋体" w:eastAsia="宋体"/>
          <w:b/>
          <w:color w:val="auto"/>
          <w:lang w:eastAsia="zh-CN"/>
        </w:rPr>
      </w:pPr>
      <w:r>
        <w:rPr>
          <w:rFonts w:hint="eastAsia" w:ascii="宋体" w:hAnsi="宋体" w:eastAsia="宋体"/>
          <w:b/>
          <w:color w:val="auto"/>
        </w:rPr>
        <w:t>附件表2-</w:t>
      </w:r>
      <w:r>
        <w:rPr>
          <w:rFonts w:hint="eastAsia" w:ascii="宋体" w:hAnsi="宋体" w:eastAsia="宋体"/>
          <w:b/>
          <w:color w:val="auto"/>
          <w:lang w:eastAsia="zh-CN"/>
        </w:rPr>
        <w:t>13危险度分级</w:t>
      </w:r>
    </w:p>
    <w:tbl>
      <w:tblPr>
        <w:tblStyle w:val="4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30"/>
        <w:gridCol w:w="1687"/>
        <w:gridCol w:w="1687"/>
        <w:gridCol w:w="2041"/>
        <w:gridCol w:w="20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830" w:type="dxa"/>
            <w:tcBorders>
              <w:top w:val="single" w:color="auto" w:sz="4" w:space="0"/>
              <w:left w:val="single" w:color="auto" w:sz="4" w:space="0"/>
              <w:bottom w:val="single" w:color="auto" w:sz="4" w:space="0"/>
              <w:right w:val="single" w:color="auto" w:sz="4" w:space="0"/>
            </w:tcBorders>
            <w:vAlign w:val="center"/>
          </w:tcPr>
          <w:p>
            <w:pPr>
              <w:pStyle w:val="2"/>
              <w:adjustRightInd w:val="0"/>
              <w:snapToGrid w:val="0"/>
              <w:jc w:val="center"/>
              <w:rPr>
                <w:rFonts w:cs="宋体"/>
                <w:color w:val="auto"/>
                <w:sz w:val="21"/>
              </w:rPr>
            </w:pPr>
            <w:r>
              <w:rPr>
                <w:rFonts w:hint="eastAsia" w:cs="宋体"/>
                <w:color w:val="auto"/>
                <w:sz w:val="21"/>
              </w:rPr>
              <w:t>总分值</w:t>
            </w:r>
          </w:p>
        </w:tc>
        <w:tc>
          <w:tcPr>
            <w:tcW w:w="1687" w:type="dxa"/>
            <w:tcBorders>
              <w:top w:val="single" w:color="auto" w:sz="4" w:space="0"/>
              <w:left w:val="single" w:color="auto" w:sz="4" w:space="0"/>
              <w:bottom w:val="single" w:color="auto" w:sz="4" w:space="0"/>
              <w:right w:val="single" w:color="auto" w:sz="4" w:space="0"/>
            </w:tcBorders>
            <w:vAlign w:val="center"/>
          </w:tcPr>
          <w:p>
            <w:pPr>
              <w:pStyle w:val="2"/>
              <w:adjustRightInd w:val="0"/>
              <w:snapToGrid w:val="0"/>
              <w:jc w:val="center"/>
              <w:rPr>
                <w:rFonts w:cs="宋体"/>
                <w:color w:val="auto"/>
                <w:sz w:val="21"/>
              </w:rPr>
            </w:pPr>
            <w:r>
              <w:rPr>
                <w:rFonts w:hint="eastAsia" w:cs="宋体"/>
                <w:color w:val="auto"/>
                <w:sz w:val="21"/>
              </w:rPr>
              <w:t xml:space="preserve">≥21 </w:t>
            </w:r>
          </w:p>
        </w:tc>
        <w:tc>
          <w:tcPr>
            <w:tcW w:w="1687" w:type="dxa"/>
            <w:tcBorders>
              <w:top w:val="single" w:color="auto" w:sz="4" w:space="0"/>
              <w:left w:val="single" w:color="auto" w:sz="4" w:space="0"/>
              <w:bottom w:val="single" w:color="auto" w:sz="4" w:space="0"/>
              <w:right w:val="single" w:color="auto" w:sz="4" w:space="0"/>
            </w:tcBorders>
            <w:vAlign w:val="center"/>
          </w:tcPr>
          <w:p>
            <w:pPr>
              <w:pStyle w:val="2"/>
              <w:adjustRightInd w:val="0"/>
              <w:snapToGrid w:val="0"/>
              <w:jc w:val="center"/>
              <w:rPr>
                <w:rFonts w:cs="宋体"/>
                <w:color w:val="auto"/>
                <w:sz w:val="21"/>
              </w:rPr>
            </w:pPr>
            <w:r>
              <w:rPr>
                <w:rFonts w:hint="eastAsia" w:cs="宋体"/>
                <w:color w:val="auto"/>
                <w:sz w:val="21"/>
              </w:rPr>
              <w:t>16≤分值≤20</w:t>
            </w:r>
          </w:p>
        </w:tc>
        <w:tc>
          <w:tcPr>
            <w:tcW w:w="2041" w:type="dxa"/>
            <w:tcBorders>
              <w:top w:val="single" w:color="auto" w:sz="4" w:space="0"/>
              <w:left w:val="single" w:color="auto" w:sz="4" w:space="0"/>
              <w:bottom w:val="single" w:color="auto" w:sz="4" w:space="0"/>
              <w:right w:val="single" w:color="auto" w:sz="4" w:space="0"/>
            </w:tcBorders>
            <w:vAlign w:val="center"/>
          </w:tcPr>
          <w:p>
            <w:pPr>
              <w:pStyle w:val="2"/>
              <w:adjustRightInd w:val="0"/>
              <w:snapToGrid w:val="0"/>
              <w:jc w:val="center"/>
              <w:rPr>
                <w:rFonts w:cs="宋体"/>
                <w:color w:val="auto"/>
                <w:sz w:val="21"/>
              </w:rPr>
            </w:pPr>
            <w:r>
              <w:rPr>
                <w:rFonts w:hint="eastAsia" w:cs="宋体"/>
                <w:color w:val="auto"/>
                <w:sz w:val="21"/>
              </w:rPr>
              <w:t>11≤分值≤15</w:t>
            </w:r>
          </w:p>
        </w:tc>
        <w:tc>
          <w:tcPr>
            <w:tcW w:w="2041" w:type="dxa"/>
            <w:tcBorders>
              <w:top w:val="single" w:color="auto" w:sz="4" w:space="0"/>
              <w:left w:val="single" w:color="auto" w:sz="4" w:space="0"/>
              <w:bottom w:val="single" w:color="auto" w:sz="4" w:space="0"/>
              <w:right w:val="single" w:color="auto" w:sz="4" w:space="0"/>
            </w:tcBorders>
          </w:tcPr>
          <w:p>
            <w:pPr>
              <w:pStyle w:val="2"/>
              <w:adjustRightInd w:val="0"/>
              <w:snapToGrid w:val="0"/>
              <w:jc w:val="center"/>
              <w:rPr>
                <w:rFonts w:cs="宋体"/>
                <w:color w:val="auto"/>
                <w:sz w:val="21"/>
              </w:rPr>
            </w:pPr>
            <w:r>
              <w:rPr>
                <w:rFonts w:hint="eastAsia" w:cs="宋体"/>
                <w:color w:val="auto"/>
                <w:sz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830" w:type="dxa"/>
            <w:tcBorders>
              <w:top w:val="single" w:color="auto" w:sz="4" w:space="0"/>
              <w:left w:val="single" w:color="auto" w:sz="4" w:space="0"/>
              <w:bottom w:val="single" w:color="auto" w:sz="4" w:space="0"/>
              <w:right w:val="single" w:color="auto" w:sz="4" w:space="0"/>
            </w:tcBorders>
            <w:vAlign w:val="center"/>
          </w:tcPr>
          <w:p>
            <w:pPr>
              <w:pStyle w:val="2"/>
              <w:adjustRightInd w:val="0"/>
              <w:snapToGrid w:val="0"/>
              <w:jc w:val="center"/>
              <w:rPr>
                <w:rFonts w:cs="宋体"/>
                <w:color w:val="auto"/>
                <w:sz w:val="21"/>
              </w:rPr>
            </w:pPr>
            <w:r>
              <w:rPr>
                <w:rFonts w:hint="eastAsia" w:cs="宋体"/>
                <w:color w:val="auto"/>
                <w:sz w:val="21"/>
              </w:rPr>
              <w:t>等级</w:t>
            </w:r>
          </w:p>
        </w:tc>
        <w:tc>
          <w:tcPr>
            <w:tcW w:w="1687" w:type="dxa"/>
            <w:tcBorders>
              <w:top w:val="single" w:color="auto" w:sz="4" w:space="0"/>
              <w:left w:val="single" w:color="auto" w:sz="4" w:space="0"/>
              <w:bottom w:val="single" w:color="auto" w:sz="4" w:space="0"/>
              <w:right w:val="single" w:color="auto" w:sz="4" w:space="0"/>
            </w:tcBorders>
            <w:vAlign w:val="center"/>
          </w:tcPr>
          <w:p>
            <w:pPr>
              <w:pStyle w:val="2"/>
              <w:adjustRightInd w:val="0"/>
              <w:snapToGrid w:val="0"/>
              <w:jc w:val="center"/>
              <w:rPr>
                <w:rFonts w:cs="宋体"/>
                <w:color w:val="auto"/>
                <w:sz w:val="21"/>
              </w:rPr>
            </w:pPr>
            <w:r>
              <w:rPr>
                <w:rFonts w:hint="eastAsia" w:cs="宋体"/>
                <w:color w:val="auto"/>
                <w:sz w:val="21"/>
              </w:rPr>
              <w:t>红色等级</w:t>
            </w:r>
          </w:p>
        </w:tc>
        <w:tc>
          <w:tcPr>
            <w:tcW w:w="1687" w:type="dxa"/>
            <w:tcBorders>
              <w:top w:val="single" w:color="auto" w:sz="4" w:space="0"/>
              <w:left w:val="single" w:color="auto" w:sz="4" w:space="0"/>
              <w:bottom w:val="single" w:color="auto" w:sz="4" w:space="0"/>
              <w:right w:val="single" w:color="auto" w:sz="4" w:space="0"/>
            </w:tcBorders>
            <w:vAlign w:val="center"/>
          </w:tcPr>
          <w:p>
            <w:pPr>
              <w:pStyle w:val="2"/>
              <w:adjustRightInd w:val="0"/>
              <w:snapToGrid w:val="0"/>
              <w:jc w:val="center"/>
              <w:rPr>
                <w:rFonts w:cs="宋体"/>
                <w:color w:val="auto"/>
                <w:sz w:val="21"/>
              </w:rPr>
            </w:pPr>
            <w:r>
              <w:rPr>
                <w:rFonts w:hint="eastAsia" w:cs="宋体"/>
                <w:color w:val="auto"/>
                <w:sz w:val="21"/>
              </w:rPr>
              <w:t>橙色等级</w:t>
            </w:r>
          </w:p>
        </w:tc>
        <w:tc>
          <w:tcPr>
            <w:tcW w:w="2041" w:type="dxa"/>
            <w:tcBorders>
              <w:top w:val="single" w:color="auto" w:sz="4" w:space="0"/>
              <w:left w:val="single" w:color="auto" w:sz="4" w:space="0"/>
              <w:bottom w:val="single" w:color="auto" w:sz="4" w:space="0"/>
              <w:right w:val="single" w:color="auto" w:sz="4" w:space="0"/>
            </w:tcBorders>
            <w:vAlign w:val="center"/>
          </w:tcPr>
          <w:p>
            <w:pPr>
              <w:pStyle w:val="2"/>
              <w:adjustRightInd w:val="0"/>
              <w:snapToGrid w:val="0"/>
              <w:jc w:val="center"/>
              <w:rPr>
                <w:rFonts w:cs="宋体"/>
                <w:color w:val="auto"/>
                <w:sz w:val="21"/>
              </w:rPr>
            </w:pPr>
            <w:r>
              <w:rPr>
                <w:rFonts w:hint="eastAsia" w:cs="宋体"/>
                <w:color w:val="auto"/>
                <w:sz w:val="21"/>
              </w:rPr>
              <w:t>黄色等级</w:t>
            </w:r>
          </w:p>
        </w:tc>
        <w:tc>
          <w:tcPr>
            <w:tcW w:w="2041" w:type="dxa"/>
            <w:tcBorders>
              <w:top w:val="single" w:color="auto" w:sz="4" w:space="0"/>
              <w:left w:val="single" w:color="auto" w:sz="4" w:space="0"/>
              <w:bottom w:val="single" w:color="auto" w:sz="4" w:space="0"/>
              <w:right w:val="single" w:color="auto" w:sz="4" w:space="0"/>
            </w:tcBorders>
          </w:tcPr>
          <w:p>
            <w:pPr>
              <w:pStyle w:val="2"/>
              <w:adjustRightInd w:val="0"/>
              <w:snapToGrid w:val="0"/>
              <w:jc w:val="center"/>
              <w:rPr>
                <w:rFonts w:cs="宋体"/>
                <w:color w:val="auto"/>
                <w:sz w:val="21"/>
              </w:rPr>
            </w:pPr>
            <w:r>
              <w:rPr>
                <w:rFonts w:hint="eastAsia" w:cs="宋体"/>
                <w:color w:val="auto"/>
                <w:sz w:val="21"/>
              </w:rPr>
              <w:t>蓝色等级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830" w:type="dxa"/>
            <w:tcBorders>
              <w:top w:val="single" w:color="auto" w:sz="4" w:space="0"/>
              <w:left w:val="single" w:color="auto" w:sz="4" w:space="0"/>
              <w:bottom w:val="single" w:color="auto" w:sz="4" w:space="0"/>
              <w:right w:val="single" w:color="auto" w:sz="4" w:space="0"/>
            </w:tcBorders>
            <w:vAlign w:val="center"/>
          </w:tcPr>
          <w:p>
            <w:pPr>
              <w:pStyle w:val="2"/>
              <w:adjustRightInd w:val="0"/>
              <w:snapToGrid w:val="0"/>
              <w:jc w:val="center"/>
              <w:rPr>
                <w:rFonts w:cs="宋体"/>
                <w:color w:val="auto"/>
                <w:sz w:val="21"/>
              </w:rPr>
            </w:pPr>
            <w:r>
              <w:rPr>
                <w:rFonts w:hint="eastAsia" w:cs="宋体"/>
                <w:color w:val="auto"/>
                <w:sz w:val="21"/>
              </w:rPr>
              <w:t>危险程度</w:t>
            </w:r>
          </w:p>
        </w:tc>
        <w:tc>
          <w:tcPr>
            <w:tcW w:w="1687" w:type="dxa"/>
            <w:tcBorders>
              <w:top w:val="single" w:color="auto" w:sz="4" w:space="0"/>
              <w:left w:val="single" w:color="auto" w:sz="4" w:space="0"/>
              <w:bottom w:val="single" w:color="auto" w:sz="4" w:space="0"/>
              <w:right w:val="single" w:color="auto" w:sz="4" w:space="0"/>
            </w:tcBorders>
            <w:vAlign w:val="center"/>
          </w:tcPr>
          <w:p>
            <w:pPr>
              <w:pStyle w:val="2"/>
              <w:adjustRightInd w:val="0"/>
              <w:snapToGrid w:val="0"/>
              <w:jc w:val="center"/>
              <w:rPr>
                <w:rFonts w:cs="宋体"/>
                <w:color w:val="auto"/>
                <w:sz w:val="21"/>
              </w:rPr>
            </w:pPr>
            <w:r>
              <w:rPr>
                <w:rFonts w:hint="eastAsia" w:cs="宋体"/>
                <w:color w:val="auto"/>
                <w:sz w:val="21"/>
              </w:rPr>
              <w:t>非常高度危险</w:t>
            </w:r>
          </w:p>
        </w:tc>
        <w:tc>
          <w:tcPr>
            <w:tcW w:w="1687" w:type="dxa"/>
            <w:tcBorders>
              <w:top w:val="single" w:color="auto" w:sz="4" w:space="0"/>
              <w:left w:val="single" w:color="auto" w:sz="4" w:space="0"/>
              <w:bottom w:val="single" w:color="auto" w:sz="4" w:space="0"/>
              <w:right w:val="single" w:color="auto" w:sz="4" w:space="0"/>
            </w:tcBorders>
            <w:vAlign w:val="center"/>
          </w:tcPr>
          <w:p>
            <w:pPr>
              <w:pStyle w:val="2"/>
              <w:adjustRightInd w:val="0"/>
              <w:snapToGrid w:val="0"/>
              <w:jc w:val="center"/>
              <w:rPr>
                <w:rFonts w:cs="宋体"/>
                <w:color w:val="auto"/>
                <w:sz w:val="21"/>
              </w:rPr>
            </w:pPr>
            <w:r>
              <w:rPr>
                <w:rFonts w:hint="eastAsia" w:cs="宋体"/>
                <w:color w:val="auto"/>
                <w:sz w:val="21"/>
              </w:rPr>
              <w:t>高度危险</w:t>
            </w:r>
          </w:p>
        </w:tc>
        <w:tc>
          <w:tcPr>
            <w:tcW w:w="2041" w:type="dxa"/>
            <w:tcBorders>
              <w:top w:val="single" w:color="auto" w:sz="4" w:space="0"/>
              <w:left w:val="single" w:color="auto" w:sz="4" w:space="0"/>
              <w:bottom w:val="single" w:color="auto" w:sz="4" w:space="0"/>
              <w:right w:val="single" w:color="auto" w:sz="4" w:space="0"/>
            </w:tcBorders>
            <w:vAlign w:val="center"/>
          </w:tcPr>
          <w:p>
            <w:pPr>
              <w:pStyle w:val="2"/>
              <w:adjustRightInd w:val="0"/>
              <w:snapToGrid w:val="0"/>
              <w:jc w:val="center"/>
              <w:rPr>
                <w:rFonts w:cs="宋体"/>
                <w:color w:val="auto"/>
                <w:sz w:val="21"/>
              </w:rPr>
            </w:pPr>
            <w:r>
              <w:rPr>
                <w:rFonts w:hint="eastAsia" w:cs="宋体"/>
                <w:color w:val="auto"/>
                <w:sz w:val="21"/>
              </w:rPr>
              <w:t>中度危险</w:t>
            </w:r>
          </w:p>
        </w:tc>
        <w:tc>
          <w:tcPr>
            <w:tcW w:w="2041" w:type="dxa"/>
            <w:tcBorders>
              <w:top w:val="single" w:color="auto" w:sz="4" w:space="0"/>
              <w:left w:val="single" w:color="auto" w:sz="4" w:space="0"/>
              <w:bottom w:val="single" w:color="auto" w:sz="4" w:space="0"/>
              <w:right w:val="single" w:color="auto" w:sz="4" w:space="0"/>
            </w:tcBorders>
          </w:tcPr>
          <w:p>
            <w:pPr>
              <w:pStyle w:val="2"/>
              <w:adjustRightInd w:val="0"/>
              <w:snapToGrid w:val="0"/>
              <w:jc w:val="center"/>
              <w:rPr>
                <w:rFonts w:cs="宋体"/>
                <w:color w:val="auto"/>
                <w:sz w:val="21"/>
              </w:rPr>
            </w:pPr>
            <w:r>
              <w:rPr>
                <w:rFonts w:hint="eastAsia" w:cs="宋体"/>
                <w:color w:val="auto"/>
                <w:sz w:val="21"/>
              </w:rPr>
              <w:t>低度危险</w:t>
            </w:r>
          </w:p>
        </w:tc>
      </w:tr>
    </w:tbl>
    <w:p>
      <w:pPr>
        <w:spacing w:line="560" w:lineRule="exact"/>
        <w:ind w:firstLine="560" w:firstLineChars="200"/>
        <w:jc w:val="both"/>
        <w:rPr>
          <w:rFonts w:ascii="宋体" w:hAnsi="宋体" w:eastAsia="宋体" w:cs="宋体"/>
          <w:color w:val="auto"/>
          <w:sz w:val="28"/>
          <w:szCs w:val="28"/>
        </w:rPr>
      </w:pPr>
      <w:r>
        <w:rPr>
          <w:rFonts w:hint="eastAsia" w:ascii="宋体" w:hAnsi="宋体" w:eastAsia="宋体" w:cs="宋体"/>
          <w:color w:val="auto"/>
          <w:sz w:val="28"/>
          <w:szCs w:val="28"/>
        </w:rPr>
        <w:t>根据该公司生产工艺装置、储存设施特点，把甲类车间、甲类仓库划分为</w:t>
      </w:r>
      <w:r>
        <w:rPr>
          <w:rFonts w:hint="eastAsia" w:ascii="宋体" w:hAnsi="宋体" w:eastAsia="宋体" w:cs="宋体"/>
          <w:color w:val="auto"/>
          <w:sz w:val="28"/>
          <w:szCs w:val="28"/>
          <w:lang w:eastAsia="zh-CN"/>
        </w:rPr>
        <w:t>2</w:t>
      </w:r>
      <w:r>
        <w:rPr>
          <w:rFonts w:hint="eastAsia" w:ascii="宋体" w:hAnsi="宋体" w:eastAsia="宋体" w:cs="宋体"/>
          <w:color w:val="auto"/>
          <w:sz w:val="28"/>
          <w:szCs w:val="28"/>
        </w:rPr>
        <w:t>个独立单元，对其危险度进行分析评价，其结果分别见</w:t>
      </w:r>
      <w:r>
        <w:rPr>
          <w:rFonts w:hint="eastAsia" w:ascii="宋体" w:hAnsi="宋体" w:eastAsia="宋体" w:cs="宋体"/>
          <w:color w:val="auto"/>
          <w:sz w:val="28"/>
          <w:szCs w:val="28"/>
          <w:lang w:eastAsia="zh-CN"/>
        </w:rPr>
        <w:t>附表</w:t>
      </w:r>
      <w:r>
        <w:rPr>
          <w:rFonts w:hint="eastAsia" w:ascii="宋体" w:hAnsi="宋体" w:eastAsia="宋体" w:cs="宋体"/>
          <w:color w:val="auto"/>
          <w:sz w:val="28"/>
          <w:szCs w:val="28"/>
        </w:rPr>
        <w:t>表</w:t>
      </w:r>
      <w:r>
        <w:rPr>
          <w:rFonts w:hint="eastAsia" w:ascii="宋体" w:hAnsi="宋体" w:eastAsia="宋体" w:cs="宋体"/>
          <w:color w:val="auto"/>
          <w:sz w:val="28"/>
          <w:szCs w:val="28"/>
          <w:lang w:eastAsia="zh-CN"/>
        </w:rPr>
        <w:t>2-14、2-15和2-16</w:t>
      </w:r>
      <w:r>
        <w:rPr>
          <w:rFonts w:hint="eastAsia" w:ascii="宋体" w:hAnsi="宋体" w:eastAsia="宋体" w:cs="宋体"/>
          <w:color w:val="auto"/>
          <w:sz w:val="28"/>
          <w:szCs w:val="28"/>
        </w:rPr>
        <w:t>。</w:t>
      </w:r>
    </w:p>
    <w:p>
      <w:pPr>
        <w:spacing w:afterLines="30" w:line="560" w:lineRule="exact"/>
        <w:jc w:val="center"/>
        <w:rPr>
          <w:rFonts w:ascii="宋体" w:hAnsi="宋体" w:eastAsia="宋体"/>
          <w:b/>
          <w:color w:val="auto"/>
          <w:lang w:eastAsia="zh-CN"/>
        </w:rPr>
      </w:pPr>
      <w:r>
        <w:rPr>
          <w:rFonts w:hint="eastAsia" w:ascii="宋体" w:hAnsi="宋体" w:eastAsia="宋体"/>
          <w:b/>
          <w:color w:val="auto"/>
        </w:rPr>
        <w:t>附件表2-</w:t>
      </w:r>
      <w:r>
        <w:rPr>
          <w:rFonts w:hint="eastAsia" w:ascii="宋体" w:hAnsi="宋体" w:eastAsia="宋体"/>
          <w:b/>
          <w:color w:val="auto"/>
          <w:lang w:eastAsia="zh-CN"/>
        </w:rPr>
        <w:t>14危险度评价分析表</w:t>
      </w:r>
    </w:p>
    <w:tbl>
      <w:tblPr>
        <w:tblStyle w:val="4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7"/>
        <w:gridCol w:w="1440"/>
        <w:gridCol w:w="1744"/>
        <w:gridCol w:w="2203"/>
        <w:gridCol w:w="1122"/>
        <w:gridCol w:w="12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40" w:hRule="atLeast"/>
          <w:jc w:val="center"/>
        </w:trPr>
        <w:tc>
          <w:tcPr>
            <w:tcW w:w="1547" w:type="dxa"/>
            <w:tcBorders>
              <w:top w:val="single" w:color="auto" w:sz="4" w:space="0"/>
              <w:left w:val="single" w:color="auto" w:sz="4" w:space="0"/>
              <w:bottom w:val="single" w:color="auto" w:sz="4" w:space="0"/>
              <w:right w:val="single" w:color="auto" w:sz="4" w:space="0"/>
            </w:tcBorders>
            <w:vAlign w:val="center"/>
          </w:tcPr>
          <w:p>
            <w:pPr>
              <w:pStyle w:val="2"/>
              <w:adjustRightInd w:val="0"/>
              <w:snapToGrid w:val="0"/>
              <w:jc w:val="center"/>
              <w:rPr>
                <w:rFonts w:cs="宋体"/>
                <w:color w:val="auto"/>
                <w:sz w:val="21"/>
              </w:rPr>
            </w:pPr>
            <w:r>
              <w:rPr>
                <w:rFonts w:cs="宋体"/>
                <w:color w:val="auto"/>
                <w:sz w:val="21"/>
              </w:rPr>
              <w:pict>
                <v:line id="直线 657" o:spid="_x0000_s1622" o:spt="20" style="position:absolute;left:0pt;margin-left:-5.5pt;margin-top:2.05pt;height:29pt;width:78pt;z-index:251674624;mso-width-relative:page;mso-height-relative:page;" filled="t" coordsize="21600,21600">
                  <v:path arrowok="t"/>
                  <v:fill on="t" focussize="0,0"/>
                  <v:stroke/>
                  <v:imagedata o:title=""/>
                  <o:lock v:ext="edit"/>
                </v:line>
              </w:pict>
            </w:r>
            <w:r>
              <w:rPr>
                <w:rFonts w:hint="eastAsia" w:cs="宋体"/>
                <w:color w:val="auto"/>
                <w:sz w:val="21"/>
              </w:rPr>
              <w:t xml:space="preserve">  条件</w:t>
            </w:r>
          </w:p>
          <w:p>
            <w:pPr>
              <w:pStyle w:val="2"/>
              <w:adjustRightInd w:val="0"/>
              <w:snapToGrid w:val="0"/>
              <w:rPr>
                <w:rFonts w:cs="宋体"/>
                <w:color w:val="auto"/>
                <w:sz w:val="21"/>
              </w:rPr>
            </w:pPr>
            <w:r>
              <w:rPr>
                <w:rFonts w:hint="eastAsia" w:cs="宋体"/>
                <w:color w:val="auto"/>
                <w:sz w:val="21"/>
              </w:rPr>
              <w:t>单元</w:t>
            </w:r>
          </w:p>
        </w:tc>
        <w:tc>
          <w:tcPr>
            <w:tcW w:w="1440" w:type="dxa"/>
            <w:tcBorders>
              <w:top w:val="single" w:color="auto" w:sz="4" w:space="0"/>
              <w:left w:val="single" w:color="auto" w:sz="4" w:space="0"/>
              <w:bottom w:val="single" w:color="auto" w:sz="4" w:space="0"/>
              <w:right w:val="single" w:color="auto" w:sz="4" w:space="0"/>
            </w:tcBorders>
            <w:vAlign w:val="center"/>
          </w:tcPr>
          <w:p>
            <w:pPr>
              <w:pStyle w:val="2"/>
              <w:adjustRightInd w:val="0"/>
              <w:snapToGrid w:val="0"/>
              <w:jc w:val="center"/>
              <w:rPr>
                <w:rFonts w:cs="宋体"/>
                <w:color w:val="auto"/>
                <w:sz w:val="21"/>
              </w:rPr>
            </w:pPr>
            <w:r>
              <w:rPr>
                <w:rFonts w:hint="eastAsia" w:cs="宋体"/>
                <w:color w:val="auto"/>
                <w:sz w:val="21"/>
              </w:rPr>
              <w:t>物质</w:t>
            </w:r>
          </w:p>
        </w:tc>
        <w:tc>
          <w:tcPr>
            <w:tcW w:w="1744" w:type="dxa"/>
            <w:tcBorders>
              <w:top w:val="single" w:color="auto" w:sz="4" w:space="0"/>
              <w:left w:val="single" w:color="auto" w:sz="4" w:space="0"/>
              <w:bottom w:val="single" w:color="auto" w:sz="4" w:space="0"/>
              <w:right w:val="single" w:color="auto" w:sz="4" w:space="0"/>
            </w:tcBorders>
            <w:vAlign w:val="center"/>
          </w:tcPr>
          <w:p>
            <w:pPr>
              <w:pStyle w:val="2"/>
              <w:adjustRightInd w:val="0"/>
              <w:snapToGrid w:val="0"/>
              <w:jc w:val="center"/>
              <w:rPr>
                <w:rFonts w:cs="宋体"/>
                <w:color w:val="auto"/>
                <w:sz w:val="21"/>
              </w:rPr>
            </w:pPr>
            <w:r>
              <w:rPr>
                <w:rFonts w:hint="eastAsia" w:cs="宋体"/>
                <w:color w:val="auto"/>
                <w:sz w:val="21"/>
              </w:rPr>
              <w:t>容量</w:t>
            </w:r>
          </w:p>
        </w:tc>
        <w:tc>
          <w:tcPr>
            <w:tcW w:w="2203" w:type="dxa"/>
            <w:tcBorders>
              <w:top w:val="single" w:color="auto" w:sz="4" w:space="0"/>
              <w:left w:val="single" w:color="auto" w:sz="4" w:space="0"/>
              <w:bottom w:val="single" w:color="auto" w:sz="4" w:space="0"/>
              <w:right w:val="single" w:color="auto" w:sz="4" w:space="0"/>
            </w:tcBorders>
            <w:vAlign w:val="center"/>
          </w:tcPr>
          <w:p>
            <w:pPr>
              <w:pStyle w:val="2"/>
              <w:adjustRightInd w:val="0"/>
              <w:snapToGrid w:val="0"/>
              <w:jc w:val="center"/>
              <w:rPr>
                <w:rFonts w:cs="宋体"/>
                <w:color w:val="auto"/>
                <w:sz w:val="21"/>
              </w:rPr>
            </w:pPr>
            <w:r>
              <w:rPr>
                <w:rFonts w:hint="eastAsia" w:cs="宋体"/>
                <w:color w:val="auto"/>
                <w:sz w:val="21"/>
              </w:rPr>
              <w:t>温度</w:t>
            </w:r>
          </w:p>
        </w:tc>
        <w:tc>
          <w:tcPr>
            <w:tcW w:w="1122" w:type="dxa"/>
            <w:tcBorders>
              <w:top w:val="single" w:color="auto" w:sz="4" w:space="0"/>
              <w:left w:val="single" w:color="auto" w:sz="4" w:space="0"/>
              <w:bottom w:val="single" w:color="auto" w:sz="4" w:space="0"/>
              <w:right w:val="single" w:color="auto" w:sz="4" w:space="0"/>
            </w:tcBorders>
            <w:vAlign w:val="center"/>
          </w:tcPr>
          <w:p>
            <w:pPr>
              <w:pStyle w:val="2"/>
              <w:adjustRightInd w:val="0"/>
              <w:snapToGrid w:val="0"/>
              <w:jc w:val="center"/>
              <w:rPr>
                <w:rFonts w:cs="宋体"/>
                <w:color w:val="auto"/>
                <w:sz w:val="21"/>
              </w:rPr>
            </w:pPr>
            <w:r>
              <w:rPr>
                <w:rFonts w:hint="eastAsia" w:cs="宋体"/>
                <w:color w:val="auto"/>
                <w:sz w:val="21"/>
              </w:rPr>
              <w:t>压力</w:t>
            </w:r>
          </w:p>
        </w:tc>
        <w:tc>
          <w:tcPr>
            <w:tcW w:w="1229" w:type="dxa"/>
            <w:tcBorders>
              <w:top w:val="single" w:color="auto" w:sz="4" w:space="0"/>
              <w:left w:val="single" w:color="auto" w:sz="4" w:space="0"/>
              <w:bottom w:val="single" w:color="auto" w:sz="4" w:space="0"/>
              <w:right w:val="single" w:color="auto" w:sz="4" w:space="0"/>
            </w:tcBorders>
            <w:vAlign w:val="center"/>
          </w:tcPr>
          <w:p>
            <w:pPr>
              <w:pStyle w:val="2"/>
              <w:adjustRightInd w:val="0"/>
              <w:snapToGrid w:val="0"/>
              <w:jc w:val="center"/>
              <w:rPr>
                <w:rFonts w:cs="宋体"/>
                <w:color w:val="auto"/>
                <w:sz w:val="21"/>
              </w:rPr>
            </w:pPr>
            <w:r>
              <w:rPr>
                <w:rFonts w:hint="eastAsia" w:cs="宋体"/>
                <w:color w:val="auto"/>
                <w:sz w:val="21"/>
              </w:rPr>
              <w:t>工艺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547" w:type="dxa"/>
            <w:tcBorders>
              <w:top w:val="single" w:color="auto" w:sz="4" w:space="0"/>
              <w:left w:val="single" w:color="auto" w:sz="4" w:space="0"/>
              <w:bottom w:val="single" w:color="auto" w:sz="4" w:space="0"/>
              <w:right w:val="single" w:color="auto" w:sz="4" w:space="0"/>
            </w:tcBorders>
            <w:vAlign w:val="center"/>
          </w:tcPr>
          <w:p>
            <w:pPr>
              <w:pStyle w:val="2"/>
              <w:adjustRightInd w:val="0"/>
              <w:snapToGrid w:val="0"/>
              <w:jc w:val="center"/>
              <w:rPr>
                <w:rFonts w:cs="宋体"/>
                <w:color w:val="auto"/>
                <w:sz w:val="21"/>
              </w:rPr>
            </w:pPr>
            <w:r>
              <w:rPr>
                <w:rFonts w:hint="eastAsia" w:cs="宋体"/>
                <w:color w:val="auto"/>
                <w:sz w:val="21"/>
              </w:rPr>
              <w:t>甲类车间</w:t>
            </w:r>
          </w:p>
        </w:tc>
        <w:tc>
          <w:tcPr>
            <w:tcW w:w="1440" w:type="dxa"/>
            <w:tcBorders>
              <w:top w:val="single" w:color="auto" w:sz="4" w:space="0"/>
              <w:left w:val="single" w:color="auto" w:sz="4" w:space="0"/>
              <w:bottom w:val="single" w:color="auto" w:sz="4" w:space="0"/>
              <w:right w:val="single" w:color="auto" w:sz="4" w:space="0"/>
            </w:tcBorders>
            <w:vAlign w:val="center"/>
          </w:tcPr>
          <w:p>
            <w:pPr>
              <w:pStyle w:val="2"/>
              <w:adjustRightInd w:val="0"/>
              <w:snapToGrid w:val="0"/>
              <w:jc w:val="center"/>
              <w:rPr>
                <w:rFonts w:cs="宋体"/>
                <w:color w:val="auto"/>
                <w:sz w:val="21"/>
              </w:rPr>
            </w:pPr>
            <w:r>
              <w:rPr>
                <w:rFonts w:hint="eastAsia" w:cs="宋体"/>
                <w:color w:val="auto"/>
                <w:sz w:val="21"/>
              </w:rPr>
              <w:t>重点监管危险化学品</w:t>
            </w:r>
          </w:p>
        </w:tc>
        <w:tc>
          <w:tcPr>
            <w:tcW w:w="1744" w:type="dxa"/>
            <w:tcBorders>
              <w:top w:val="single" w:color="auto" w:sz="4" w:space="0"/>
              <w:left w:val="single" w:color="auto" w:sz="4" w:space="0"/>
              <w:bottom w:val="single" w:color="auto" w:sz="4" w:space="0"/>
              <w:right w:val="single" w:color="auto" w:sz="4" w:space="0"/>
            </w:tcBorders>
            <w:vAlign w:val="center"/>
          </w:tcPr>
          <w:p>
            <w:pPr>
              <w:pStyle w:val="2"/>
              <w:adjustRightInd w:val="0"/>
              <w:snapToGrid w:val="0"/>
              <w:jc w:val="center"/>
              <w:rPr>
                <w:rFonts w:cs="宋体"/>
                <w:color w:val="auto"/>
                <w:sz w:val="21"/>
              </w:rPr>
            </w:pPr>
            <w:r>
              <w:rPr>
                <w:rFonts w:hint="eastAsia" w:cs="宋体"/>
                <w:color w:val="auto"/>
                <w:sz w:val="21"/>
              </w:rPr>
              <w:t>q/Q＜0.1</w:t>
            </w:r>
          </w:p>
        </w:tc>
        <w:tc>
          <w:tcPr>
            <w:tcW w:w="2203" w:type="dxa"/>
            <w:tcBorders>
              <w:top w:val="single" w:color="auto" w:sz="4" w:space="0"/>
              <w:left w:val="single" w:color="auto" w:sz="4" w:space="0"/>
              <w:bottom w:val="single" w:color="auto" w:sz="4" w:space="0"/>
              <w:right w:val="single" w:color="auto" w:sz="4" w:space="0"/>
            </w:tcBorders>
            <w:vAlign w:val="center"/>
          </w:tcPr>
          <w:p>
            <w:pPr>
              <w:pStyle w:val="2"/>
              <w:adjustRightInd w:val="0"/>
              <w:snapToGrid w:val="0"/>
              <w:jc w:val="center"/>
              <w:rPr>
                <w:rFonts w:cs="宋体"/>
                <w:color w:val="auto"/>
                <w:sz w:val="21"/>
              </w:rPr>
            </w:pPr>
            <w:r>
              <w:rPr>
                <w:rFonts w:hint="eastAsia" w:cs="宋体"/>
                <w:color w:val="auto"/>
                <w:sz w:val="21"/>
              </w:rPr>
              <w:t>操作温度低于250℃，且低于介质的燃点。</w:t>
            </w:r>
          </w:p>
        </w:tc>
        <w:tc>
          <w:tcPr>
            <w:tcW w:w="1122" w:type="dxa"/>
            <w:tcBorders>
              <w:top w:val="single" w:color="auto" w:sz="4" w:space="0"/>
              <w:left w:val="single" w:color="auto" w:sz="4" w:space="0"/>
              <w:bottom w:val="single" w:color="auto" w:sz="4" w:space="0"/>
              <w:right w:val="single" w:color="auto" w:sz="4" w:space="0"/>
            </w:tcBorders>
            <w:vAlign w:val="center"/>
          </w:tcPr>
          <w:p>
            <w:pPr>
              <w:pStyle w:val="2"/>
              <w:adjustRightInd w:val="0"/>
              <w:snapToGrid w:val="0"/>
              <w:jc w:val="center"/>
              <w:rPr>
                <w:rFonts w:cs="宋体"/>
                <w:color w:val="auto"/>
                <w:sz w:val="21"/>
              </w:rPr>
            </w:pPr>
            <w:r>
              <w:rPr>
                <w:rFonts w:hint="eastAsia" w:cs="宋体"/>
                <w:color w:val="auto"/>
                <w:sz w:val="21"/>
              </w:rPr>
              <w:t>1MPa以下</w:t>
            </w:r>
          </w:p>
        </w:tc>
        <w:tc>
          <w:tcPr>
            <w:tcW w:w="1229" w:type="dxa"/>
            <w:tcBorders>
              <w:top w:val="single" w:color="auto" w:sz="4" w:space="0"/>
              <w:left w:val="single" w:color="auto" w:sz="4" w:space="0"/>
              <w:bottom w:val="single" w:color="auto" w:sz="4" w:space="0"/>
              <w:right w:val="single" w:color="auto" w:sz="4" w:space="0"/>
            </w:tcBorders>
            <w:vAlign w:val="center"/>
          </w:tcPr>
          <w:p>
            <w:pPr>
              <w:pStyle w:val="2"/>
              <w:adjustRightInd w:val="0"/>
              <w:snapToGrid w:val="0"/>
              <w:jc w:val="center"/>
              <w:rPr>
                <w:rFonts w:cs="宋体"/>
                <w:color w:val="auto"/>
                <w:sz w:val="21"/>
              </w:rPr>
            </w:pPr>
            <w:r>
              <w:rPr>
                <w:rFonts w:hint="eastAsia" w:cs="宋体"/>
                <w:color w:val="auto"/>
                <w:sz w:val="21"/>
              </w:rPr>
              <w:t>有一定危险的操作。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547" w:type="dxa"/>
            <w:tcBorders>
              <w:top w:val="single" w:color="auto" w:sz="4" w:space="0"/>
              <w:left w:val="single" w:color="auto" w:sz="4" w:space="0"/>
              <w:bottom w:val="single" w:color="auto" w:sz="4" w:space="0"/>
              <w:right w:val="single" w:color="auto" w:sz="4" w:space="0"/>
            </w:tcBorders>
            <w:vAlign w:val="center"/>
          </w:tcPr>
          <w:p>
            <w:pPr>
              <w:pStyle w:val="2"/>
              <w:adjustRightInd w:val="0"/>
              <w:snapToGrid w:val="0"/>
              <w:jc w:val="center"/>
              <w:rPr>
                <w:rFonts w:cs="宋体"/>
                <w:color w:val="auto"/>
                <w:sz w:val="21"/>
              </w:rPr>
            </w:pPr>
            <w:r>
              <w:rPr>
                <w:rFonts w:hint="eastAsia" w:cs="宋体"/>
                <w:color w:val="auto"/>
                <w:sz w:val="21"/>
              </w:rPr>
              <w:t>甲类仓库</w:t>
            </w:r>
          </w:p>
        </w:tc>
        <w:tc>
          <w:tcPr>
            <w:tcW w:w="1440" w:type="dxa"/>
            <w:tcBorders>
              <w:top w:val="single" w:color="auto" w:sz="4" w:space="0"/>
              <w:left w:val="single" w:color="auto" w:sz="4" w:space="0"/>
              <w:bottom w:val="single" w:color="auto" w:sz="4" w:space="0"/>
              <w:right w:val="single" w:color="auto" w:sz="4" w:space="0"/>
            </w:tcBorders>
            <w:vAlign w:val="center"/>
          </w:tcPr>
          <w:p>
            <w:pPr>
              <w:pStyle w:val="2"/>
              <w:adjustRightInd w:val="0"/>
              <w:snapToGrid w:val="0"/>
              <w:jc w:val="center"/>
              <w:rPr>
                <w:rFonts w:cs="宋体"/>
                <w:color w:val="auto"/>
                <w:sz w:val="21"/>
              </w:rPr>
            </w:pPr>
            <w:r>
              <w:rPr>
                <w:rFonts w:hint="eastAsia" w:cs="宋体"/>
                <w:color w:val="auto"/>
                <w:sz w:val="21"/>
              </w:rPr>
              <w:t>重点监管危险化学品</w:t>
            </w:r>
          </w:p>
        </w:tc>
        <w:tc>
          <w:tcPr>
            <w:tcW w:w="1744" w:type="dxa"/>
            <w:tcBorders>
              <w:top w:val="single" w:color="auto" w:sz="4" w:space="0"/>
              <w:left w:val="single" w:color="auto" w:sz="4" w:space="0"/>
              <w:bottom w:val="single" w:color="auto" w:sz="4" w:space="0"/>
              <w:right w:val="single" w:color="auto" w:sz="4" w:space="0"/>
            </w:tcBorders>
            <w:vAlign w:val="center"/>
          </w:tcPr>
          <w:p>
            <w:pPr>
              <w:pStyle w:val="2"/>
              <w:adjustRightInd w:val="0"/>
              <w:snapToGrid w:val="0"/>
              <w:jc w:val="center"/>
              <w:rPr>
                <w:rFonts w:cs="宋体"/>
                <w:color w:val="auto"/>
                <w:sz w:val="21"/>
              </w:rPr>
            </w:pPr>
            <w:r>
              <w:rPr>
                <w:rFonts w:hint="eastAsia" w:cs="宋体"/>
                <w:color w:val="auto"/>
                <w:sz w:val="21"/>
              </w:rPr>
              <w:t>0.1≤q/Q＜1</w:t>
            </w:r>
          </w:p>
        </w:tc>
        <w:tc>
          <w:tcPr>
            <w:tcW w:w="2203" w:type="dxa"/>
            <w:tcBorders>
              <w:top w:val="single" w:color="auto" w:sz="4" w:space="0"/>
              <w:left w:val="single" w:color="auto" w:sz="4" w:space="0"/>
              <w:bottom w:val="single" w:color="auto" w:sz="4" w:space="0"/>
              <w:right w:val="single" w:color="auto" w:sz="4" w:space="0"/>
            </w:tcBorders>
            <w:vAlign w:val="center"/>
          </w:tcPr>
          <w:p>
            <w:pPr>
              <w:pStyle w:val="2"/>
              <w:adjustRightInd w:val="0"/>
              <w:snapToGrid w:val="0"/>
              <w:jc w:val="center"/>
              <w:rPr>
                <w:rFonts w:cs="宋体"/>
                <w:color w:val="auto"/>
                <w:sz w:val="21"/>
              </w:rPr>
            </w:pPr>
            <w:r>
              <w:rPr>
                <w:rFonts w:hint="eastAsia" w:cs="宋体"/>
                <w:color w:val="auto"/>
                <w:sz w:val="21"/>
              </w:rPr>
              <w:t>操作温度低于250℃，且低于介质的燃点。</w:t>
            </w:r>
          </w:p>
        </w:tc>
        <w:tc>
          <w:tcPr>
            <w:tcW w:w="1122" w:type="dxa"/>
            <w:tcBorders>
              <w:top w:val="single" w:color="auto" w:sz="4" w:space="0"/>
              <w:left w:val="single" w:color="auto" w:sz="4" w:space="0"/>
              <w:bottom w:val="single" w:color="auto" w:sz="4" w:space="0"/>
              <w:right w:val="single" w:color="auto" w:sz="4" w:space="0"/>
            </w:tcBorders>
            <w:vAlign w:val="center"/>
          </w:tcPr>
          <w:p>
            <w:pPr>
              <w:pStyle w:val="2"/>
              <w:adjustRightInd w:val="0"/>
              <w:snapToGrid w:val="0"/>
              <w:jc w:val="center"/>
              <w:rPr>
                <w:rFonts w:cs="宋体"/>
                <w:color w:val="auto"/>
                <w:sz w:val="21"/>
              </w:rPr>
            </w:pPr>
            <w:r>
              <w:rPr>
                <w:rFonts w:hint="eastAsia" w:cs="宋体"/>
                <w:color w:val="auto"/>
                <w:sz w:val="21"/>
              </w:rPr>
              <w:t>1MPa以下</w:t>
            </w:r>
          </w:p>
        </w:tc>
        <w:tc>
          <w:tcPr>
            <w:tcW w:w="1229" w:type="dxa"/>
            <w:tcBorders>
              <w:top w:val="single" w:color="auto" w:sz="4" w:space="0"/>
              <w:left w:val="single" w:color="auto" w:sz="4" w:space="0"/>
              <w:bottom w:val="single" w:color="auto" w:sz="4" w:space="0"/>
              <w:right w:val="single" w:color="auto" w:sz="4" w:space="0"/>
            </w:tcBorders>
            <w:vAlign w:val="center"/>
          </w:tcPr>
          <w:p>
            <w:pPr>
              <w:pStyle w:val="2"/>
              <w:adjustRightInd w:val="0"/>
              <w:snapToGrid w:val="0"/>
              <w:jc w:val="center"/>
              <w:rPr>
                <w:rFonts w:cs="宋体"/>
                <w:color w:val="auto"/>
                <w:sz w:val="21"/>
              </w:rPr>
            </w:pPr>
            <w:r>
              <w:rPr>
                <w:rFonts w:hint="eastAsia" w:cs="宋体"/>
                <w:color w:val="auto"/>
                <w:sz w:val="21"/>
              </w:rPr>
              <w:t>有一定危险的操作。</w:t>
            </w:r>
          </w:p>
        </w:tc>
      </w:tr>
    </w:tbl>
    <w:p>
      <w:pPr>
        <w:spacing w:afterLines="30" w:line="560" w:lineRule="exact"/>
        <w:jc w:val="center"/>
        <w:rPr>
          <w:rFonts w:ascii="宋体" w:hAnsi="宋体" w:eastAsia="宋体"/>
          <w:b/>
          <w:color w:val="auto"/>
          <w:lang w:eastAsia="zh-CN"/>
        </w:rPr>
      </w:pPr>
      <w:r>
        <w:rPr>
          <w:rFonts w:hint="eastAsia" w:ascii="宋体" w:hAnsi="宋体" w:eastAsia="宋体"/>
          <w:b/>
          <w:color w:val="auto"/>
        </w:rPr>
        <w:t>附件表2-</w:t>
      </w:r>
      <w:r>
        <w:rPr>
          <w:rFonts w:hint="eastAsia" w:ascii="宋体" w:hAnsi="宋体" w:eastAsia="宋体"/>
          <w:b/>
          <w:color w:val="auto"/>
          <w:lang w:eastAsia="zh-CN"/>
        </w:rPr>
        <w:t>15各单元危险度值表</w:t>
      </w:r>
    </w:p>
    <w:tbl>
      <w:tblPr>
        <w:tblStyle w:val="4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7"/>
        <w:gridCol w:w="1260"/>
        <w:gridCol w:w="1205"/>
        <w:gridCol w:w="1519"/>
        <w:gridCol w:w="1519"/>
        <w:gridCol w:w="15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trPr>
        <w:tc>
          <w:tcPr>
            <w:tcW w:w="2267" w:type="dxa"/>
            <w:tcBorders>
              <w:top w:val="single" w:color="auto" w:sz="4" w:space="0"/>
              <w:left w:val="single" w:color="auto" w:sz="4" w:space="0"/>
              <w:bottom w:val="single" w:color="auto" w:sz="4" w:space="0"/>
              <w:right w:val="single" w:color="auto" w:sz="4" w:space="0"/>
            </w:tcBorders>
            <w:vAlign w:val="center"/>
          </w:tcPr>
          <w:p>
            <w:pPr>
              <w:pStyle w:val="2"/>
              <w:adjustRightInd w:val="0"/>
              <w:snapToGrid w:val="0"/>
              <w:jc w:val="center"/>
              <w:rPr>
                <w:rFonts w:cs="宋体"/>
                <w:color w:val="auto"/>
                <w:sz w:val="21"/>
              </w:rPr>
            </w:pPr>
            <w:r>
              <w:rPr>
                <w:rFonts w:cs="宋体"/>
                <w:color w:val="auto"/>
                <w:sz w:val="21"/>
              </w:rPr>
              <w:pict>
                <v:line id="__TH_L606" o:spid="_x0000_s1621" o:spt="20" style="position:absolute;left:0pt;margin-left:-4.75pt;margin-top:1.05pt;height:29.5pt;width:112.75pt;z-index:251673600;mso-width-relative:page;mso-height-relative:page;" coordsize="21600,21600">
                  <v:path arrowok="t"/>
                  <v:fill focussize="0,0"/>
                  <v:stroke weight="0.5pt"/>
                  <v:imagedata o:title=""/>
                  <o:lock v:ext="edit"/>
                </v:line>
              </w:pict>
            </w:r>
            <w:r>
              <w:rPr>
                <w:rFonts w:hint="eastAsia" w:cs="宋体"/>
                <w:color w:val="auto"/>
                <w:sz w:val="21"/>
              </w:rPr>
              <w:t xml:space="preserve">          单元     </w:t>
            </w:r>
          </w:p>
          <w:p>
            <w:pPr>
              <w:pStyle w:val="2"/>
              <w:adjustRightInd w:val="0"/>
              <w:snapToGrid w:val="0"/>
              <w:rPr>
                <w:rFonts w:cs="宋体"/>
                <w:color w:val="auto"/>
                <w:sz w:val="21"/>
              </w:rPr>
            </w:pPr>
            <w:r>
              <w:rPr>
                <w:rFonts w:hint="eastAsia" w:cs="宋体"/>
                <w:color w:val="auto"/>
                <w:sz w:val="21"/>
              </w:rPr>
              <w:t xml:space="preserve">条件 </w:t>
            </w:r>
          </w:p>
        </w:tc>
        <w:tc>
          <w:tcPr>
            <w:tcW w:w="1260" w:type="dxa"/>
            <w:tcBorders>
              <w:top w:val="single" w:color="auto" w:sz="4" w:space="0"/>
              <w:left w:val="single" w:color="auto" w:sz="4" w:space="0"/>
              <w:bottom w:val="single" w:color="auto" w:sz="4" w:space="0"/>
              <w:right w:val="single" w:color="auto" w:sz="4" w:space="0"/>
            </w:tcBorders>
            <w:vAlign w:val="center"/>
          </w:tcPr>
          <w:p>
            <w:pPr>
              <w:pStyle w:val="2"/>
              <w:adjustRightInd w:val="0"/>
              <w:snapToGrid w:val="0"/>
              <w:jc w:val="center"/>
              <w:rPr>
                <w:rFonts w:cs="宋体"/>
                <w:color w:val="auto"/>
                <w:sz w:val="21"/>
              </w:rPr>
            </w:pPr>
            <w:r>
              <w:rPr>
                <w:rFonts w:hint="eastAsia" w:cs="宋体"/>
                <w:color w:val="auto"/>
                <w:sz w:val="21"/>
              </w:rPr>
              <w:t>物质</w:t>
            </w:r>
          </w:p>
        </w:tc>
        <w:tc>
          <w:tcPr>
            <w:tcW w:w="1205" w:type="dxa"/>
            <w:tcBorders>
              <w:top w:val="single" w:color="auto" w:sz="4" w:space="0"/>
              <w:left w:val="single" w:color="auto" w:sz="4" w:space="0"/>
              <w:bottom w:val="single" w:color="auto" w:sz="4" w:space="0"/>
              <w:right w:val="single" w:color="auto" w:sz="4" w:space="0"/>
            </w:tcBorders>
            <w:vAlign w:val="center"/>
          </w:tcPr>
          <w:p>
            <w:pPr>
              <w:pStyle w:val="2"/>
              <w:adjustRightInd w:val="0"/>
              <w:snapToGrid w:val="0"/>
              <w:jc w:val="center"/>
              <w:rPr>
                <w:rFonts w:cs="宋体"/>
                <w:color w:val="auto"/>
                <w:sz w:val="21"/>
              </w:rPr>
            </w:pPr>
            <w:r>
              <w:rPr>
                <w:rFonts w:hint="eastAsia" w:cs="宋体"/>
                <w:color w:val="auto"/>
                <w:sz w:val="21"/>
              </w:rPr>
              <w:t>容量</w:t>
            </w:r>
          </w:p>
        </w:tc>
        <w:tc>
          <w:tcPr>
            <w:tcW w:w="1519" w:type="dxa"/>
            <w:tcBorders>
              <w:top w:val="single" w:color="auto" w:sz="4" w:space="0"/>
              <w:left w:val="single" w:color="auto" w:sz="4" w:space="0"/>
              <w:bottom w:val="single" w:color="auto" w:sz="4" w:space="0"/>
              <w:right w:val="single" w:color="auto" w:sz="4" w:space="0"/>
            </w:tcBorders>
            <w:vAlign w:val="center"/>
          </w:tcPr>
          <w:p>
            <w:pPr>
              <w:pStyle w:val="2"/>
              <w:adjustRightInd w:val="0"/>
              <w:snapToGrid w:val="0"/>
              <w:jc w:val="center"/>
              <w:rPr>
                <w:rFonts w:cs="宋体"/>
                <w:color w:val="auto"/>
                <w:sz w:val="21"/>
              </w:rPr>
            </w:pPr>
            <w:r>
              <w:rPr>
                <w:rFonts w:hint="eastAsia" w:cs="宋体"/>
                <w:color w:val="auto"/>
                <w:sz w:val="21"/>
              </w:rPr>
              <w:t>温度</w:t>
            </w:r>
          </w:p>
        </w:tc>
        <w:tc>
          <w:tcPr>
            <w:tcW w:w="1519" w:type="dxa"/>
            <w:tcBorders>
              <w:top w:val="single" w:color="auto" w:sz="4" w:space="0"/>
              <w:left w:val="single" w:color="auto" w:sz="4" w:space="0"/>
              <w:bottom w:val="single" w:color="auto" w:sz="4" w:space="0"/>
              <w:right w:val="single" w:color="auto" w:sz="4" w:space="0"/>
            </w:tcBorders>
            <w:vAlign w:val="center"/>
          </w:tcPr>
          <w:p>
            <w:pPr>
              <w:pStyle w:val="2"/>
              <w:adjustRightInd w:val="0"/>
              <w:snapToGrid w:val="0"/>
              <w:jc w:val="center"/>
              <w:rPr>
                <w:rFonts w:cs="宋体"/>
                <w:color w:val="auto"/>
                <w:sz w:val="21"/>
              </w:rPr>
            </w:pPr>
            <w:r>
              <w:rPr>
                <w:rFonts w:hint="eastAsia" w:cs="宋体"/>
                <w:color w:val="auto"/>
                <w:sz w:val="21"/>
              </w:rPr>
              <w:t>压力</w:t>
            </w:r>
          </w:p>
        </w:tc>
        <w:tc>
          <w:tcPr>
            <w:tcW w:w="1515" w:type="dxa"/>
            <w:tcBorders>
              <w:top w:val="single" w:color="auto" w:sz="4" w:space="0"/>
              <w:left w:val="single" w:color="auto" w:sz="4" w:space="0"/>
              <w:bottom w:val="single" w:color="auto" w:sz="4" w:space="0"/>
              <w:right w:val="single" w:color="auto" w:sz="4" w:space="0"/>
            </w:tcBorders>
            <w:vAlign w:val="center"/>
          </w:tcPr>
          <w:p>
            <w:pPr>
              <w:pStyle w:val="2"/>
              <w:adjustRightInd w:val="0"/>
              <w:snapToGrid w:val="0"/>
              <w:jc w:val="center"/>
              <w:rPr>
                <w:rFonts w:cs="宋体"/>
                <w:color w:val="auto"/>
                <w:sz w:val="21"/>
              </w:rPr>
            </w:pPr>
            <w:r>
              <w:rPr>
                <w:rFonts w:hint="eastAsia" w:cs="宋体"/>
                <w:color w:val="auto"/>
                <w:sz w:val="21"/>
              </w:rPr>
              <w:t>工艺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267" w:type="dxa"/>
            <w:tcBorders>
              <w:top w:val="single" w:color="auto" w:sz="4" w:space="0"/>
              <w:left w:val="single" w:color="auto" w:sz="4" w:space="0"/>
              <w:bottom w:val="single" w:color="auto" w:sz="4" w:space="0"/>
              <w:right w:val="single" w:color="auto" w:sz="4" w:space="0"/>
            </w:tcBorders>
            <w:vAlign w:val="center"/>
          </w:tcPr>
          <w:p>
            <w:pPr>
              <w:pStyle w:val="2"/>
              <w:adjustRightInd w:val="0"/>
              <w:snapToGrid w:val="0"/>
              <w:jc w:val="center"/>
              <w:rPr>
                <w:rFonts w:cs="宋体"/>
                <w:color w:val="auto"/>
                <w:sz w:val="21"/>
              </w:rPr>
            </w:pPr>
            <w:r>
              <w:rPr>
                <w:rFonts w:hint="eastAsia" w:cs="宋体"/>
                <w:color w:val="auto"/>
                <w:sz w:val="21"/>
              </w:rPr>
              <w:t>甲类车间</w:t>
            </w:r>
          </w:p>
        </w:tc>
        <w:tc>
          <w:tcPr>
            <w:tcW w:w="1260" w:type="dxa"/>
            <w:tcBorders>
              <w:top w:val="single" w:color="auto" w:sz="4" w:space="0"/>
              <w:left w:val="single" w:color="auto" w:sz="4" w:space="0"/>
              <w:bottom w:val="single" w:color="auto" w:sz="4" w:space="0"/>
              <w:right w:val="single" w:color="auto" w:sz="4" w:space="0"/>
            </w:tcBorders>
            <w:vAlign w:val="center"/>
          </w:tcPr>
          <w:p>
            <w:pPr>
              <w:pStyle w:val="2"/>
              <w:adjustRightInd w:val="0"/>
              <w:snapToGrid w:val="0"/>
              <w:jc w:val="center"/>
              <w:rPr>
                <w:rFonts w:cs="宋体"/>
                <w:color w:val="auto"/>
                <w:sz w:val="21"/>
              </w:rPr>
            </w:pPr>
            <w:r>
              <w:rPr>
                <w:rFonts w:hint="eastAsia" w:cs="宋体"/>
                <w:color w:val="auto"/>
                <w:sz w:val="21"/>
              </w:rPr>
              <w:t>10</w:t>
            </w:r>
          </w:p>
        </w:tc>
        <w:tc>
          <w:tcPr>
            <w:tcW w:w="1205" w:type="dxa"/>
            <w:tcBorders>
              <w:top w:val="single" w:color="auto" w:sz="4" w:space="0"/>
              <w:left w:val="single" w:color="auto" w:sz="4" w:space="0"/>
              <w:bottom w:val="single" w:color="auto" w:sz="4" w:space="0"/>
              <w:right w:val="single" w:color="auto" w:sz="4" w:space="0"/>
            </w:tcBorders>
            <w:vAlign w:val="center"/>
          </w:tcPr>
          <w:p>
            <w:pPr>
              <w:pStyle w:val="2"/>
              <w:adjustRightInd w:val="0"/>
              <w:snapToGrid w:val="0"/>
              <w:jc w:val="center"/>
              <w:rPr>
                <w:rFonts w:cs="宋体"/>
                <w:color w:val="auto"/>
                <w:sz w:val="21"/>
              </w:rPr>
            </w:pPr>
            <w:r>
              <w:rPr>
                <w:rFonts w:hint="eastAsia" w:cs="宋体"/>
                <w:color w:val="auto"/>
                <w:sz w:val="21"/>
              </w:rPr>
              <w:t>0</w:t>
            </w:r>
          </w:p>
        </w:tc>
        <w:tc>
          <w:tcPr>
            <w:tcW w:w="1519" w:type="dxa"/>
            <w:tcBorders>
              <w:top w:val="single" w:color="auto" w:sz="4" w:space="0"/>
              <w:left w:val="single" w:color="auto" w:sz="4" w:space="0"/>
              <w:bottom w:val="single" w:color="auto" w:sz="4" w:space="0"/>
              <w:right w:val="single" w:color="auto" w:sz="4" w:space="0"/>
            </w:tcBorders>
            <w:vAlign w:val="center"/>
          </w:tcPr>
          <w:p>
            <w:pPr>
              <w:pStyle w:val="2"/>
              <w:adjustRightInd w:val="0"/>
              <w:snapToGrid w:val="0"/>
              <w:jc w:val="center"/>
              <w:rPr>
                <w:rFonts w:cs="宋体"/>
                <w:color w:val="auto"/>
                <w:sz w:val="21"/>
              </w:rPr>
            </w:pPr>
            <w:r>
              <w:rPr>
                <w:rFonts w:hint="eastAsia" w:cs="宋体"/>
                <w:color w:val="auto"/>
                <w:sz w:val="21"/>
              </w:rPr>
              <w:t>0</w:t>
            </w:r>
          </w:p>
        </w:tc>
        <w:tc>
          <w:tcPr>
            <w:tcW w:w="1519" w:type="dxa"/>
            <w:tcBorders>
              <w:top w:val="single" w:color="auto" w:sz="4" w:space="0"/>
              <w:left w:val="single" w:color="auto" w:sz="4" w:space="0"/>
              <w:bottom w:val="single" w:color="auto" w:sz="4" w:space="0"/>
              <w:right w:val="single" w:color="auto" w:sz="4" w:space="0"/>
            </w:tcBorders>
            <w:vAlign w:val="center"/>
          </w:tcPr>
          <w:p>
            <w:pPr>
              <w:pStyle w:val="2"/>
              <w:adjustRightInd w:val="0"/>
              <w:snapToGrid w:val="0"/>
              <w:jc w:val="center"/>
              <w:rPr>
                <w:rFonts w:cs="宋体"/>
                <w:color w:val="auto"/>
                <w:sz w:val="21"/>
              </w:rPr>
            </w:pPr>
            <w:r>
              <w:rPr>
                <w:rFonts w:hint="eastAsia" w:cs="宋体"/>
                <w:color w:val="auto"/>
                <w:sz w:val="21"/>
              </w:rPr>
              <w:t>0</w:t>
            </w:r>
          </w:p>
        </w:tc>
        <w:tc>
          <w:tcPr>
            <w:tcW w:w="1515" w:type="dxa"/>
            <w:tcBorders>
              <w:top w:val="single" w:color="auto" w:sz="4" w:space="0"/>
              <w:left w:val="single" w:color="auto" w:sz="4" w:space="0"/>
              <w:bottom w:val="single" w:color="auto" w:sz="4" w:space="0"/>
              <w:right w:val="single" w:color="auto" w:sz="4" w:space="0"/>
            </w:tcBorders>
            <w:vAlign w:val="center"/>
          </w:tcPr>
          <w:p>
            <w:pPr>
              <w:pStyle w:val="2"/>
              <w:adjustRightInd w:val="0"/>
              <w:snapToGrid w:val="0"/>
              <w:jc w:val="center"/>
              <w:rPr>
                <w:rFonts w:cs="宋体"/>
                <w:color w:val="auto"/>
                <w:sz w:val="21"/>
              </w:rPr>
            </w:pPr>
            <w:r>
              <w:rPr>
                <w:rFonts w:hint="eastAsia" w:cs="宋体"/>
                <w:color w:val="auto"/>
                <w:sz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267" w:type="dxa"/>
            <w:tcBorders>
              <w:top w:val="single" w:color="auto" w:sz="4" w:space="0"/>
              <w:left w:val="single" w:color="auto" w:sz="4" w:space="0"/>
              <w:bottom w:val="single" w:color="auto" w:sz="4" w:space="0"/>
              <w:right w:val="single" w:color="auto" w:sz="4" w:space="0"/>
            </w:tcBorders>
            <w:vAlign w:val="center"/>
          </w:tcPr>
          <w:p>
            <w:pPr>
              <w:pStyle w:val="2"/>
              <w:adjustRightInd w:val="0"/>
              <w:snapToGrid w:val="0"/>
              <w:jc w:val="center"/>
              <w:rPr>
                <w:rFonts w:cs="宋体"/>
                <w:color w:val="auto"/>
                <w:sz w:val="21"/>
              </w:rPr>
            </w:pPr>
            <w:r>
              <w:rPr>
                <w:rFonts w:hint="eastAsia" w:cs="宋体"/>
                <w:color w:val="auto"/>
                <w:sz w:val="21"/>
              </w:rPr>
              <w:t>甲类仓库</w:t>
            </w:r>
          </w:p>
        </w:tc>
        <w:tc>
          <w:tcPr>
            <w:tcW w:w="1260" w:type="dxa"/>
            <w:tcBorders>
              <w:top w:val="single" w:color="auto" w:sz="4" w:space="0"/>
              <w:left w:val="single" w:color="auto" w:sz="4" w:space="0"/>
              <w:bottom w:val="single" w:color="auto" w:sz="4" w:space="0"/>
              <w:right w:val="single" w:color="auto" w:sz="4" w:space="0"/>
            </w:tcBorders>
            <w:vAlign w:val="center"/>
          </w:tcPr>
          <w:p>
            <w:pPr>
              <w:pStyle w:val="2"/>
              <w:adjustRightInd w:val="0"/>
              <w:snapToGrid w:val="0"/>
              <w:jc w:val="center"/>
              <w:rPr>
                <w:rFonts w:cs="宋体"/>
                <w:color w:val="auto"/>
                <w:sz w:val="21"/>
              </w:rPr>
            </w:pPr>
            <w:r>
              <w:rPr>
                <w:rFonts w:hint="eastAsia" w:cs="宋体"/>
                <w:color w:val="auto"/>
                <w:sz w:val="21"/>
              </w:rPr>
              <w:t>10</w:t>
            </w:r>
          </w:p>
        </w:tc>
        <w:tc>
          <w:tcPr>
            <w:tcW w:w="1205" w:type="dxa"/>
            <w:tcBorders>
              <w:top w:val="single" w:color="auto" w:sz="4" w:space="0"/>
              <w:left w:val="single" w:color="auto" w:sz="4" w:space="0"/>
              <w:bottom w:val="single" w:color="auto" w:sz="4" w:space="0"/>
              <w:right w:val="single" w:color="auto" w:sz="4" w:space="0"/>
            </w:tcBorders>
            <w:vAlign w:val="center"/>
          </w:tcPr>
          <w:p>
            <w:pPr>
              <w:pStyle w:val="2"/>
              <w:adjustRightInd w:val="0"/>
              <w:snapToGrid w:val="0"/>
              <w:jc w:val="center"/>
              <w:rPr>
                <w:rFonts w:cs="宋体"/>
                <w:color w:val="auto"/>
                <w:sz w:val="21"/>
              </w:rPr>
            </w:pPr>
            <w:r>
              <w:rPr>
                <w:rFonts w:hint="eastAsia" w:cs="宋体"/>
                <w:color w:val="auto"/>
                <w:sz w:val="21"/>
              </w:rPr>
              <w:t>2</w:t>
            </w:r>
          </w:p>
        </w:tc>
        <w:tc>
          <w:tcPr>
            <w:tcW w:w="1519" w:type="dxa"/>
            <w:tcBorders>
              <w:top w:val="single" w:color="auto" w:sz="4" w:space="0"/>
              <w:left w:val="single" w:color="auto" w:sz="4" w:space="0"/>
              <w:bottom w:val="single" w:color="auto" w:sz="4" w:space="0"/>
              <w:right w:val="single" w:color="auto" w:sz="4" w:space="0"/>
            </w:tcBorders>
            <w:vAlign w:val="center"/>
          </w:tcPr>
          <w:p>
            <w:pPr>
              <w:pStyle w:val="2"/>
              <w:adjustRightInd w:val="0"/>
              <w:snapToGrid w:val="0"/>
              <w:jc w:val="center"/>
              <w:rPr>
                <w:rFonts w:cs="宋体"/>
                <w:color w:val="auto"/>
                <w:sz w:val="21"/>
              </w:rPr>
            </w:pPr>
            <w:r>
              <w:rPr>
                <w:rFonts w:hint="eastAsia" w:cs="宋体"/>
                <w:color w:val="auto"/>
                <w:sz w:val="21"/>
              </w:rPr>
              <w:t>0</w:t>
            </w:r>
          </w:p>
        </w:tc>
        <w:tc>
          <w:tcPr>
            <w:tcW w:w="1519" w:type="dxa"/>
            <w:tcBorders>
              <w:top w:val="single" w:color="auto" w:sz="4" w:space="0"/>
              <w:left w:val="single" w:color="auto" w:sz="4" w:space="0"/>
              <w:bottom w:val="single" w:color="auto" w:sz="4" w:space="0"/>
              <w:right w:val="single" w:color="auto" w:sz="4" w:space="0"/>
            </w:tcBorders>
            <w:vAlign w:val="center"/>
          </w:tcPr>
          <w:p>
            <w:pPr>
              <w:pStyle w:val="2"/>
              <w:adjustRightInd w:val="0"/>
              <w:snapToGrid w:val="0"/>
              <w:jc w:val="center"/>
              <w:rPr>
                <w:rFonts w:cs="宋体"/>
                <w:color w:val="auto"/>
                <w:sz w:val="21"/>
              </w:rPr>
            </w:pPr>
            <w:r>
              <w:rPr>
                <w:rFonts w:hint="eastAsia" w:cs="宋体"/>
                <w:color w:val="auto"/>
                <w:sz w:val="21"/>
              </w:rPr>
              <w:t>0</w:t>
            </w:r>
          </w:p>
        </w:tc>
        <w:tc>
          <w:tcPr>
            <w:tcW w:w="1515" w:type="dxa"/>
            <w:tcBorders>
              <w:top w:val="single" w:color="auto" w:sz="4" w:space="0"/>
              <w:left w:val="single" w:color="auto" w:sz="4" w:space="0"/>
              <w:bottom w:val="single" w:color="auto" w:sz="4" w:space="0"/>
              <w:right w:val="single" w:color="auto" w:sz="4" w:space="0"/>
            </w:tcBorders>
            <w:vAlign w:val="center"/>
          </w:tcPr>
          <w:p>
            <w:pPr>
              <w:pStyle w:val="2"/>
              <w:adjustRightInd w:val="0"/>
              <w:snapToGrid w:val="0"/>
              <w:jc w:val="center"/>
              <w:rPr>
                <w:rFonts w:cs="宋体"/>
                <w:color w:val="auto"/>
                <w:sz w:val="21"/>
              </w:rPr>
            </w:pPr>
            <w:r>
              <w:rPr>
                <w:rFonts w:hint="eastAsia" w:cs="宋体"/>
                <w:color w:val="auto"/>
                <w:sz w:val="21"/>
              </w:rPr>
              <w:t>2</w:t>
            </w:r>
          </w:p>
        </w:tc>
      </w:tr>
    </w:tbl>
    <w:p>
      <w:pPr>
        <w:spacing w:line="560" w:lineRule="exact"/>
        <w:ind w:firstLine="560" w:firstLineChars="200"/>
        <w:rPr>
          <w:rFonts w:ascii="宋体" w:hAnsi="宋体" w:eastAsia="宋体" w:cs="宋体"/>
          <w:color w:val="auto"/>
          <w:sz w:val="28"/>
          <w:szCs w:val="28"/>
        </w:rPr>
      </w:pPr>
      <w:r>
        <w:rPr>
          <w:rFonts w:hint="eastAsia" w:ascii="宋体" w:hAnsi="宋体" w:eastAsia="宋体" w:cs="宋体"/>
          <w:color w:val="auto"/>
          <w:sz w:val="28"/>
          <w:szCs w:val="28"/>
        </w:rPr>
        <w:t>根据危险程度分级表，各单元的危险度等级见附表</w:t>
      </w:r>
      <w:r>
        <w:rPr>
          <w:rFonts w:hint="eastAsia" w:ascii="宋体" w:hAnsi="宋体" w:eastAsia="宋体" w:cs="宋体"/>
          <w:color w:val="auto"/>
          <w:sz w:val="28"/>
          <w:szCs w:val="28"/>
          <w:lang w:eastAsia="zh-CN"/>
        </w:rPr>
        <w:t>2-16</w:t>
      </w:r>
      <w:r>
        <w:rPr>
          <w:rFonts w:hint="eastAsia" w:ascii="宋体" w:hAnsi="宋体" w:eastAsia="宋体" w:cs="宋体"/>
          <w:color w:val="auto"/>
          <w:sz w:val="28"/>
          <w:szCs w:val="28"/>
        </w:rPr>
        <w:t>。</w:t>
      </w:r>
    </w:p>
    <w:p>
      <w:pPr>
        <w:spacing w:afterLines="30" w:line="560" w:lineRule="exact"/>
        <w:jc w:val="center"/>
        <w:rPr>
          <w:rFonts w:ascii="宋体" w:hAnsi="宋体" w:eastAsia="宋体"/>
          <w:b/>
          <w:color w:val="auto"/>
          <w:lang w:eastAsia="zh-CN"/>
        </w:rPr>
      </w:pPr>
      <w:r>
        <w:rPr>
          <w:rFonts w:hint="eastAsia" w:ascii="宋体" w:hAnsi="宋体" w:eastAsia="宋体"/>
          <w:b/>
          <w:color w:val="auto"/>
        </w:rPr>
        <w:t>附件表2-</w:t>
      </w:r>
      <w:r>
        <w:rPr>
          <w:rFonts w:hint="eastAsia" w:ascii="宋体" w:hAnsi="宋体" w:eastAsia="宋体"/>
          <w:b/>
          <w:color w:val="auto"/>
          <w:lang w:eastAsia="zh-CN"/>
        </w:rPr>
        <w:t>15各单元危险程度等级</w:t>
      </w:r>
    </w:p>
    <w:tbl>
      <w:tblPr>
        <w:tblStyle w:val="4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7"/>
        <w:gridCol w:w="1393"/>
        <w:gridCol w:w="2366"/>
        <w:gridCol w:w="32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trPr>
        <w:tc>
          <w:tcPr>
            <w:tcW w:w="2267" w:type="dxa"/>
            <w:tcBorders>
              <w:top w:val="single" w:color="auto" w:sz="4" w:space="0"/>
              <w:left w:val="single" w:color="auto" w:sz="4" w:space="0"/>
              <w:bottom w:val="single" w:color="auto" w:sz="4" w:space="0"/>
              <w:right w:val="single" w:color="auto" w:sz="4" w:space="0"/>
            </w:tcBorders>
            <w:vAlign w:val="center"/>
          </w:tcPr>
          <w:p>
            <w:pPr>
              <w:pStyle w:val="2"/>
              <w:adjustRightInd w:val="0"/>
              <w:snapToGrid w:val="0"/>
              <w:jc w:val="center"/>
              <w:rPr>
                <w:rFonts w:cs="宋体"/>
                <w:color w:val="auto"/>
                <w:sz w:val="21"/>
              </w:rPr>
            </w:pPr>
            <w:r>
              <w:rPr>
                <w:rFonts w:cs="宋体"/>
                <w:color w:val="auto"/>
                <w:sz w:val="21"/>
              </w:rPr>
              <w:pict>
                <v:line id="直线 658" o:spid="_x0000_s1623" o:spt="20" style="position:absolute;left:0pt;margin-left:-4.5pt;margin-top:1.7pt;height:31pt;width:113pt;z-index:251675648;mso-width-relative:page;mso-height-relative:page;" filled="t" coordsize="21600,21600">
                  <v:path arrowok="t"/>
                  <v:fill on="t" focussize="0,0"/>
                  <v:stroke/>
                  <v:imagedata o:title=""/>
                  <o:lock v:ext="edit"/>
                </v:line>
              </w:pict>
            </w:r>
            <w:r>
              <w:rPr>
                <w:rFonts w:hint="eastAsia" w:cs="宋体"/>
                <w:color w:val="auto"/>
                <w:sz w:val="21"/>
              </w:rPr>
              <w:t xml:space="preserve">           项目</w:t>
            </w:r>
          </w:p>
          <w:p>
            <w:pPr>
              <w:pStyle w:val="2"/>
              <w:adjustRightInd w:val="0"/>
              <w:snapToGrid w:val="0"/>
              <w:rPr>
                <w:rFonts w:cs="宋体"/>
                <w:color w:val="auto"/>
                <w:sz w:val="21"/>
              </w:rPr>
            </w:pPr>
            <w:r>
              <w:rPr>
                <w:rFonts w:hint="eastAsia" w:cs="宋体"/>
                <w:color w:val="auto"/>
                <w:sz w:val="21"/>
              </w:rPr>
              <w:t>单元</w:t>
            </w:r>
          </w:p>
        </w:tc>
        <w:tc>
          <w:tcPr>
            <w:tcW w:w="1393" w:type="dxa"/>
            <w:tcBorders>
              <w:top w:val="single" w:color="auto" w:sz="4" w:space="0"/>
              <w:left w:val="single" w:color="auto" w:sz="4" w:space="0"/>
              <w:bottom w:val="single" w:color="auto" w:sz="4" w:space="0"/>
              <w:right w:val="single" w:color="auto" w:sz="4" w:space="0"/>
            </w:tcBorders>
            <w:vAlign w:val="center"/>
          </w:tcPr>
          <w:p>
            <w:pPr>
              <w:pStyle w:val="2"/>
              <w:adjustRightInd w:val="0"/>
              <w:snapToGrid w:val="0"/>
              <w:jc w:val="center"/>
              <w:rPr>
                <w:rFonts w:cs="宋体"/>
                <w:color w:val="auto"/>
                <w:sz w:val="21"/>
              </w:rPr>
            </w:pPr>
            <w:r>
              <w:rPr>
                <w:rFonts w:hint="eastAsia" w:cs="宋体"/>
                <w:color w:val="auto"/>
                <w:sz w:val="21"/>
              </w:rPr>
              <w:t>分值</w:t>
            </w:r>
          </w:p>
        </w:tc>
        <w:tc>
          <w:tcPr>
            <w:tcW w:w="2366" w:type="dxa"/>
            <w:tcBorders>
              <w:top w:val="single" w:color="auto" w:sz="4" w:space="0"/>
              <w:left w:val="single" w:color="auto" w:sz="4" w:space="0"/>
              <w:bottom w:val="single" w:color="auto" w:sz="4" w:space="0"/>
              <w:right w:val="single" w:color="auto" w:sz="4" w:space="0"/>
            </w:tcBorders>
            <w:vAlign w:val="center"/>
          </w:tcPr>
          <w:p>
            <w:pPr>
              <w:pStyle w:val="2"/>
              <w:adjustRightInd w:val="0"/>
              <w:snapToGrid w:val="0"/>
              <w:jc w:val="center"/>
              <w:rPr>
                <w:rFonts w:cs="宋体"/>
                <w:color w:val="auto"/>
                <w:sz w:val="21"/>
              </w:rPr>
            </w:pPr>
            <w:r>
              <w:rPr>
                <w:rFonts w:hint="eastAsia" w:cs="宋体"/>
                <w:color w:val="auto"/>
                <w:sz w:val="21"/>
              </w:rPr>
              <w:t>等  级</w:t>
            </w:r>
          </w:p>
        </w:tc>
        <w:tc>
          <w:tcPr>
            <w:tcW w:w="3259" w:type="dxa"/>
            <w:tcBorders>
              <w:top w:val="single" w:color="auto" w:sz="4" w:space="0"/>
              <w:left w:val="single" w:color="auto" w:sz="4" w:space="0"/>
              <w:bottom w:val="single" w:color="auto" w:sz="4" w:space="0"/>
              <w:right w:val="single" w:color="auto" w:sz="4" w:space="0"/>
            </w:tcBorders>
            <w:vAlign w:val="center"/>
          </w:tcPr>
          <w:p>
            <w:pPr>
              <w:pStyle w:val="2"/>
              <w:adjustRightInd w:val="0"/>
              <w:snapToGrid w:val="0"/>
              <w:jc w:val="center"/>
              <w:rPr>
                <w:rFonts w:cs="宋体"/>
                <w:color w:val="auto"/>
                <w:sz w:val="21"/>
              </w:rPr>
            </w:pPr>
            <w:r>
              <w:rPr>
                <w:rFonts w:hint="eastAsia" w:cs="宋体"/>
                <w:color w:val="auto"/>
                <w:sz w:val="21"/>
              </w:rPr>
              <w:t>危险程度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267" w:type="dxa"/>
            <w:tcBorders>
              <w:top w:val="single" w:color="auto" w:sz="4" w:space="0"/>
              <w:left w:val="single" w:color="auto" w:sz="4" w:space="0"/>
              <w:bottom w:val="single" w:color="auto" w:sz="4" w:space="0"/>
              <w:right w:val="single" w:color="auto" w:sz="4" w:space="0"/>
            </w:tcBorders>
            <w:vAlign w:val="center"/>
          </w:tcPr>
          <w:p>
            <w:pPr>
              <w:pStyle w:val="2"/>
              <w:adjustRightInd w:val="0"/>
              <w:snapToGrid w:val="0"/>
              <w:jc w:val="center"/>
              <w:rPr>
                <w:rFonts w:cs="宋体"/>
                <w:color w:val="auto"/>
                <w:sz w:val="21"/>
              </w:rPr>
            </w:pPr>
            <w:r>
              <w:rPr>
                <w:rFonts w:hint="eastAsia" w:cs="宋体"/>
                <w:color w:val="auto"/>
                <w:sz w:val="21"/>
              </w:rPr>
              <w:t>甲类车间</w:t>
            </w:r>
          </w:p>
        </w:tc>
        <w:tc>
          <w:tcPr>
            <w:tcW w:w="1393" w:type="dxa"/>
            <w:tcBorders>
              <w:top w:val="single" w:color="auto" w:sz="4" w:space="0"/>
              <w:left w:val="single" w:color="auto" w:sz="4" w:space="0"/>
              <w:bottom w:val="single" w:color="auto" w:sz="4" w:space="0"/>
              <w:right w:val="single" w:color="auto" w:sz="4" w:space="0"/>
            </w:tcBorders>
          </w:tcPr>
          <w:p>
            <w:pPr>
              <w:pStyle w:val="2"/>
              <w:adjustRightInd w:val="0"/>
              <w:snapToGrid w:val="0"/>
              <w:jc w:val="center"/>
              <w:rPr>
                <w:rFonts w:cs="宋体"/>
                <w:color w:val="auto"/>
                <w:sz w:val="21"/>
              </w:rPr>
            </w:pPr>
            <w:r>
              <w:rPr>
                <w:rFonts w:hint="eastAsia" w:cs="宋体"/>
                <w:color w:val="auto"/>
                <w:sz w:val="21"/>
              </w:rPr>
              <w:t>12</w:t>
            </w:r>
          </w:p>
        </w:tc>
        <w:tc>
          <w:tcPr>
            <w:tcW w:w="2366" w:type="dxa"/>
            <w:tcBorders>
              <w:top w:val="single" w:color="auto" w:sz="4" w:space="0"/>
              <w:left w:val="single" w:color="auto" w:sz="4" w:space="0"/>
              <w:bottom w:val="single" w:color="auto" w:sz="4" w:space="0"/>
              <w:right w:val="single" w:color="auto" w:sz="4" w:space="0"/>
            </w:tcBorders>
          </w:tcPr>
          <w:p>
            <w:pPr>
              <w:pStyle w:val="2"/>
              <w:adjustRightInd w:val="0"/>
              <w:snapToGrid w:val="0"/>
              <w:jc w:val="center"/>
              <w:rPr>
                <w:rFonts w:cs="宋体"/>
                <w:color w:val="auto"/>
                <w:sz w:val="21"/>
              </w:rPr>
            </w:pPr>
            <w:r>
              <w:rPr>
                <w:rFonts w:hint="eastAsia" w:cs="宋体"/>
                <w:color w:val="auto"/>
                <w:sz w:val="21"/>
              </w:rPr>
              <w:t>黄色等级</w:t>
            </w:r>
          </w:p>
        </w:tc>
        <w:tc>
          <w:tcPr>
            <w:tcW w:w="3259" w:type="dxa"/>
            <w:tcBorders>
              <w:top w:val="single" w:color="auto" w:sz="4" w:space="0"/>
              <w:left w:val="single" w:color="auto" w:sz="4" w:space="0"/>
              <w:bottom w:val="single" w:color="auto" w:sz="4" w:space="0"/>
              <w:right w:val="single" w:color="auto" w:sz="4" w:space="0"/>
            </w:tcBorders>
          </w:tcPr>
          <w:p>
            <w:pPr>
              <w:pStyle w:val="2"/>
              <w:adjustRightInd w:val="0"/>
              <w:snapToGrid w:val="0"/>
              <w:jc w:val="center"/>
              <w:rPr>
                <w:rFonts w:cs="宋体"/>
                <w:color w:val="auto"/>
                <w:sz w:val="21"/>
              </w:rPr>
            </w:pPr>
            <w:r>
              <w:rPr>
                <w:rFonts w:hint="eastAsia" w:cs="宋体"/>
                <w:color w:val="auto"/>
                <w:sz w:val="21"/>
              </w:rPr>
              <w:t>中度危险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267" w:type="dxa"/>
            <w:tcBorders>
              <w:top w:val="single" w:color="auto" w:sz="4" w:space="0"/>
              <w:left w:val="single" w:color="auto" w:sz="4" w:space="0"/>
              <w:bottom w:val="single" w:color="auto" w:sz="4" w:space="0"/>
              <w:right w:val="single" w:color="auto" w:sz="4" w:space="0"/>
            </w:tcBorders>
            <w:vAlign w:val="center"/>
          </w:tcPr>
          <w:p>
            <w:pPr>
              <w:pStyle w:val="2"/>
              <w:adjustRightInd w:val="0"/>
              <w:snapToGrid w:val="0"/>
              <w:jc w:val="center"/>
              <w:rPr>
                <w:rFonts w:cs="宋体"/>
                <w:color w:val="auto"/>
                <w:sz w:val="21"/>
              </w:rPr>
            </w:pPr>
            <w:r>
              <w:rPr>
                <w:rFonts w:hint="eastAsia" w:cs="宋体"/>
                <w:color w:val="auto"/>
                <w:sz w:val="21"/>
              </w:rPr>
              <w:t>甲类仓库</w:t>
            </w:r>
          </w:p>
        </w:tc>
        <w:tc>
          <w:tcPr>
            <w:tcW w:w="1393" w:type="dxa"/>
            <w:tcBorders>
              <w:top w:val="single" w:color="auto" w:sz="4" w:space="0"/>
              <w:left w:val="single" w:color="auto" w:sz="4" w:space="0"/>
              <w:bottom w:val="single" w:color="auto" w:sz="4" w:space="0"/>
              <w:right w:val="single" w:color="auto" w:sz="4" w:space="0"/>
            </w:tcBorders>
          </w:tcPr>
          <w:p>
            <w:pPr>
              <w:pStyle w:val="2"/>
              <w:adjustRightInd w:val="0"/>
              <w:snapToGrid w:val="0"/>
              <w:jc w:val="center"/>
              <w:rPr>
                <w:rFonts w:cs="宋体"/>
                <w:color w:val="auto"/>
                <w:sz w:val="21"/>
              </w:rPr>
            </w:pPr>
            <w:r>
              <w:rPr>
                <w:rFonts w:hint="eastAsia" w:cs="宋体"/>
                <w:color w:val="auto"/>
                <w:sz w:val="21"/>
              </w:rPr>
              <w:t>14</w:t>
            </w:r>
          </w:p>
        </w:tc>
        <w:tc>
          <w:tcPr>
            <w:tcW w:w="2366" w:type="dxa"/>
            <w:tcBorders>
              <w:top w:val="single" w:color="auto" w:sz="4" w:space="0"/>
              <w:left w:val="single" w:color="auto" w:sz="4" w:space="0"/>
              <w:bottom w:val="single" w:color="auto" w:sz="4" w:space="0"/>
              <w:right w:val="single" w:color="auto" w:sz="4" w:space="0"/>
            </w:tcBorders>
          </w:tcPr>
          <w:p>
            <w:pPr>
              <w:pStyle w:val="2"/>
              <w:adjustRightInd w:val="0"/>
              <w:snapToGrid w:val="0"/>
              <w:jc w:val="center"/>
              <w:rPr>
                <w:rFonts w:cs="宋体"/>
                <w:color w:val="auto"/>
                <w:sz w:val="21"/>
              </w:rPr>
            </w:pPr>
            <w:r>
              <w:rPr>
                <w:rFonts w:hint="eastAsia" w:cs="宋体"/>
                <w:color w:val="auto"/>
                <w:sz w:val="21"/>
              </w:rPr>
              <w:t>黄色等级</w:t>
            </w:r>
          </w:p>
        </w:tc>
        <w:tc>
          <w:tcPr>
            <w:tcW w:w="3259" w:type="dxa"/>
            <w:tcBorders>
              <w:top w:val="single" w:color="auto" w:sz="4" w:space="0"/>
              <w:left w:val="single" w:color="auto" w:sz="4" w:space="0"/>
              <w:bottom w:val="single" w:color="auto" w:sz="4" w:space="0"/>
              <w:right w:val="single" w:color="auto" w:sz="4" w:space="0"/>
            </w:tcBorders>
          </w:tcPr>
          <w:p>
            <w:pPr>
              <w:pStyle w:val="2"/>
              <w:adjustRightInd w:val="0"/>
              <w:snapToGrid w:val="0"/>
              <w:jc w:val="center"/>
              <w:rPr>
                <w:rFonts w:cs="宋体"/>
                <w:color w:val="auto"/>
                <w:sz w:val="21"/>
              </w:rPr>
            </w:pPr>
            <w:r>
              <w:rPr>
                <w:rFonts w:hint="eastAsia" w:cs="宋体"/>
                <w:color w:val="auto"/>
                <w:sz w:val="21"/>
              </w:rPr>
              <w:t>中度危险</w:t>
            </w:r>
          </w:p>
        </w:tc>
      </w:tr>
    </w:tbl>
    <w:p>
      <w:pPr>
        <w:pStyle w:val="19"/>
        <w:spacing w:line="500" w:lineRule="exact"/>
        <w:ind w:firstLine="560" w:firstLineChars="200"/>
        <w:rPr>
          <w:rFonts w:cs="宋体"/>
          <w:color w:val="auto"/>
        </w:rPr>
      </w:pPr>
      <w:r>
        <w:rPr>
          <w:rFonts w:hint="eastAsia" w:cs="宋体"/>
          <w:color w:val="auto"/>
          <w:szCs w:val="28"/>
        </w:rPr>
        <w:t>通过危险度评价法分析结果可知，该公司甲类车间、甲类仓库的危险等级均为黄色，危险程度为中度危险。</w:t>
      </w:r>
    </w:p>
    <w:p>
      <w:pPr>
        <w:spacing w:line="560" w:lineRule="exact"/>
        <w:ind w:firstLine="340" w:firstLineChars="142"/>
        <w:rPr>
          <w:rFonts w:ascii="宋体" w:hAnsi="宋体" w:eastAsia="宋体"/>
          <w:color w:val="auto"/>
          <w:spacing w:val="20"/>
          <w:sz w:val="28"/>
          <w:szCs w:val="28"/>
          <w:lang w:eastAsia="zh-CN"/>
        </w:rPr>
      </w:pPr>
      <w:r>
        <w:rPr>
          <w:color w:val="auto"/>
        </w:rPr>
        <w:br w:type="page"/>
      </w:r>
    </w:p>
    <w:p>
      <w:pPr>
        <w:pStyle w:val="3"/>
        <w:spacing w:after="120"/>
        <w:rPr>
          <w:snapToGrid/>
          <w:color w:val="auto"/>
        </w:rPr>
      </w:pPr>
      <w:bookmarkStart w:id="219" w:name="_Toc40045947"/>
      <w:r>
        <w:rPr>
          <w:snapToGrid/>
          <w:color w:val="auto"/>
        </w:rPr>
        <w:t>附件3可能发生的危险化学品事故的后果预测</w:t>
      </w:r>
      <w:bookmarkEnd w:id="216"/>
      <w:bookmarkEnd w:id="217"/>
      <w:bookmarkEnd w:id="219"/>
    </w:p>
    <w:p>
      <w:pPr>
        <w:spacing w:line="560" w:lineRule="exact"/>
        <w:ind w:firstLine="454" w:firstLineChars="142"/>
        <w:rPr>
          <w:rFonts w:ascii="宋体" w:hAnsi="宋体" w:eastAsia="宋体"/>
          <w:color w:val="auto"/>
          <w:spacing w:val="20"/>
          <w:sz w:val="28"/>
          <w:szCs w:val="28"/>
          <w:lang w:eastAsia="zh-CN"/>
        </w:rPr>
      </w:pPr>
      <w:r>
        <w:rPr>
          <w:rFonts w:ascii="宋体" w:hAnsi="宋体" w:eastAsia="宋体"/>
          <w:color w:val="auto"/>
          <w:spacing w:val="20"/>
          <w:sz w:val="28"/>
          <w:szCs w:val="28"/>
          <w:lang w:eastAsia="zh-CN"/>
        </w:rPr>
        <w:t>针对该公司的可能发生的火灾、爆炸、中毒</w:t>
      </w:r>
      <w:r>
        <w:rPr>
          <w:rFonts w:hint="eastAsia" w:ascii="宋体" w:hAnsi="宋体" w:eastAsia="宋体"/>
          <w:color w:val="auto"/>
          <w:spacing w:val="20"/>
          <w:sz w:val="28"/>
          <w:szCs w:val="28"/>
          <w:lang w:eastAsia="zh-CN"/>
        </w:rPr>
        <w:t>和</w:t>
      </w:r>
      <w:r>
        <w:rPr>
          <w:rFonts w:ascii="宋体" w:hAnsi="宋体" w:eastAsia="宋体"/>
          <w:color w:val="auto"/>
          <w:spacing w:val="20"/>
          <w:sz w:val="28"/>
          <w:szCs w:val="28"/>
          <w:lang w:eastAsia="zh-CN"/>
        </w:rPr>
        <w:t>窒息等危险化学品事故。依据预先危险性分析(PHA)法对该公司的工艺及设施进行分析，分析该公司在运行过程中可能出现的危险化学品事故、危险等级及后果，并针对可能出现的危险化学品事故，制定了相应的安全对策措施。评价范围内可能发生的危险化学品事故后果预测以及对策措施如下：</w:t>
      </w:r>
    </w:p>
    <w:p>
      <w:pPr>
        <w:spacing w:line="560" w:lineRule="exact"/>
        <w:jc w:val="center"/>
        <w:rPr>
          <w:rFonts w:ascii="宋体" w:hAnsi="宋体" w:eastAsia="宋体"/>
          <w:b/>
          <w:color w:val="auto"/>
          <w:spacing w:val="20"/>
          <w:lang w:eastAsia="zh-CN"/>
        </w:rPr>
      </w:pPr>
      <w:r>
        <w:rPr>
          <w:rFonts w:ascii="宋体" w:hAnsi="宋体" w:eastAsia="宋体"/>
          <w:b/>
          <w:color w:val="auto"/>
          <w:spacing w:val="20"/>
          <w:lang w:eastAsia="zh-CN"/>
        </w:rPr>
        <w:t>表附件3-1可能发生的危险化学品事故预测</w:t>
      </w:r>
    </w:p>
    <w:tbl>
      <w:tblPr>
        <w:tblStyle w:val="45"/>
        <w:tblW w:w="5000" w:type="pct"/>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1593"/>
        <w:gridCol w:w="7801"/>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1543"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可能出现的危险化学品事故</w:t>
            </w:r>
          </w:p>
        </w:tc>
        <w:tc>
          <w:tcPr>
            <w:tcW w:w="7554" w:type="dxa"/>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中毒、窒息</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1543"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危险因素</w:t>
            </w:r>
          </w:p>
        </w:tc>
        <w:tc>
          <w:tcPr>
            <w:tcW w:w="7554" w:type="dxa"/>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1、</w:t>
            </w:r>
            <w:r>
              <w:rPr>
                <w:rFonts w:hint="eastAsia" w:ascii="宋体" w:hAnsi="宋体" w:eastAsia="宋体"/>
                <w:color w:val="auto"/>
                <w:sz w:val="21"/>
                <w:szCs w:val="21"/>
                <w:lang w:eastAsia="zh-CN"/>
              </w:rPr>
              <w:t>二甲苯异构体混合物、乙酸正丁酯、环己酮</w:t>
            </w:r>
            <w:r>
              <w:rPr>
                <w:rFonts w:hint="eastAsia" w:ascii="宋体" w:hAnsi="宋体" w:eastAsia="宋体"/>
                <w:color w:val="auto"/>
                <w:sz w:val="21"/>
                <w:szCs w:val="21"/>
              </w:rPr>
              <w:t>等泄漏或其它有害原辅料、成品泄漏；</w:t>
            </w:r>
          </w:p>
          <w:p>
            <w:pPr>
              <w:spacing w:line="360" w:lineRule="exact"/>
              <w:rPr>
                <w:rFonts w:ascii="宋体" w:hAnsi="宋体" w:eastAsia="宋体"/>
                <w:color w:val="auto"/>
                <w:sz w:val="21"/>
                <w:szCs w:val="21"/>
              </w:rPr>
            </w:pPr>
            <w:r>
              <w:rPr>
                <w:rFonts w:hint="eastAsia" w:ascii="宋体" w:hAnsi="宋体" w:eastAsia="宋体"/>
                <w:color w:val="auto"/>
                <w:sz w:val="21"/>
                <w:szCs w:val="21"/>
              </w:rPr>
              <w:t>2、设备、包装等破损以及检修、操作时工作人员直接接触到有毒、有害物料；</w:t>
            </w:r>
          </w:p>
          <w:p>
            <w:pPr>
              <w:spacing w:line="360" w:lineRule="exact"/>
              <w:rPr>
                <w:rFonts w:ascii="宋体" w:hAnsi="宋体" w:eastAsia="宋体"/>
                <w:color w:val="auto"/>
                <w:sz w:val="21"/>
                <w:szCs w:val="21"/>
              </w:rPr>
            </w:pPr>
            <w:r>
              <w:rPr>
                <w:rFonts w:hint="eastAsia" w:ascii="宋体" w:hAnsi="宋体" w:eastAsia="宋体"/>
                <w:color w:val="auto"/>
                <w:sz w:val="21"/>
                <w:szCs w:val="21"/>
              </w:rPr>
              <w:t>3、作业环境毒物浓度超标；</w:t>
            </w:r>
          </w:p>
          <w:p>
            <w:pPr>
              <w:spacing w:line="360" w:lineRule="exact"/>
              <w:rPr>
                <w:rFonts w:ascii="宋体" w:hAnsi="宋体" w:eastAsia="宋体"/>
                <w:color w:val="auto"/>
                <w:sz w:val="21"/>
                <w:szCs w:val="21"/>
              </w:rPr>
            </w:pPr>
            <w:r>
              <w:rPr>
                <w:rFonts w:hint="eastAsia" w:ascii="宋体" w:hAnsi="宋体" w:eastAsia="宋体"/>
                <w:color w:val="auto"/>
                <w:sz w:val="21"/>
                <w:szCs w:val="21"/>
              </w:rPr>
              <w:t>4、作业环境氧气含量不够。</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1543"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触发事件一</w:t>
            </w:r>
          </w:p>
        </w:tc>
        <w:tc>
          <w:tcPr>
            <w:tcW w:w="7554" w:type="dxa"/>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1、设备故障、管线阀门泄漏；</w:t>
            </w:r>
          </w:p>
          <w:p>
            <w:pPr>
              <w:spacing w:line="360" w:lineRule="exact"/>
              <w:rPr>
                <w:rFonts w:ascii="宋体" w:hAnsi="宋体" w:eastAsia="宋体"/>
                <w:color w:val="auto"/>
                <w:sz w:val="21"/>
                <w:szCs w:val="21"/>
              </w:rPr>
            </w:pPr>
            <w:r>
              <w:rPr>
                <w:rFonts w:hint="eastAsia" w:ascii="宋体" w:hAnsi="宋体" w:eastAsia="宋体"/>
                <w:color w:val="auto"/>
                <w:sz w:val="21"/>
                <w:szCs w:val="21"/>
              </w:rPr>
              <w:t>2、储存系统泄漏(包装物破损，储存桶泄漏)；</w:t>
            </w:r>
          </w:p>
          <w:p>
            <w:pPr>
              <w:spacing w:line="360" w:lineRule="exact"/>
              <w:rPr>
                <w:rFonts w:ascii="宋体" w:hAnsi="宋体" w:eastAsia="宋体"/>
                <w:color w:val="auto"/>
                <w:sz w:val="21"/>
                <w:szCs w:val="21"/>
              </w:rPr>
            </w:pPr>
            <w:r>
              <w:rPr>
                <w:rFonts w:hint="eastAsia" w:ascii="宋体" w:hAnsi="宋体" w:eastAsia="宋体"/>
                <w:color w:val="auto"/>
                <w:sz w:val="21"/>
                <w:szCs w:val="21"/>
              </w:rPr>
              <w:t>3、装卸、搬运作业中泄漏；</w:t>
            </w:r>
          </w:p>
          <w:p>
            <w:pPr>
              <w:spacing w:line="360" w:lineRule="exact"/>
              <w:rPr>
                <w:rFonts w:ascii="宋体" w:hAnsi="宋体" w:eastAsia="宋体"/>
                <w:color w:val="auto"/>
                <w:sz w:val="21"/>
                <w:szCs w:val="21"/>
              </w:rPr>
            </w:pPr>
            <w:r>
              <w:rPr>
                <w:rFonts w:hint="eastAsia" w:ascii="宋体" w:hAnsi="宋体" w:eastAsia="宋体"/>
                <w:color w:val="auto"/>
                <w:sz w:val="21"/>
                <w:szCs w:val="21"/>
              </w:rPr>
              <w:t>4、违章操作，误操作造成泄漏；</w:t>
            </w:r>
          </w:p>
          <w:p>
            <w:pPr>
              <w:spacing w:line="360" w:lineRule="exact"/>
              <w:rPr>
                <w:rFonts w:ascii="宋体" w:hAnsi="宋体" w:eastAsia="宋体"/>
                <w:color w:val="auto"/>
                <w:sz w:val="21"/>
                <w:szCs w:val="21"/>
              </w:rPr>
            </w:pPr>
            <w:r>
              <w:rPr>
                <w:rFonts w:hint="eastAsia" w:ascii="宋体" w:hAnsi="宋体" w:eastAsia="宋体"/>
                <w:color w:val="auto"/>
                <w:sz w:val="21"/>
                <w:szCs w:val="21"/>
              </w:rPr>
              <w:t>5、搅拌器检修时未清洗置换或清洗置换不彻底；</w:t>
            </w:r>
          </w:p>
          <w:p>
            <w:pPr>
              <w:spacing w:line="360" w:lineRule="exact"/>
              <w:rPr>
                <w:rFonts w:ascii="宋体" w:hAnsi="宋体" w:eastAsia="宋体"/>
                <w:color w:val="auto"/>
                <w:sz w:val="21"/>
                <w:szCs w:val="21"/>
              </w:rPr>
            </w:pPr>
            <w:r>
              <w:rPr>
                <w:rFonts w:hint="eastAsia" w:ascii="宋体" w:hAnsi="宋体" w:eastAsia="宋体"/>
                <w:color w:val="auto"/>
                <w:sz w:val="21"/>
                <w:szCs w:val="21"/>
              </w:rPr>
              <w:t>6、检修时，密闭、半密闭容器内作业，未加强通风和氧含量检测、缺氧作业；</w:t>
            </w:r>
          </w:p>
          <w:p>
            <w:pPr>
              <w:spacing w:line="360" w:lineRule="exact"/>
              <w:rPr>
                <w:rFonts w:ascii="宋体" w:hAnsi="宋体" w:eastAsia="宋体"/>
                <w:color w:val="auto"/>
                <w:sz w:val="21"/>
                <w:szCs w:val="21"/>
              </w:rPr>
            </w:pPr>
            <w:r>
              <w:rPr>
                <w:rFonts w:hint="eastAsia" w:ascii="宋体" w:hAnsi="宋体" w:eastAsia="宋体"/>
                <w:color w:val="auto"/>
                <w:sz w:val="21"/>
                <w:szCs w:val="21"/>
              </w:rPr>
              <w:t>7、储存环境恶劣，原料在阳光下暴晒、处于高温环境中等造成包装桶爆裂。</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1543"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发生条件</w:t>
            </w:r>
          </w:p>
        </w:tc>
        <w:tc>
          <w:tcPr>
            <w:tcW w:w="7554" w:type="dxa"/>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吸入、食入、皮肤接触有毒、有害物料。</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1543"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触发事件二</w:t>
            </w:r>
          </w:p>
        </w:tc>
        <w:tc>
          <w:tcPr>
            <w:tcW w:w="7554" w:type="dxa"/>
            <w:vAlign w:val="center"/>
          </w:tcPr>
          <w:p>
            <w:pPr>
              <w:pStyle w:val="115"/>
              <w:spacing w:line="360" w:lineRule="exact"/>
              <w:jc w:val="both"/>
              <w:rPr>
                <w:color w:val="auto"/>
                <w:sz w:val="21"/>
                <w:szCs w:val="21"/>
              </w:rPr>
            </w:pPr>
            <w:r>
              <w:rPr>
                <w:rFonts w:hint="eastAsia"/>
                <w:color w:val="auto"/>
                <w:sz w:val="21"/>
                <w:szCs w:val="21"/>
              </w:rPr>
              <w:t>1、未戴防毒面具</w:t>
            </w:r>
          </w:p>
          <w:p>
            <w:pPr>
              <w:pStyle w:val="115"/>
              <w:spacing w:line="360" w:lineRule="exact"/>
              <w:jc w:val="both"/>
              <w:rPr>
                <w:color w:val="auto"/>
                <w:sz w:val="21"/>
                <w:szCs w:val="21"/>
              </w:rPr>
            </w:pPr>
            <w:r>
              <w:rPr>
                <w:rFonts w:hint="eastAsia"/>
                <w:color w:val="auto"/>
                <w:sz w:val="21"/>
                <w:szCs w:val="21"/>
              </w:rPr>
              <w:t>(1)无防毒面具；(2)取用不方便；(3)因故未戴，怕麻烦，缺乏防范知识和意识。</w:t>
            </w:r>
          </w:p>
          <w:p>
            <w:pPr>
              <w:pStyle w:val="115"/>
              <w:spacing w:line="360" w:lineRule="exact"/>
              <w:jc w:val="both"/>
              <w:rPr>
                <w:color w:val="auto"/>
                <w:sz w:val="21"/>
                <w:szCs w:val="21"/>
              </w:rPr>
            </w:pPr>
            <w:r>
              <w:rPr>
                <w:rFonts w:hint="eastAsia"/>
                <w:color w:val="auto"/>
                <w:sz w:val="21"/>
                <w:szCs w:val="21"/>
              </w:rPr>
              <w:t>2、防毒面具失效</w:t>
            </w:r>
          </w:p>
          <w:p>
            <w:pPr>
              <w:pStyle w:val="115"/>
              <w:spacing w:line="360" w:lineRule="exact"/>
              <w:jc w:val="both"/>
              <w:rPr>
                <w:color w:val="auto"/>
                <w:sz w:val="21"/>
                <w:szCs w:val="21"/>
              </w:rPr>
            </w:pPr>
            <w:r>
              <w:rPr>
                <w:rFonts w:hint="eastAsia"/>
                <w:color w:val="auto"/>
                <w:sz w:val="21"/>
                <w:szCs w:val="21"/>
              </w:rPr>
              <w:t>(1)面具破损、失效；(2)面具选型不对；(3)使用不当。</w:t>
            </w:r>
          </w:p>
          <w:p>
            <w:pPr>
              <w:pStyle w:val="115"/>
              <w:spacing w:line="360" w:lineRule="exact"/>
              <w:jc w:val="both"/>
              <w:rPr>
                <w:color w:val="auto"/>
                <w:sz w:val="21"/>
                <w:szCs w:val="21"/>
              </w:rPr>
            </w:pPr>
            <w:r>
              <w:rPr>
                <w:rFonts w:hint="eastAsia"/>
                <w:color w:val="auto"/>
                <w:sz w:val="21"/>
                <w:szCs w:val="21"/>
              </w:rPr>
              <w:t>3、有毒作业场所未采取通风措施或通风装置损坏；</w:t>
            </w:r>
          </w:p>
          <w:p>
            <w:pPr>
              <w:pStyle w:val="115"/>
              <w:spacing w:line="360" w:lineRule="exact"/>
              <w:jc w:val="both"/>
              <w:rPr>
                <w:color w:val="auto"/>
                <w:sz w:val="21"/>
                <w:szCs w:val="21"/>
              </w:rPr>
            </w:pPr>
            <w:r>
              <w:rPr>
                <w:rFonts w:hint="eastAsia"/>
                <w:color w:val="auto"/>
                <w:sz w:val="21"/>
                <w:szCs w:val="21"/>
              </w:rPr>
              <w:t>4、废气收集处理装置未开启或者装置损坏。</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1543"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事故后果</w:t>
            </w:r>
          </w:p>
        </w:tc>
        <w:tc>
          <w:tcPr>
            <w:tcW w:w="7554" w:type="dxa"/>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物料损失，导致人员中毒(窒息)</w:t>
            </w:r>
          </w:p>
          <w:p>
            <w:pPr>
              <w:spacing w:line="360" w:lineRule="exact"/>
              <w:rPr>
                <w:rFonts w:ascii="宋体" w:hAnsi="宋体" w:eastAsia="宋体"/>
                <w:color w:val="auto"/>
                <w:sz w:val="21"/>
                <w:szCs w:val="21"/>
              </w:rPr>
            </w:pPr>
            <w:r>
              <w:rPr>
                <w:rFonts w:hint="eastAsia" w:ascii="宋体" w:hAnsi="宋体" w:eastAsia="宋体"/>
                <w:color w:val="auto"/>
                <w:sz w:val="21"/>
                <w:szCs w:val="21"/>
              </w:rPr>
              <w:t>一般后果：个体中毒，无伤亡。</w:t>
            </w:r>
          </w:p>
          <w:p>
            <w:pPr>
              <w:spacing w:line="360" w:lineRule="exact"/>
              <w:rPr>
                <w:rFonts w:ascii="宋体" w:hAnsi="宋体" w:eastAsia="宋体"/>
                <w:color w:val="auto"/>
                <w:sz w:val="21"/>
                <w:szCs w:val="21"/>
              </w:rPr>
            </w:pPr>
            <w:r>
              <w:rPr>
                <w:rFonts w:hint="eastAsia" w:ascii="宋体" w:hAnsi="宋体" w:eastAsia="宋体"/>
                <w:color w:val="auto"/>
                <w:sz w:val="21"/>
                <w:szCs w:val="21"/>
              </w:rPr>
              <w:t>严重后果：群体中毒，造成人员伤亡。</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1543"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危险危害等级</w:t>
            </w:r>
          </w:p>
        </w:tc>
        <w:tc>
          <w:tcPr>
            <w:tcW w:w="7554" w:type="dxa"/>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临界的</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1543"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安全对策措施</w:t>
            </w:r>
          </w:p>
        </w:tc>
        <w:tc>
          <w:tcPr>
            <w:tcW w:w="7554" w:type="dxa"/>
            <w:vAlign w:val="center"/>
          </w:tcPr>
          <w:p>
            <w:pPr>
              <w:spacing w:line="360" w:lineRule="exact"/>
              <w:rPr>
                <w:rFonts w:ascii="宋体" w:hAnsi="宋体" w:eastAsia="宋体"/>
                <w:color w:val="auto"/>
                <w:spacing w:val="-6"/>
                <w:sz w:val="21"/>
                <w:szCs w:val="21"/>
              </w:rPr>
            </w:pPr>
            <w:r>
              <w:rPr>
                <w:rFonts w:hint="eastAsia" w:ascii="宋体" w:hAnsi="宋体" w:eastAsia="宋体"/>
                <w:color w:val="auto"/>
                <w:spacing w:val="-6"/>
                <w:sz w:val="21"/>
                <w:szCs w:val="21"/>
              </w:rPr>
              <w:t>1、认真做好设备、管线的维护保养工作，消除泄漏可能性；</w:t>
            </w:r>
          </w:p>
          <w:p>
            <w:pPr>
              <w:spacing w:line="360" w:lineRule="exact"/>
              <w:rPr>
                <w:rFonts w:ascii="宋体" w:hAnsi="宋体" w:eastAsia="宋体"/>
                <w:color w:val="auto"/>
                <w:spacing w:val="-6"/>
                <w:sz w:val="21"/>
                <w:szCs w:val="21"/>
              </w:rPr>
            </w:pPr>
            <w:r>
              <w:rPr>
                <w:rFonts w:hint="eastAsia" w:ascii="宋体" w:hAnsi="宋体" w:eastAsia="宋体"/>
                <w:color w:val="auto"/>
                <w:spacing w:val="-6"/>
                <w:sz w:val="21"/>
                <w:szCs w:val="21"/>
              </w:rPr>
              <w:t>2.采用符合要求的包装，以免因包装不合格而造成的泄漏；</w:t>
            </w:r>
          </w:p>
          <w:p>
            <w:pPr>
              <w:spacing w:line="360" w:lineRule="exact"/>
              <w:rPr>
                <w:rFonts w:ascii="宋体" w:hAnsi="宋体" w:eastAsia="宋体"/>
                <w:color w:val="auto"/>
                <w:spacing w:val="-6"/>
                <w:sz w:val="21"/>
                <w:szCs w:val="21"/>
              </w:rPr>
            </w:pPr>
            <w:r>
              <w:rPr>
                <w:rFonts w:hint="eastAsia" w:ascii="宋体" w:hAnsi="宋体" w:eastAsia="宋体"/>
                <w:color w:val="auto"/>
                <w:spacing w:val="-6"/>
                <w:sz w:val="21"/>
                <w:szCs w:val="21"/>
              </w:rPr>
              <w:t>3、防止人为损坏设备、管线等现象发生；</w:t>
            </w:r>
          </w:p>
          <w:p>
            <w:pPr>
              <w:spacing w:line="360" w:lineRule="exact"/>
              <w:rPr>
                <w:rFonts w:ascii="宋体" w:hAnsi="宋体" w:eastAsia="宋体"/>
                <w:color w:val="auto"/>
                <w:spacing w:val="-6"/>
                <w:sz w:val="21"/>
                <w:szCs w:val="21"/>
              </w:rPr>
            </w:pPr>
            <w:r>
              <w:rPr>
                <w:rFonts w:hint="eastAsia" w:ascii="宋体" w:hAnsi="宋体" w:eastAsia="宋体"/>
                <w:color w:val="auto"/>
                <w:spacing w:val="-6"/>
                <w:sz w:val="21"/>
                <w:szCs w:val="21"/>
              </w:rPr>
              <w:t>4、制定可行的化学事故应急救援预案，并组织员工演练；</w:t>
            </w:r>
          </w:p>
          <w:p>
            <w:pPr>
              <w:spacing w:line="360" w:lineRule="exact"/>
              <w:rPr>
                <w:rFonts w:ascii="宋体" w:hAnsi="宋体" w:eastAsia="宋体"/>
                <w:color w:val="auto"/>
                <w:spacing w:val="-6"/>
                <w:sz w:val="21"/>
                <w:szCs w:val="21"/>
              </w:rPr>
            </w:pPr>
            <w:r>
              <w:rPr>
                <w:rFonts w:hint="eastAsia" w:ascii="宋体" w:hAnsi="宋体" w:eastAsia="宋体"/>
                <w:color w:val="auto"/>
                <w:spacing w:val="-6"/>
                <w:sz w:val="21"/>
                <w:szCs w:val="21"/>
              </w:rPr>
              <w:t>5、发放、正确佩戴劳动保护用品及防毒防护用品，操作室等场所应通风良好；</w:t>
            </w:r>
          </w:p>
          <w:p>
            <w:pPr>
              <w:spacing w:line="360" w:lineRule="exact"/>
              <w:rPr>
                <w:rFonts w:ascii="宋体" w:hAnsi="宋体" w:eastAsia="宋体"/>
                <w:color w:val="auto"/>
                <w:spacing w:val="-6"/>
                <w:sz w:val="21"/>
                <w:szCs w:val="21"/>
              </w:rPr>
            </w:pPr>
            <w:r>
              <w:rPr>
                <w:rFonts w:hint="eastAsia" w:ascii="宋体" w:hAnsi="宋体" w:eastAsia="宋体"/>
                <w:color w:val="auto"/>
                <w:spacing w:val="-6"/>
                <w:sz w:val="21"/>
                <w:szCs w:val="21"/>
              </w:rPr>
              <w:t>6、保证危险化学品的生产、使用储存达到安全卫生的要求。</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1543"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可能出现的危险化学品事故</w:t>
            </w:r>
          </w:p>
        </w:tc>
        <w:tc>
          <w:tcPr>
            <w:tcW w:w="7554" w:type="dxa"/>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火灾爆炸</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1543"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危险因素</w:t>
            </w:r>
          </w:p>
        </w:tc>
        <w:tc>
          <w:tcPr>
            <w:tcW w:w="7554" w:type="dxa"/>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lang w:eastAsia="zh-CN"/>
              </w:rPr>
              <w:t>二甲苯异构体混合物、乙酸正丁酯</w:t>
            </w:r>
            <w:r>
              <w:rPr>
                <w:rFonts w:hint="eastAsia" w:ascii="宋体" w:hAnsi="宋体" w:eastAsia="宋体"/>
                <w:color w:val="auto"/>
                <w:sz w:val="21"/>
                <w:szCs w:val="21"/>
              </w:rPr>
              <w:t>、乙酸乙酯等溶剂及其它易燃物品泄漏</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1543"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触发事件一</w:t>
            </w:r>
          </w:p>
        </w:tc>
        <w:tc>
          <w:tcPr>
            <w:tcW w:w="7554" w:type="dxa"/>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可燃物质泄漏原因同</w:t>
            </w:r>
            <w:r>
              <w:rPr>
                <w:rFonts w:hint="eastAsia" w:ascii="宋体" w:hAnsi="宋体" w:eastAsia="宋体"/>
                <w:color w:val="auto"/>
                <w:sz w:val="21"/>
                <w:szCs w:val="21"/>
                <w:lang w:eastAsia="zh-CN"/>
              </w:rPr>
              <w:t>中毒和</w:t>
            </w:r>
            <w:r>
              <w:rPr>
                <w:rFonts w:hint="eastAsia" w:ascii="宋体" w:hAnsi="宋体" w:eastAsia="宋体"/>
                <w:color w:val="auto"/>
                <w:sz w:val="21"/>
                <w:szCs w:val="21"/>
              </w:rPr>
              <w:t>窒息的原因相同</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1543"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发生条件</w:t>
            </w:r>
          </w:p>
        </w:tc>
        <w:tc>
          <w:tcPr>
            <w:tcW w:w="7554" w:type="dxa"/>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1、易燃物质蒸气浓度达爆炸极限；</w:t>
            </w:r>
          </w:p>
          <w:p>
            <w:pPr>
              <w:spacing w:line="360" w:lineRule="exact"/>
              <w:rPr>
                <w:rFonts w:ascii="宋体" w:hAnsi="宋体" w:eastAsia="宋体"/>
                <w:color w:val="auto"/>
                <w:sz w:val="21"/>
                <w:szCs w:val="21"/>
              </w:rPr>
            </w:pPr>
            <w:r>
              <w:rPr>
                <w:rFonts w:hint="eastAsia" w:ascii="宋体" w:hAnsi="宋体" w:eastAsia="宋体"/>
                <w:color w:val="auto"/>
                <w:sz w:val="21"/>
                <w:szCs w:val="21"/>
              </w:rPr>
              <w:t>2、可燃、易燃物质遇明火；</w:t>
            </w:r>
          </w:p>
          <w:p>
            <w:pPr>
              <w:spacing w:line="360" w:lineRule="exact"/>
              <w:rPr>
                <w:rFonts w:ascii="宋体" w:hAnsi="宋体" w:eastAsia="宋体"/>
                <w:color w:val="auto"/>
                <w:sz w:val="21"/>
                <w:szCs w:val="21"/>
              </w:rPr>
            </w:pPr>
            <w:r>
              <w:rPr>
                <w:rFonts w:hint="eastAsia" w:ascii="宋体" w:hAnsi="宋体" w:eastAsia="宋体"/>
                <w:color w:val="auto"/>
                <w:sz w:val="21"/>
                <w:szCs w:val="21"/>
              </w:rPr>
              <w:t>3、存在点火源、静电火花、高温物体等引爆能量。</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1543"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触发事件二</w:t>
            </w:r>
          </w:p>
        </w:tc>
        <w:tc>
          <w:tcPr>
            <w:tcW w:w="7554" w:type="dxa"/>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1、明火</w:t>
            </w:r>
          </w:p>
          <w:p>
            <w:pPr>
              <w:spacing w:line="360" w:lineRule="exact"/>
              <w:rPr>
                <w:rFonts w:ascii="宋体" w:hAnsi="宋体" w:eastAsia="宋体"/>
                <w:color w:val="auto"/>
                <w:sz w:val="21"/>
                <w:szCs w:val="21"/>
              </w:rPr>
            </w:pPr>
            <w:r>
              <w:rPr>
                <w:rFonts w:hint="eastAsia" w:ascii="宋体" w:hAnsi="宋体" w:eastAsia="宋体"/>
                <w:color w:val="auto"/>
                <w:sz w:val="21"/>
                <w:szCs w:val="21"/>
              </w:rPr>
              <w:t>(1)点火吸烟；(2)抢修、检修、违章动火；(3)外来人员携带火种；(4)其它火源。</w:t>
            </w:r>
          </w:p>
          <w:p>
            <w:pPr>
              <w:spacing w:line="360" w:lineRule="exact"/>
              <w:rPr>
                <w:rFonts w:ascii="宋体" w:hAnsi="宋体" w:eastAsia="宋体"/>
                <w:color w:val="auto"/>
                <w:sz w:val="21"/>
                <w:szCs w:val="21"/>
              </w:rPr>
            </w:pPr>
            <w:r>
              <w:rPr>
                <w:rFonts w:hint="eastAsia" w:ascii="宋体" w:hAnsi="宋体" w:eastAsia="宋体"/>
                <w:color w:val="auto"/>
                <w:sz w:val="21"/>
                <w:szCs w:val="21"/>
              </w:rPr>
              <w:t>2、火花</w:t>
            </w:r>
          </w:p>
          <w:p>
            <w:pPr>
              <w:spacing w:line="360" w:lineRule="exact"/>
              <w:rPr>
                <w:rFonts w:ascii="宋体" w:hAnsi="宋体" w:eastAsia="宋体"/>
                <w:color w:val="auto"/>
                <w:sz w:val="21"/>
                <w:szCs w:val="21"/>
              </w:rPr>
            </w:pPr>
            <w:r>
              <w:rPr>
                <w:rFonts w:hint="eastAsia" w:ascii="宋体" w:hAnsi="宋体" w:eastAsia="宋体"/>
                <w:color w:val="auto"/>
                <w:sz w:val="21"/>
                <w:szCs w:val="21"/>
              </w:rPr>
              <w:t>(1)金属撞击(穿带钉皮鞋、工具设备碰撞等)；(2)电气火花；(3)手机、照相机、摄象机火花；(4)线路老化或损害产生短路火花，以及因超载、绝缘烧坏引起明火；(5)焊、割、打磨产生火花；(6)击打管道、设备产生撞击火花；(7)静电火花；(8)雷击(直击雷击，雷电一次作用，沿电气线路或金属管道侵入)；</w:t>
            </w:r>
          </w:p>
          <w:p>
            <w:pPr>
              <w:spacing w:line="360" w:lineRule="exact"/>
              <w:rPr>
                <w:rFonts w:ascii="宋体" w:hAnsi="宋体" w:eastAsia="宋体"/>
                <w:color w:val="auto"/>
                <w:sz w:val="21"/>
                <w:szCs w:val="21"/>
              </w:rPr>
            </w:pPr>
            <w:r>
              <w:rPr>
                <w:rFonts w:hint="eastAsia" w:ascii="宋体" w:hAnsi="宋体" w:eastAsia="宋体"/>
                <w:color w:val="auto"/>
                <w:sz w:val="21"/>
                <w:szCs w:val="21"/>
              </w:rPr>
              <w:t>3.高温表面</w:t>
            </w:r>
          </w:p>
          <w:p>
            <w:pPr>
              <w:spacing w:line="360" w:lineRule="exact"/>
              <w:rPr>
                <w:rFonts w:ascii="宋体" w:hAnsi="宋体" w:eastAsia="宋体"/>
                <w:color w:val="auto"/>
                <w:sz w:val="21"/>
                <w:szCs w:val="21"/>
              </w:rPr>
            </w:pPr>
            <w:r>
              <w:rPr>
                <w:rFonts w:hint="eastAsia" w:ascii="宋体" w:hAnsi="宋体" w:eastAsia="宋体"/>
                <w:color w:val="auto"/>
                <w:sz w:val="21"/>
                <w:szCs w:val="21"/>
              </w:rPr>
              <w:t>4.违规卸车</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1543"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事故后果</w:t>
            </w:r>
          </w:p>
        </w:tc>
        <w:tc>
          <w:tcPr>
            <w:tcW w:w="7554" w:type="dxa"/>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物料跑损、人员伤亡、停产、造成严重经济损失</w:t>
            </w:r>
          </w:p>
          <w:p>
            <w:pPr>
              <w:spacing w:line="360" w:lineRule="exact"/>
              <w:rPr>
                <w:rFonts w:ascii="宋体" w:hAnsi="宋体" w:eastAsia="宋体"/>
                <w:color w:val="auto"/>
                <w:sz w:val="21"/>
                <w:szCs w:val="21"/>
              </w:rPr>
            </w:pPr>
            <w:r>
              <w:rPr>
                <w:rFonts w:hint="eastAsia" w:ascii="宋体" w:hAnsi="宋体" w:eastAsia="宋体"/>
                <w:color w:val="auto"/>
                <w:sz w:val="21"/>
                <w:szCs w:val="21"/>
              </w:rPr>
              <w:t>一般后果：个体受轻伤，无死亡。</w:t>
            </w:r>
          </w:p>
          <w:p>
            <w:pPr>
              <w:spacing w:line="360" w:lineRule="exact"/>
              <w:rPr>
                <w:rFonts w:ascii="宋体" w:hAnsi="宋体" w:eastAsia="宋体"/>
                <w:color w:val="auto"/>
                <w:sz w:val="21"/>
                <w:szCs w:val="21"/>
              </w:rPr>
            </w:pPr>
            <w:r>
              <w:rPr>
                <w:rFonts w:hint="eastAsia" w:ascii="宋体" w:hAnsi="宋体" w:eastAsia="宋体"/>
                <w:color w:val="auto"/>
                <w:sz w:val="21"/>
                <w:szCs w:val="21"/>
              </w:rPr>
              <w:t>严重后果：个体或者群体重伤，造成人员伤亡。</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1543"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危险危害等级</w:t>
            </w:r>
          </w:p>
        </w:tc>
        <w:tc>
          <w:tcPr>
            <w:tcW w:w="7554" w:type="dxa"/>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危险的</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atLeast"/>
          <w:jc w:val="center"/>
        </w:trPr>
        <w:tc>
          <w:tcPr>
            <w:tcW w:w="1543" w:type="dxa"/>
            <w:vAlign w:val="center"/>
          </w:tcPr>
          <w:p>
            <w:pPr>
              <w:spacing w:line="360" w:lineRule="exact"/>
              <w:jc w:val="center"/>
              <w:rPr>
                <w:rFonts w:ascii="宋体" w:hAnsi="宋体" w:eastAsia="宋体"/>
                <w:color w:val="auto"/>
                <w:sz w:val="21"/>
                <w:szCs w:val="21"/>
              </w:rPr>
            </w:pPr>
            <w:r>
              <w:rPr>
                <w:rFonts w:hint="eastAsia" w:ascii="宋体" w:hAnsi="宋体" w:eastAsia="宋体"/>
                <w:color w:val="auto"/>
                <w:sz w:val="21"/>
                <w:szCs w:val="21"/>
              </w:rPr>
              <w:t>安全对策措施</w:t>
            </w:r>
          </w:p>
        </w:tc>
        <w:tc>
          <w:tcPr>
            <w:tcW w:w="7554" w:type="dxa"/>
            <w:vAlign w:val="center"/>
          </w:tcPr>
          <w:p>
            <w:pPr>
              <w:spacing w:line="360" w:lineRule="exact"/>
              <w:rPr>
                <w:rFonts w:ascii="宋体" w:hAnsi="宋体" w:eastAsia="宋体"/>
                <w:color w:val="auto"/>
                <w:sz w:val="21"/>
                <w:szCs w:val="21"/>
              </w:rPr>
            </w:pPr>
            <w:r>
              <w:rPr>
                <w:rFonts w:hint="eastAsia" w:ascii="宋体" w:hAnsi="宋体" w:eastAsia="宋体"/>
                <w:color w:val="auto"/>
                <w:sz w:val="21"/>
                <w:szCs w:val="21"/>
              </w:rPr>
              <w:t>1、控制与清除火源</w:t>
            </w:r>
          </w:p>
          <w:p>
            <w:pPr>
              <w:spacing w:line="360" w:lineRule="exact"/>
              <w:rPr>
                <w:rFonts w:ascii="宋体" w:hAnsi="宋体" w:eastAsia="宋体"/>
                <w:color w:val="auto"/>
                <w:sz w:val="21"/>
                <w:szCs w:val="21"/>
              </w:rPr>
            </w:pPr>
            <w:r>
              <w:rPr>
                <w:rFonts w:hint="eastAsia" w:ascii="宋体" w:hAnsi="宋体" w:eastAsia="宋体"/>
                <w:color w:val="auto"/>
                <w:sz w:val="21"/>
                <w:szCs w:val="21"/>
              </w:rPr>
              <w:t>(1)严禁吸烟、携带火种、穿带钉皮鞋进入；(2)动火必须严格按照动火程序办理动火证，并采取有效防范措施；(3)按规范安装避雷装置，定期检测；(4)按规范采取防静电措施；(5)进出车辆要戴好阻火器，正确行驶，避免故障和车祸；</w:t>
            </w:r>
          </w:p>
          <w:p>
            <w:pPr>
              <w:spacing w:line="360" w:lineRule="exact"/>
              <w:rPr>
                <w:rFonts w:ascii="宋体" w:hAnsi="宋体" w:eastAsia="宋体"/>
                <w:color w:val="auto"/>
                <w:sz w:val="21"/>
                <w:szCs w:val="21"/>
              </w:rPr>
            </w:pPr>
            <w:r>
              <w:rPr>
                <w:rFonts w:hint="eastAsia" w:ascii="宋体" w:hAnsi="宋体" w:eastAsia="宋体"/>
                <w:color w:val="auto"/>
                <w:sz w:val="21"/>
                <w:szCs w:val="21"/>
              </w:rPr>
              <w:t>2、严格控制设备质量</w:t>
            </w:r>
          </w:p>
          <w:p>
            <w:pPr>
              <w:spacing w:line="360" w:lineRule="exact"/>
              <w:rPr>
                <w:rFonts w:ascii="宋体" w:hAnsi="宋体" w:eastAsia="宋体"/>
                <w:color w:val="auto"/>
                <w:sz w:val="21"/>
                <w:szCs w:val="21"/>
              </w:rPr>
            </w:pPr>
            <w:r>
              <w:rPr>
                <w:rFonts w:hint="eastAsia" w:ascii="宋体" w:hAnsi="宋体" w:eastAsia="宋体"/>
                <w:color w:val="auto"/>
                <w:sz w:val="21"/>
                <w:szCs w:val="21"/>
              </w:rPr>
              <w:t>(1)对设备要不定期检查、保养、维修，保持完好状态，防止易燃物料的跑、冒、滴、漏；(2)按规范安装电气线路并要不定期检查、保养、维修，保持完好状态；</w:t>
            </w:r>
          </w:p>
          <w:p>
            <w:pPr>
              <w:spacing w:line="360" w:lineRule="exact"/>
              <w:rPr>
                <w:rFonts w:ascii="宋体" w:hAnsi="宋体" w:eastAsia="宋体"/>
                <w:color w:val="auto"/>
                <w:sz w:val="21"/>
                <w:szCs w:val="21"/>
              </w:rPr>
            </w:pPr>
            <w:r>
              <w:rPr>
                <w:rFonts w:hint="eastAsia" w:ascii="宋体" w:hAnsi="宋体" w:eastAsia="宋体"/>
                <w:color w:val="auto"/>
                <w:sz w:val="21"/>
                <w:szCs w:val="21"/>
              </w:rPr>
              <w:t>3、加强管理、严格工艺纪律</w:t>
            </w:r>
          </w:p>
          <w:p>
            <w:pPr>
              <w:spacing w:line="360" w:lineRule="exact"/>
              <w:rPr>
                <w:rFonts w:ascii="宋体" w:hAnsi="宋体" w:eastAsia="宋体"/>
                <w:color w:val="auto"/>
                <w:sz w:val="21"/>
                <w:szCs w:val="21"/>
              </w:rPr>
            </w:pPr>
            <w:r>
              <w:rPr>
                <w:rFonts w:hint="eastAsia" w:ascii="宋体" w:hAnsi="宋体" w:eastAsia="宋体"/>
                <w:color w:val="auto"/>
                <w:sz w:val="21"/>
                <w:szCs w:val="21"/>
              </w:rPr>
              <w:t>(1)杜绝“三违”，严守工艺纪律；(2)遵守安全操作规程；(3)加强教育、培训、考核工作；</w:t>
            </w:r>
          </w:p>
          <w:p>
            <w:pPr>
              <w:spacing w:line="360" w:lineRule="exact"/>
              <w:rPr>
                <w:rFonts w:ascii="宋体" w:hAnsi="宋体" w:eastAsia="宋体"/>
                <w:color w:val="auto"/>
                <w:sz w:val="21"/>
                <w:szCs w:val="21"/>
              </w:rPr>
            </w:pPr>
            <w:r>
              <w:rPr>
                <w:rFonts w:hint="eastAsia" w:ascii="宋体" w:hAnsi="宋体" w:eastAsia="宋体"/>
                <w:color w:val="auto"/>
                <w:sz w:val="21"/>
                <w:szCs w:val="21"/>
              </w:rPr>
              <w:t>4、安全设施要齐全完好</w:t>
            </w:r>
          </w:p>
          <w:p>
            <w:pPr>
              <w:spacing w:line="360" w:lineRule="exact"/>
              <w:rPr>
                <w:rFonts w:ascii="宋体" w:hAnsi="宋体" w:eastAsia="宋体"/>
                <w:color w:val="auto"/>
                <w:sz w:val="21"/>
                <w:szCs w:val="21"/>
              </w:rPr>
            </w:pPr>
            <w:r>
              <w:rPr>
                <w:rFonts w:hint="eastAsia" w:ascii="宋体" w:hAnsi="宋体" w:eastAsia="宋体"/>
                <w:color w:val="auto"/>
                <w:sz w:val="21"/>
                <w:szCs w:val="21"/>
              </w:rPr>
              <w:t>安全设施(如消防设施、防静电设施等)齐全并保持完好。</w:t>
            </w:r>
          </w:p>
        </w:tc>
      </w:tr>
    </w:tbl>
    <w:p>
      <w:pPr>
        <w:spacing w:line="560" w:lineRule="exact"/>
        <w:ind w:firstLine="454" w:firstLineChars="142"/>
        <w:rPr>
          <w:rFonts w:ascii="宋体" w:hAnsi="宋体" w:eastAsia="宋体"/>
          <w:color w:val="auto"/>
          <w:spacing w:val="20"/>
          <w:sz w:val="28"/>
          <w:szCs w:val="28"/>
          <w:lang w:eastAsia="zh-CN"/>
        </w:rPr>
      </w:pPr>
    </w:p>
    <w:p>
      <w:pPr>
        <w:pStyle w:val="3"/>
        <w:spacing w:after="120"/>
        <w:rPr>
          <w:snapToGrid/>
          <w:color w:val="auto"/>
        </w:rPr>
      </w:pPr>
      <w:bookmarkStart w:id="220" w:name="bookmark158"/>
      <w:bookmarkStart w:id="221" w:name="bookmark157"/>
      <w:bookmarkStart w:id="222" w:name="bookmark155"/>
      <w:bookmarkStart w:id="223" w:name="bookmark156"/>
      <w:r>
        <w:rPr>
          <w:snapToGrid/>
          <w:color w:val="auto"/>
        </w:rPr>
        <w:br w:type="page"/>
      </w:r>
    </w:p>
    <w:p>
      <w:pPr>
        <w:pStyle w:val="3"/>
        <w:spacing w:after="120"/>
        <w:rPr>
          <w:snapToGrid/>
          <w:color w:val="auto"/>
        </w:rPr>
      </w:pPr>
      <w:bookmarkStart w:id="224" w:name="_Toc40045948"/>
      <w:r>
        <w:rPr>
          <w:snapToGrid/>
          <w:color w:val="auto"/>
        </w:rPr>
        <w:t>附件4企业平面布置及四至图、工艺流程图、防爆区域划分图</w:t>
      </w:r>
      <w:bookmarkEnd w:id="220"/>
      <w:bookmarkEnd w:id="221"/>
      <w:bookmarkEnd w:id="222"/>
      <w:bookmarkEnd w:id="223"/>
      <w:bookmarkEnd w:id="224"/>
    </w:p>
    <w:p>
      <w:pPr>
        <w:spacing w:line="560" w:lineRule="exact"/>
        <w:ind w:firstLine="454" w:firstLineChars="142"/>
        <w:rPr>
          <w:rFonts w:ascii="宋体" w:hAnsi="宋体" w:eastAsia="宋体"/>
          <w:color w:val="auto"/>
          <w:spacing w:val="20"/>
          <w:sz w:val="28"/>
          <w:szCs w:val="28"/>
          <w:lang w:eastAsia="zh-CN"/>
        </w:rPr>
      </w:pPr>
      <w:bookmarkStart w:id="225" w:name="bookmark159"/>
    </w:p>
    <w:p>
      <w:pPr>
        <w:spacing w:line="560" w:lineRule="exact"/>
        <w:jc w:val="both"/>
        <w:outlineLvl w:val="1"/>
        <w:rPr>
          <w:rFonts w:ascii="楷体_GB2312" w:hAnsi="Times New Roman" w:eastAsia="楷体_GB2312" w:cs="Times New Roman"/>
          <w:bCs/>
          <w:color w:val="auto"/>
          <w:kern w:val="2"/>
          <w:sz w:val="32"/>
          <w:lang w:val="en-US" w:eastAsia="zh-CN" w:bidi="ar-SA"/>
        </w:rPr>
      </w:pPr>
      <w:bookmarkStart w:id="226" w:name="_Toc40045949"/>
      <w:r>
        <w:rPr>
          <w:rFonts w:ascii="楷体_GB2312" w:hAnsi="Times New Roman" w:eastAsia="楷体_GB2312" w:cs="Times New Roman"/>
          <w:bCs/>
          <w:color w:val="auto"/>
          <w:kern w:val="2"/>
          <w:sz w:val="32"/>
          <w:lang w:val="en-US" w:eastAsia="zh-CN" w:bidi="ar-SA"/>
        </w:rPr>
        <w:t>4.1被评价单位平面布置图及四至图、防爆区域划分图</w:t>
      </w:r>
      <w:bookmarkEnd w:id="225"/>
      <w:bookmarkEnd w:id="226"/>
    </w:p>
    <w:p>
      <w:pPr>
        <w:spacing w:line="560" w:lineRule="exact"/>
        <w:ind w:firstLine="454" w:firstLineChars="142"/>
        <w:rPr>
          <w:rFonts w:ascii="宋体" w:hAnsi="宋体" w:eastAsia="宋体"/>
          <w:color w:val="auto"/>
          <w:spacing w:val="20"/>
          <w:sz w:val="28"/>
          <w:szCs w:val="28"/>
          <w:lang w:eastAsia="zh-CN"/>
        </w:rPr>
      </w:pPr>
      <w:r>
        <w:rPr>
          <w:rFonts w:hint="eastAsia" w:ascii="宋体" w:hAnsi="宋体" w:eastAsia="宋体"/>
          <w:color w:val="auto"/>
          <w:spacing w:val="20"/>
          <w:sz w:val="28"/>
          <w:szCs w:val="28"/>
          <w:lang w:eastAsia="zh-CN"/>
        </w:rPr>
        <w:t>东莞市华龙实业有限公司平面布置图及四至图(见附件)</w:t>
      </w:r>
    </w:p>
    <w:p>
      <w:pPr>
        <w:spacing w:line="560" w:lineRule="exact"/>
        <w:ind w:firstLine="454" w:firstLineChars="142"/>
        <w:rPr>
          <w:rFonts w:ascii="宋体" w:hAnsi="宋体" w:eastAsia="宋体"/>
          <w:color w:val="auto"/>
          <w:spacing w:val="20"/>
          <w:sz w:val="28"/>
          <w:szCs w:val="28"/>
          <w:lang w:eastAsia="zh-CN"/>
        </w:rPr>
      </w:pPr>
      <w:r>
        <w:rPr>
          <w:rFonts w:hint="eastAsia" w:ascii="宋体" w:hAnsi="宋体" w:eastAsia="宋体"/>
          <w:color w:val="auto"/>
          <w:spacing w:val="20"/>
          <w:sz w:val="28"/>
          <w:szCs w:val="28"/>
          <w:lang w:eastAsia="zh-CN"/>
        </w:rPr>
        <w:t>东莞市华龙实业有限公司防爆区域划分图(见附件)</w:t>
      </w:r>
    </w:p>
    <w:p>
      <w:pPr>
        <w:spacing w:line="560" w:lineRule="exact"/>
        <w:ind w:firstLine="454" w:firstLineChars="142"/>
        <w:rPr>
          <w:rFonts w:ascii="宋体" w:hAnsi="宋体" w:eastAsia="宋体"/>
          <w:color w:val="auto"/>
          <w:spacing w:val="20"/>
          <w:sz w:val="28"/>
          <w:szCs w:val="28"/>
          <w:lang w:eastAsia="zh-CN"/>
        </w:rPr>
      </w:pPr>
    </w:p>
    <w:p>
      <w:pPr>
        <w:spacing w:line="560" w:lineRule="exact"/>
        <w:jc w:val="both"/>
        <w:outlineLvl w:val="1"/>
        <w:rPr>
          <w:rFonts w:ascii="楷体_GB2312" w:hAnsi="Times New Roman" w:eastAsia="楷体_GB2312" w:cs="Times New Roman"/>
          <w:bCs/>
          <w:color w:val="auto"/>
          <w:kern w:val="2"/>
          <w:sz w:val="32"/>
          <w:lang w:val="en-US" w:eastAsia="zh-CN" w:bidi="ar-SA"/>
        </w:rPr>
      </w:pPr>
      <w:bookmarkStart w:id="227" w:name="bookmark160"/>
      <w:bookmarkStart w:id="228" w:name="_Toc40045950"/>
      <w:r>
        <w:rPr>
          <w:rFonts w:ascii="楷体_GB2312" w:hAnsi="Times New Roman" w:eastAsia="楷体_GB2312" w:cs="Times New Roman"/>
          <w:bCs/>
          <w:color w:val="auto"/>
          <w:kern w:val="2"/>
          <w:sz w:val="32"/>
          <w:lang w:val="en-US" w:eastAsia="zh-CN" w:bidi="ar-SA"/>
        </w:rPr>
        <w:t>4.2工艺流程图</w:t>
      </w:r>
      <w:bookmarkEnd w:id="227"/>
      <w:bookmarkEnd w:id="228"/>
    </w:p>
    <w:p>
      <w:pPr>
        <w:spacing w:line="560" w:lineRule="exact"/>
        <w:ind w:firstLine="425" w:firstLineChars="152"/>
        <w:rPr>
          <w:rFonts w:ascii="宋体" w:hAnsi="宋体" w:eastAsia="宋体"/>
          <w:color w:val="auto"/>
          <w:sz w:val="28"/>
          <w:szCs w:val="28"/>
        </w:rPr>
      </w:pPr>
      <w:bookmarkStart w:id="229" w:name="_Toc322003950"/>
      <w:bookmarkStart w:id="230" w:name="_Toc440359257"/>
      <w:r>
        <w:rPr>
          <w:rFonts w:hint="eastAsia" w:ascii="宋体" w:hAnsi="宋体" w:eastAsia="宋体"/>
          <w:color w:val="auto"/>
          <w:sz w:val="28"/>
          <w:szCs w:val="28"/>
        </w:rPr>
        <w:t>1</w:t>
      </w:r>
      <w:r>
        <w:rPr>
          <w:rFonts w:ascii="宋体" w:hAnsi="宋体" w:eastAsia="宋体"/>
          <w:color w:val="auto"/>
          <w:sz w:val="28"/>
          <w:szCs w:val="28"/>
        </w:rPr>
        <w:t>)</w:t>
      </w:r>
      <w:r>
        <w:rPr>
          <w:rFonts w:hint="eastAsia" w:ascii="宋体" w:hAnsi="宋体" w:eastAsia="宋体"/>
          <w:color w:val="auto"/>
          <w:sz w:val="28"/>
          <w:szCs w:val="28"/>
        </w:rPr>
        <w:t xml:space="preserve"> 油漆类工艺流程</w:t>
      </w:r>
      <w:r>
        <w:rPr>
          <w:rFonts w:ascii="宋体" w:hAnsi="宋体" w:eastAsia="宋体"/>
          <w:color w:val="auto"/>
          <w:sz w:val="28"/>
          <w:szCs w:val="28"/>
        </w:rPr>
        <w:t>简述</w:t>
      </w:r>
    </w:p>
    <w:p>
      <w:pPr>
        <w:spacing w:line="560" w:lineRule="exact"/>
        <w:ind w:firstLine="565" w:firstLineChars="202"/>
        <w:rPr>
          <w:rFonts w:ascii="宋体" w:hAnsi="宋体" w:eastAsia="宋体"/>
          <w:color w:val="auto"/>
          <w:sz w:val="28"/>
          <w:szCs w:val="28"/>
        </w:rPr>
      </w:pPr>
      <w:r>
        <w:rPr>
          <w:rFonts w:hint="eastAsia" w:ascii="宋体" w:hAnsi="宋体" w:eastAsia="宋体"/>
          <w:color w:val="auto"/>
          <w:sz w:val="28"/>
          <w:szCs w:val="28"/>
        </w:rPr>
        <w:t>油漆生产工艺采用国内成熟工艺，工艺比较简单，属于间歇生产，使用设备为常压设备，操作过程主要是搅拌和研磨，无化学反应。主要由树脂(如：醇酸树脂等)、溶剂（如：二甲苯异构体混合物、环己酮等）、助剂（如：光引发剂、稳定剂、流平剂等）等组成，经过搅拌分散、检验、过滤、包装等工序，生产出所需要的油漆产品。</w:t>
      </w:r>
    </w:p>
    <w:p>
      <w:pPr>
        <w:spacing w:line="560" w:lineRule="exact"/>
        <w:rPr>
          <w:rFonts w:ascii="宋体" w:hAnsi="宋体" w:eastAsia="宋体"/>
          <w:color w:val="auto"/>
          <w:sz w:val="28"/>
          <w:szCs w:val="28"/>
        </w:rPr>
      </w:pPr>
      <w:r>
        <w:rPr>
          <w:rFonts w:hint="eastAsia" w:ascii="宋体" w:hAnsi="宋体" w:eastAsia="宋体"/>
          <w:color w:val="auto"/>
          <w:sz w:val="28"/>
          <w:szCs w:val="28"/>
        </w:rPr>
        <w:t>具体工艺操作步骤如下：</w:t>
      </w:r>
    </w:p>
    <w:p>
      <w:pPr>
        <w:spacing w:line="560" w:lineRule="exact"/>
        <w:ind w:firstLine="565" w:firstLineChars="202"/>
        <w:rPr>
          <w:rFonts w:ascii="宋体" w:hAnsi="宋体" w:eastAsia="宋体"/>
          <w:color w:val="auto"/>
          <w:sz w:val="28"/>
          <w:szCs w:val="28"/>
        </w:rPr>
      </w:pPr>
      <w:r>
        <w:rPr>
          <w:rFonts w:hint="eastAsia" w:ascii="宋体" w:hAnsi="宋体" w:eastAsia="宋体"/>
          <w:color w:val="auto"/>
          <w:sz w:val="28"/>
          <w:szCs w:val="28"/>
        </w:rPr>
        <w:t>（1）按工艺配方将各种原材料称量。</w:t>
      </w:r>
    </w:p>
    <w:p>
      <w:pPr>
        <w:spacing w:line="560" w:lineRule="exact"/>
        <w:ind w:firstLine="565" w:firstLineChars="202"/>
        <w:rPr>
          <w:rFonts w:ascii="宋体" w:hAnsi="宋体" w:eastAsia="宋体"/>
          <w:color w:val="auto"/>
          <w:sz w:val="28"/>
          <w:szCs w:val="28"/>
        </w:rPr>
      </w:pPr>
      <w:r>
        <w:rPr>
          <w:rFonts w:hint="eastAsia" w:ascii="宋体" w:hAnsi="宋体" w:eastAsia="宋体"/>
          <w:color w:val="auto"/>
          <w:sz w:val="28"/>
          <w:szCs w:val="28"/>
        </w:rPr>
        <w:t>（2）先将溶剂加入分散缸，边搅拌边依次将其他原料加入，直到完全混合。</w:t>
      </w:r>
    </w:p>
    <w:p>
      <w:pPr>
        <w:spacing w:line="560" w:lineRule="exact"/>
        <w:ind w:firstLine="565" w:firstLineChars="202"/>
        <w:rPr>
          <w:rFonts w:ascii="宋体" w:hAnsi="宋体" w:eastAsia="宋体"/>
          <w:color w:val="auto"/>
          <w:sz w:val="28"/>
          <w:szCs w:val="28"/>
        </w:rPr>
      </w:pPr>
      <w:r>
        <w:rPr>
          <w:rFonts w:hint="eastAsia" w:ascii="宋体" w:hAnsi="宋体" w:eastAsia="宋体"/>
          <w:color w:val="auto"/>
          <w:sz w:val="28"/>
          <w:szCs w:val="28"/>
        </w:rPr>
        <w:t>（3）再加入各种助剂，继续搅拌，待其完全混合均匀。</w:t>
      </w:r>
    </w:p>
    <w:p>
      <w:pPr>
        <w:spacing w:line="560" w:lineRule="exact"/>
        <w:ind w:firstLine="565" w:firstLineChars="202"/>
        <w:rPr>
          <w:rFonts w:ascii="宋体" w:hAnsi="宋体" w:eastAsia="宋体"/>
          <w:color w:val="auto"/>
          <w:sz w:val="28"/>
          <w:szCs w:val="28"/>
        </w:rPr>
      </w:pPr>
      <w:r>
        <w:rPr>
          <w:rFonts w:hint="eastAsia" w:ascii="宋体" w:hAnsi="宋体" w:eastAsia="宋体"/>
          <w:color w:val="auto"/>
          <w:sz w:val="28"/>
          <w:szCs w:val="28"/>
        </w:rPr>
        <w:t>（4）将分散缸中混合均匀的产品取样检验，合格后再过滤包装、入库。</w:t>
      </w:r>
    </w:p>
    <w:p>
      <w:pPr>
        <w:spacing w:line="560" w:lineRule="exact"/>
        <w:ind w:firstLine="484" w:firstLineChars="202"/>
        <w:rPr>
          <w:rFonts w:ascii="宋体" w:hAnsi="宋体" w:eastAsia="宋体"/>
          <w:color w:val="auto"/>
          <w:sz w:val="28"/>
          <w:szCs w:val="28"/>
        </w:rPr>
      </w:pPr>
      <w:r>
        <w:rPr>
          <w:rFonts w:ascii="宋体" w:hAnsi="宋体" w:eastAsia="宋体"/>
          <w:color w:val="auto"/>
          <w:lang w:val="en-US" w:eastAsia="zh-CN" w:bidi="ar-SA"/>
        </w:rPr>
        <w:drawing>
          <wp:anchor distT="0" distB="0" distL="114300" distR="114300" simplePos="0" relativeHeight="251664384" behindDoc="0" locked="0" layoutInCell="1" allowOverlap="1">
            <wp:simplePos x="0" y="0"/>
            <wp:positionH relativeFrom="column">
              <wp:posOffset>77470</wp:posOffset>
            </wp:positionH>
            <wp:positionV relativeFrom="paragraph">
              <wp:posOffset>466090</wp:posOffset>
            </wp:positionV>
            <wp:extent cx="5419725" cy="1266825"/>
            <wp:effectExtent l="19050" t="0" r="9525" b="0"/>
            <wp:wrapTopAndBottom/>
            <wp:docPr id="5" name="图片 1" descr="C:/Users/mayn/AppData/Local/Temp/picturecompress_20211118100829/output_3.jpgoutput_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descr="C:/Users/mayn/AppData/Local/Temp/picturecompress_20211118100829/output_3.jpgoutput_3"/>
                    <pic:cNvPicPr>
                      <a:picLocks noChangeAspect="1" noChangeArrowheads="1"/>
                    </pic:cNvPicPr>
                  </pic:nvPicPr>
                  <pic:blipFill>
                    <a:blip r:embed="rId8"/>
                    <a:srcRect/>
                    <a:stretch>
                      <a:fillRect/>
                    </a:stretch>
                  </pic:blipFill>
                  <pic:spPr>
                    <a:xfrm>
                      <a:off x="0" y="0"/>
                      <a:ext cx="5419725" cy="1266825"/>
                    </a:xfrm>
                    <a:prstGeom prst="rect">
                      <a:avLst/>
                    </a:prstGeom>
                    <a:noFill/>
                    <a:ln w="9525">
                      <a:noFill/>
                      <a:miter lim="800000"/>
                      <a:headEnd/>
                      <a:tailEnd/>
                    </a:ln>
                  </pic:spPr>
                </pic:pic>
              </a:graphicData>
            </a:graphic>
          </wp:anchor>
        </w:drawing>
      </w:r>
      <w:r>
        <w:rPr>
          <w:rFonts w:hint="eastAsia" w:ascii="宋体" w:hAnsi="宋体" w:eastAsia="宋体"/>
          <w:color w:val="auto"/>
          <w:sz w:val="28"/>
          <w:szCs w:val="28"/>
        </w:rPr>
        <w:t>其工艺流程图如下：</w:t>
      </w:r>
    </w:p>
    <w:p>
      <w:pPr>
        <w:spacing w:line="560" w:lineRule="exact"/>
        <w:ind w:firstLine="425" w:firstLineChars="152"/>
        <w:rPr>
          <w:rFonts w:ascii="宋体" w:hAnsi="宋体" w:eastAsia="宋体"/>
          <w:color w:val="auto"/>
          <w:sz w:val="28"/>
          <w:szCs w:val="28"/>
        </w:rPr>
      </w:pPr>
      <w:r>
        <w:rPr>
          <w:rFonts w:hint="eastAsia" w:ascii="宋体" w:hAnsi="宋体" w:eastAsia="宋体"/>
          <w:color w:val="auto"/>
          <w:sz w:val="28"/>
          <w:szCs w:val="28"/>
        </w:rPr>
        <w:t>2</w:t>
      </w:r>
      <w:r>
        <w:rPr>
          <w:rFonts w:ascii="宋体" w:hAnsi="宋体" w:eastAsia="宋体"/>
          <w:color w:val="auto"/>
          <w:sz w:val="28"/>
          <w:szCs w:val="28"/>
        </w:rPr>
        <w:t>)</w:t>
      </w:r>
      <w:r>
        <w:rPr>
          <w:rFonts w:hint="eastAsia" w:ascii="宋体" w:hAnsi="宋体" w:eastAsia="宋体"/>
          <w:color w:val="auto"/>
          <w:sz w:val="28"/>
          <w:szCs w:val="28"/>
        </w:rPr>
        <w:t xml:space="preserve"> 稀释剂类工艺流程</w:t>
      </w:r>
      <w:r>
        <w:rPr>
          <w:rFonts w:ascii="宋体" w:hAnsi="宋体" w:eastAsia="宋体"/>
          <w:color w:val="auto"/>
          <w:sz w:val="28"/>
          <w:szCs w:val="28"/>
        </w:rPr>
        <w:t>简述</w:t>
      </w:r>
    </w:p>
    <w:p>
      <w:pPr>
        <w:spacing w:line="360" w:lineRule="auto"/>
        <w:ind w:firstLine="759" w:firstLineChars="270"/>
        <w:rPr>
          <w:rFonts w:ascii="宋体" w:hAnsi="宋体" w:eastAsia="宋体"/>
          <w:b/>
          <w:color w:val="auto"/>
          <w:sz w:val="28"/>
          <w:szCs w:val="28"/>
        </w:rPr>
      </w:pPr>
      <w:r>
        <w:rPr>
          <w:rFonts w:ascii="宋体" w:hAnsi="宋体" w:eastAsia="宋体"/>
          <w:b/>
          <w:color w:val="auto"/>
          <w:sz w:val="28"/>
          <w:szCs w:val="28"/>
          <w:lang w:val="en-US" w:eastAsia="zh-CN" w:bidi="ar-SA"/>
        </w:rPr>
        <w:drawing>
          <wp:anchor distT="0" distB="0" distL="114300" distR="114300" simplePos="0" relativeHeight="251666432" behindDoc="0" locked="0" layoutInCell="1" allowOverlap="1">
            <wp:simplePos x="0" y="0"/>
            <wp:positionH relativeFrom="column">
              <wp:posOffset>236855</wp:posOffset>
            </wp:positionH>
            <wp:positionV relativeFrom="paragraph">
              <wp:posOffset>41910</wp:posOffset>
            </wp:positionV>
            <wp:extent cx="5257800" cy="819785"/>
            <wp:effectExtent l="0" t="0" r="0" b="18415"/>
            <wp:wrapTopAndBottom/>
            <wp:docPr id="6" name="图片 1" descr="C:/Users/mayn/AppData/Local/Temp/picturecompress_20211118100829/output_4.jpgoutput_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descr="C:/Users/mayn/AppData/Local/Temp/picturecompress_20211118100829/output_4.jpgoutput_4"/>
                    <pic:cNvPicPr>
                      <a:picLocks noChangeAspect="1" noChangeArrowheads="1"/>
                    </pic:cNvPicPr>
                  </pic:nvPicPr>
                  <pic:blipFill>
                    <a:blip r:embed="rId9"/>
                    <a:srcRect/>
                    <a:stretch>
                      <a:fillRect/>
                    </a:stretch>
                  </pic:blipFill>
                  <pic:spPr>
                    <a:xfrm>
                      <a:off x="0" y="0"/>
                      <a:ext cx="5257800" cy="819785"/>
                    </a:xfrm>
                    <a:prstGeom prst="rect">
                      <a:avLst/>
                    </a:prstGeom>
                    <a:noFill/>
                    <a:ln w="9525">
                      <a:noFill/>
                      <a:miter lim="800000"/>
                      <a:headEnd/>
                      <a:tailEnd/>
                    </a:ln>
                  </pic:spPr>
                </pic:pic>
              </a:graphicData>
            </a:graphic>
          </wp:anchor>
        </w:drawing>
      </w:r>
      <w:r>
        <w:rPr>
          <w:rFonts w:ascii="宋体" w:hAnsi="宋体" w:eastAsia="宋体"/>
          <w:color w:val="auto"/>
        </w:rPr>
        <w:pict>
          <v:shape id="_x0000_s1613" o:spid="_x0000_s1613" o:spt="202" type="#_x0000_t202" style="position:absolute;left:0pt;margin-left:180pt;margin-top:23.45pt;height:21.55pt;width:57.4pt;z-index:251665408;mso-width-relative:margin;mso-height-relative:margin;"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">
            <v:path/>
            <v:fill on="f" focussize="0,0"/>
            <v:stroke on="f" joinstyle="miter"/>
            <v:imagedata o:title=""/>
            <o:lock v:ext="edit"/>
            <v:textbox>
              <w:txbxContent>
                <w:p/>
              </w:txbxContent>
            </v:textbox>
          </v:shape>
        </w:pict>
      </w:r>
      <w:r>
        <w:rPr>
          <w:rFonts w:hint="eastAsia" w:ascii="宋体" w:hAnsi="宋体" w:eastAsia="宋体"/>
          <w:color w:val="auto"/>
          <w:sz w:val="28"/>
          <w:szCs w:val="28"/>
        </w:rPr>
        <w:t>其生产过程在常温、常压下进行。不属于危险化工工艺。</w:t>
      </w:r>
    </w:p>
    <w:p>
      <w:pPr>
        <w:spacing w:line="560" w:lineRule="exact"/>
        <w:jc w:val="both"/>
        <w:outlineLvl w:val="1"/>
        <w:rPr>
          <w:rFonts w:ascii="楷体_GB2312" w:hAnsi="Times New Roman" w:eastAsia="楷体_GB2312" w:cs="Times New Roman"/>
          <w:bCs/>
          <w:color w:val="auto"/>
          <w:kern w:val="2"/>
          <w:sz w:val="32"/>
          <w:lang w:val="en-US" w:eastAsia="zh-CN" w:bidi="ar-SA"/>
        </w:rPr>
      </w:pPr>
      <w:r>
        <w:rPr>
          <w:rFonts w:ascii="楷体_GB2312" w:hAnsi="Times New Roman" w:eastAsia="楷体_GB2312" w:cs="Times New Roman"/>
          <w:bCs/>
          <w:color w:val="auto"/>
          <w:kern w:val="2"/>
          <w:sz w:val="32"/>
          <w:lang w:val="en-US" w:eastAsia="zh-CN" w:bidi="ar-SA"/>
        </w:rPr>
        <w:br w:type="page"/>
      </w:r>
    </w:p>
    <w:p>
      <w:pPr>
        <w:spacing w:line="560" w:lineRule="exact"/>
        <w:jc w:val="both"/>
        <w:outlineLvl w:val="1"/>
        <w:rPr>
          <w:rFonts w:ascii="楷体_GB2312" w:hAnsi="Times New Roman" w:eastAsia="楷体_GB2312" w:cs="Times New Roman"/>
          <w:bCs/>
          <w:color w:val="auto"/>
          <w:kern w:val="2"/>
          <w:sz w:val="32"/>
          <w:lang w:val="en-US" w:eastAsia="zh-CN" w:bidi="ar-SA"/>
        </w:rPr>
      </w:pPr>
      <w:bookmarkStart w:id="231" w:name="_Toc40045951"/>
      <w:r>
        <w:rPr>
          <w:rFonts w:hint="eastAsia" w:ascii="楷体_GB2312" w:hAnsi="Times New Roman" w:eastAsia="楷体_GB2312" w:cs="Times New Roman"/>
          <w:bCs/>
          <w:color w:val="auto"/>
          <w:kern w:val="2"/>
          <w:sz w:val="32"/>
          <w:lang w:val="en-US" w:eastAsia="zh-CN" w:bidi="ar-SA"/>
        </w:rPr>
        <w:t>4.3安全评价流程图</w:t>
      </w:r>
      <w:bookmarkEnd w:id="229"/>
      <w:bookmarkEnd w:id="230"/>
      <w:bookmarkEnd w:id="231"/>
    </w:p>
    <w:p>
      <w:pPr>
        <w:widowControl/>
        <w:wordWrap w:val="0"/>
        <w:jc w:val="center"/>
        <w:rPr>
          <w:rFonts w:ascii="宋体" w:hAnsi="宋体" w:cs="宋体"/>
          <w:color w:val="auto"/>
          <w:sz w:val="28"/>
          <w:szCs w:val="28"/>
        </w:rPr>
      </w:pPr>
    </w:p>
    <w:p>
      <w:pPr>
        <w:spacing w:line="360" w:lineRule="auto"/>
        <w:jc w:val="center"/>
        <w:rPr>
          <w:rFonts w:ascii="宋体" w:hAnsi="宋体"/>
          <w:color w:val="auto"/>
          <w:sz w:val="28"/>
          <w:szCs w:val="28"/>
        </w:rPr>
      </w:pPr>
      <w:r>
        <w:rPr>
          <w:color w:val="auto"/>
          <w:lang w:val="en-US" w:eastAsia="zh-CN" w:bidi="ar-SA"/>
        </w:rPr>
        <w:pict>
          <v:group id="Group 1322" o:spid="_x0000_s1280" o:spt="203" style="height:351.4pt;width:148.5pt;" coordorigin="5038,2895" coordsize="2970,70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">
            <o:lock v:ext="edit"/>
            <v:group id="Group 1323" o:spid="_x0000_s1281" o:spt="203" style="position:absolute;left:5098;top:2895;height:1092;width:2880;" coordorigin="4487,3786" coordsize="2880,10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">
              <o:lock v:ext="edit"/>
              <v:rect id="Rectangle 1324" o:spid="_x0000_s1282" o:spt="1" style="position:absolute;left:4487;top:3786;height:468;width:2880;"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">
                <v:path/>
                <v:fill focussize="0,0"/>
                <v:stroke/>
                <v:imagedata o:title=""/>
                <o:lock v:ext="edit"/>
                <v:textbox>
                  <w:txbxContent>
                    <w:p>
                      <w:pPr>
                        <w:jc w:val="center"/>
                        <w:rPr>
                          <w:rFonts w:ascii="宋体" w:hAnsi="宋体" w:eastAsia="宋体"/>
                          <w:sz w:val="21"/>
                          <w:szCs w:val="21"/>
                        </w:rPr>
                      </w:pPr>
                      <w:r>
                        <w:rPr>
                          <w:rFonts w:hint="eastAsia" w:ascii="宋体" w:hAnsi="宋体" w:eastAsia="宋体"/>
                          <w:sz w:val="21"/>
                          <w:szCs w:val="21"/>
                        </w:rPr>
                        <w:t>前期准备</w:t>
                      </w:r>
                    </w:p>
                    <w:p>
                      <w:pPr>
                        <w:rPr>
                          <w:rFonts w:ascii="宋体" w:hAnsi="宋体" w:eastAsia="宋体"/>
                          <w:sz w:val="21"/>
                          <w:szCs w:val="21"/>
                        </w:rPr>
                      </w:pPr>
                    </w:p>
                  </w:txbxContent>
                </v:textbox>
              </v:rect>
              <v:line id="Line 1325" o:spid="_x0000_s1283" o:spt="20" style="position:absolute;left:5927;top:4254;height:624;width:0;" o:connectortype="straigh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">
                <v:path arrowok="t"/>
                <v:fill focussize="0,0"/>
                <v:stroke endarrow="block"/>
                <v:imagedata o:title=""/>
                <o:lock v:ext="edit"/>
              </v:line>
            </v:group>
            <v:group id="Group 1326" o:spid="_x0000_s1284" o:spt="203" style="position:absolute;left:5098;top:3987;height:1092;width:2880;" coordorigin="4487,3786" coordsize="2880,10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">
              <o:lock v:ext="edit"/>
              <v:rect id="Rectangle 1327" o:spid="_x0000_s1285" o:spt="1" style="position:absolute;left:4487;top:3786;height:468;width:2880;"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">
                <v:path/>
                <v:fill focussize="0,0"/>
                <v:stroke/>
                <v:imagedata o:title=""/>
                <o:lock v:ext="edit"/>
                <v:textbox>
                  <w:txbxContent>
                    <w:p>
                      <w:pPr>
                        <w:jc w:val="center"/>
                        <w:rPr>
                          <w:rFonts w:ascii="宋体" w:hAnsi="宋体" w:eastAsia="宋体"/>
                          <w:sz w:val="21"/>
                          <w:szCs w:val="21"/>
                        </w:rPr>
                      </w:pPr>
                      <w:r>
                        <w:rPr>
                          <w:rFonts w:hint="eastAsia" w:ascii="宋体" w:hAnsi="宋体" w:eastAsia="宋体"/>
                          <w:sz w:val="21"/>
                          <w:szCs w:val="21"/>
                        </w:rPr>
                        <w:t>辨识与分析危险、有害因素</w:t>
                      </w:r>
                    </w:p>
                    <w:p>
                      <w:pPr>
                        <w:rPr>
                          <w:rFonts w:ascii="宋体" w:hAnsi="宋体" w:eastAsia="宋体"/>
                          <w:sz w:val="21"/>
                          <w:szCs w:val="21"/>
                        </w:rPr>
                      </w:pPr>
                    </w:p>
                  </w:txbxContent>
                </v:textbox>
              </v:rect>
              <v:line id="Line 1328" o:spid="_x0000_s1286" o:spt="20" style="position:absolute;left:5927;top:4254;height:624;width:0;" o:connectortype="straigh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">
                <v:path arrowok="t"/>
                <v:fill focussize="0,0"/>
                <v:stroke endarrow="block"/>
                <v:imagedata o:title=""/>
                <o:lock v:ext="edit"/>
              </v:line>
            </v:group>
            <v:group id="Group 1329" o:spid="_x0000_s1287" o:spt="203" style="position:absolute;left:5098;top:5079;height:1092;width:2880;" coordorigin="4487,3786" coordsize="2880,10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">
              <o:lock v:ext="edit"/>
              <v:rect id="Rectangle 1330" o:spid="_x0000_s1288" o:spt="1" style="position:absolute;left:4487;top:3786;height:468;width:2880;"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">
                <v:path/>
                <v:fill focussize="0,0"/>
                <v:stroke/>
                <v:imagedata o:title=""/>
                <o:lock v:ext="edit"/>
                <v:textbox>
                  <w:txbxContent>
                    <w:p>
                      <w:pPr>
                        <w:jc w:val="center"/>
                        <w:rPr>
                          <w:rFonts w:ascii="宋体" w:hAnsi="宋体" w:eastAsia="宋体"/>
                          <w:sz w:val="21"/>
                          <w:szCs w:val="21"/>
                        </w:rPr>
                      </w:pPr>
                      <w:r>
                        <w:rPr>
                          <w:rFonts w:hint="eastAsia" w:ascii="宋体" w:hAnsi="宋体" w:eastAsia="宋体"/>
                          <w:sz w:val="21"/>
                          <w:szCs w:val="21"/>
                        </w:rPr>
                        <w:t>划分评价单元</w:t>
                      </w:r>
                    </w:p>
                    <w:p>
                      <w:pPr>
                        <w:rPr>
                          <w:rFonts w:ascii="宋体" w:hAnsi="宋体" w:eastAsia="宋体"/>
                          <w:sz w:val="21"/>
                          <w:szCs w:val="21"/>
                        </w:rPr>
                      </w:pPr>
                    </w:p>
                  </w:txbxContent>
                </v:textbox>
              </v:rect>
              <v:line id="Line 1331" o:spid="_x0000_s1289" o:spt="20" style="position:absolute;left:5927;top:4254;height:624;width:0;" o:connectortype="straigh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">
                <v:path arrowok="t"/>
                <v:fill focussize="0,0"/>
                <v:stroke endarrow="block"/>
                <v:imagedata o:title=""/>
                <o:lock v:ext="edit"/>
              </v:line>
            </v:group>
            <v:group id="Group 1332" o:spid="_x0000_s1290" o:spt="203" style="position:absolute;left:5098;top:6171;height:1092;width:2880;" coordorigin="4487,3786" coordsize="2880,10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">
              <o:lock v:ext="edit"/>
              <v:rect id="Rectangle 1333" o:spid="_x0000_s1291" o:spt="1" style="position:absolute;left:4487;top:3786;height:468;width:2880;"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">
                <v:path/>
                <v:fill focussize="0,0"/>
                <v:stroke/>
                <v:imagedata o:title=""/>
                <o:lock v:ext="edit"/>
                <v:textbox>
                  <w:txbxContent>
                    <w:p>
                      <w:pPr>
                        <w:jc w:val="center"/>
                        <w:rPr>
                          <w:rFonts w:ascii="宋体" w:hAnsi="宋体" w:eastAsia="宋体"/>
                          <w:sz w:val="21"/>
                          <w:szCs w:val="21"/>
                        </w:rPr>
                      </w:pPr>
                      <w:r>
                        <w:rPr>
                          <w:rFonts w:hint="eastAsia" w:ascii="宋体" w:hAnsi="宋体" w:eastAsia="宋体"/>
                          <w:sz w:val="21"/>
                          <w:szCs w:val="21"/>
                        </w:rPr>
                        <w:t>定性、定量评价</w:t>
                      </w:r>
                    </w:p>
                    <w:p>
                      <w:pPr>
                        <w:rPr>
                          <w:rFonts w:ascii="宋体" w:hAnsi="宋体" w:eastAsia="宋体"/>
                          <w:sz w:val="21"/>
                          <w:szCs w:val="21"/>
                        </w:rPr>
                      </w:pPr>
                    </w:p>
                  </w:txbxContent>
                </v:textbox>
              </v:rect>
              <v:line id="Line 1334" o:spid="_x0000_s1292" o:spt="20" style="position:absolute;left:5927;top:4254;height:624;width:0;" o:connectortype="straigh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">
                <v:path arrowok="t"/>
                <v:fill focussize="0,0"/>
                <v:stroke endarrow="block"/>
                <v:imagedata o:title=""/>
                <o:lock v:ext="edit"/>
              </v:line>
            </v:group>
            <v:group id="Group 1335" o:spid="_x0000_s1293" o:spt="203" style="position:absolute;left:5098;top:7263;height:1092;width:2880;" coordorigin="4487,3786" coordsize="2880,10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">
              <o:lock v:ext="edit"/>
              <v:rect id="Rectangle 1336" o:spid="_x0000_s1294" o:spt="1" style="position:absolute;left:4487;top:3786;height:468;width:2880;"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">
                <v:path/>
                <v:fill focussize="0,0"/>
                <v:stroke/>
                <v:imagedata o:title=""/>
                <o:lock v:ext="edit"/>
                <v:textbox>
                  <w:txbxContent>
                    <w:p>
                      <w:pPr>
                        <w:jc w:val="center"/>
                        <w:rPr>
                          <w:rFonts w:ascii="宋体" w:hAnsi="宋体" w:eastAsia="宋体"/>
                          <w:sz w:val="21"/>
                          <w:szCs w:val="21"/>
                        </w:rPr>
                      </w:pPr>
                      <w:r>
                        <w:rPr>
                          <w:rFonts w:hint="eastAsia" w:ascii="宋体" w:hAnsi="宋体" w:eastAsia="宋体"/>
                          <w:sz w:val="21"/>
                          <w:szCs w:val="21"/>
                        </w:rPr>
                        <w:t>提出安全对策措施建议</w:t>
                      </w:r>
                    </w:p>
                    <w:p>
                      <w:pPr>
                        <w:rPr>
                          <w:rFonts w:ascii="宋体" w:hAnsi="宋体" w:eastAsia="宋体"/>
                          <w:sz w:val="21"/>
                          <w:szCs w:val="21"/>
                        </w:rPr>
                      </w:pPr>
                    </w:p>
                  </w:txbxContent>
                </v:textbox>
              </v:rect>
              <v:line id="Line 1337" o:spid="_x0000_s1295" o:spt="20" style="position:absolute;left:5927;top:4254;height:624;width:0;" o:connectortype="straigh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">
                <v:path arrowok="t"/>
                <v:fill focussize="0,0"/>
                <v:stroke endarrow="block"/>
                <v:imagedata o:title=""/>
                <o:lock v:ext="edit"/>
              </v:line>
            </v:group>
            <v:group id="Group 1338" o:spid="_x0000_s1296" o:spt="203" style="position:absolute;left:5098;top:8355;height:1092;width:2880;" coordorigin="4487,3786" coordsize="2880,10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">
              <o:lock v:ext="edit"/>
              <v:rect id="Rectangle 1339" o:spid="_x0000_s1297" o:spt="1" style="position:absolute;left:4487;top:3786;height:468;width:2880;"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">
                <v:path/>
                <v:fill focussize="0,0"/>
                <v:stroke/>
                <v:imagedata o:title=""/>
                <o:lock v:ext="edit"/>
                <v:textbox>
                  <w:txbxContent>
                    <w:p>
                      <w:pPr>
                        <w:jc w:val="center"/>
                        <w:rPr>
                          <w:rFonts w:ascii="宋体" w:hAnsi="宋体" w:eastAsia="宋体"/>
                          <w:sz w:val="21"/>
                          <w:szCs w:val="21"/>
                        </w:rPr>
                      </w:pPr>
                      <w:r>
                        <w:rPr>
                          <w:rFonts w:hint="eastAsia" w:ascii="宋体" w:hAnsi="宋体" w:eastAsia="宋体"/>
                          <w:sz w:val="21"/>
                          <w:szCs w:val="21"/>
                        </w:rPr>
                        <w:t>做出评价结论</w:t>
                      </w:r>
                    </w:p>
                    <w:p>
                      <w:pPr>
                        <w:rPr>
                          <w:rFonts w:ascii="宋体" w:hAnsi="宋体" w:eastAsia="宋体"/>
                          <w:sz w:val="21"/>
                          <w:szCs w:val="21"/>
                        </w:rPr>
                      </w:pPr>
                    </w:p>
                  </w:txbxContent>
                </v:textbox>
              </v:rect>
              <v:line id="Line 1340" o:spid="_x0000_s1298" o:spt="20" style="position:absolute;left:5927;top:4254;height:624;width:0;" o:connectortype="straigh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">
                <v:path arrowok="t"/>
                <v:fill focussize="0,0"/>
                <v:stroke endarrow="block"/>
                <v:imagedata o:title=""/>
                <o:lock v:ext="edit"/>
              </v:line>
            </v:group>
            <v:rect id="Rectangle 1341" o:spid="_x0000_s1299" o:spt="1" style="position:absolute;left:5038;top:9451;height:472;width:2970;"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">
              <v:path/>
              <v:fill focussize="0,0"/>
              <v:stroke/>
              <v:imagedata o:title=""/>
              <o:lock v:ext="edit"/>
              <v:textbox>
                <w:txbxContent>
                  <w:p>
                    <w:pPr>
                      <w:jc w:val="center"/>
                      <w:rPr>
                        <w:rFonts w:ascii="宋体" w:hAnsi="宋体" w:eastAsia="宋体"/>
                        <w:sz w:val="21"/>
                        <w:szCs w:val="21"/>
                      </w:rPr>
                    </w:pPr>
                    <w:r>
                      <w:rPr>
                        <w:rFonts w:hint="eastAsia" w:ascii="宋体" w:hAnsi="宋体" w:eastAsia="宋体"/>
                        <w:sz w:val="21"/>
                        <w:szCs w:val="21"/>
                      </w:rPr>
                      <w:t>安全现状评价报告</w:t>
                    </w:r>
                  </w:p>
                  <w:p>
                    <w:pPr>
                      <w:rPr>
                        <w:rFonts w:ascii="宋体" w:hAnsi="宋体" w:eastAsia="宋体"/>
                        <w:sz w:val="21"/>
                        <w:szCs w:val="21"/>
                      </w:rPr>
                    </w:pPr>
                  </w:p>
                </w:txbxContent>
              </v:textbox>
            </v:rect>
            <w10:wrap type="none"/>
            <w10:anchorlock/>
          </v:group>
        </w:pict>
      </w:r>
    </w:p>
    <w:p>
      <w:pPr>
        <w:spacing w:afterLines="30" w:line="600" w:lineRule="exact"/>
        <w:jc w:val="center"/>
        <w:rPr>
          <w:rFonts w:ascii="宋体" w:hAnsi="宋体" w:eastAsia="宋体"/>
          <w:b/>
          <w:color w:val="auto"/>
        </w:rPr>
      </w:pPr>
      <w:r>
        <w:rPr>
          <w:rFonts w:hint="eastAsia" w:ascii="宋体" w:hAnsi="宋体" w:eastAsia="宋体"/>
          <w:b/>
          <w:color w:val="auto"/>
        </w:rPr>
        <w:t>附图4-3安全评价程序图</w:t>
      </w:r>
    </w:p>
    <w:p>
      <w:pPr>
        <w:spacing w:line="600" w:lineRule="exact"/>
        <w:ind w:firstLine="454" w:firstLineChars="142"/>
        <w:rPr>
          <w:rFonts w:ascii="宋体" w:hAnsi="宋体" w:eastAsia="宋体"/>
          <w:color w:val="auto"/>
          <w:spacing w:val="20"/>
          <w:sz w:val="28"/>
          <w:szCs w:val="28"/>
          <w:lang w:eastAsia="zh-CN"/>
        </w:rPr>
      </w:pPr>
    </w:p>
    <w:p>
      <w:pPr>
        <w:spacing w:line="600" w:lineRule="exact"/>
        <w:ind w:firstLine="454" w:firstLineChars="142"/>
        <w:rPr>
          <w:rFonts w:ascii="宋体" w:hAnsi="宋体" w:eastAsia="宋体"/>
          <w:color w:val="auto"/>
          <w:spacing w:val="20"/>
          <w:sz w:val="28"/>
          <w:szCs w:val="28"/>
          <w:lang w:eastAsia="zh-CN"/>
        </w:rPr>
      </w:pPr>
    </w:p>
    <w:p>
      <w:pPr>
        <w:pStyle w:val="3"/>
        <w:spacing w:after="120"/>
        <w:rPr>
          <w:snapToGrid/>
          <w:color w:val="auto"/>
        </w:rPr>
      </w:pPr>
      <w:bookmarkStart w:id="232" w:name="bookmark164"/>
      <w:bookmarkStart w:id="233" w:name="bookmark163"/>
      <w:r>
        <w:rPr>
          <w:snapToGrid/>
          <w:color w:val="auto"/>
        </w:rPr>
        <w:br w:type="page"/>
      </w:r>
    </w:p>
    <w:p>
      <w:pPr>
        <w:pStyle w:val="3"/>
        <w:spacing w:after="120"/>
        <w:rPr>
          <w:snapToGrid/>
          <w:color w:val="auto"/>
        </w:rPr>
      </w:pPr>
      <w:bookmarkStart w:id="234" w:name="_Toc40045952"/>
      <w:r>
        <w:rPr>
          <w:snapToGrid/>
          <w:color w:val="auto"/>
        </w:rPr>
        <w:t>附件5安全评价方法简介</w:t>
      </w:r>
      <w:bookmarkEnd w:id="234"/>
    </w:p>
    <w:p>
      <w:pPr>
        <w:spacing w:line="560" w:lineRule="exact"/>
        <w:jc w:val="both"/>
        <w:outlineLvl w:val="1"/>
        <w:rPr>
          <w:rFonts w:ascii="楷体_GB2312" w:hAnsi="Times New Roman" w:eastAsia="楷体_GB2312" w:cs="Times New Roman"/>
          <w:bCs/>
          <w:color w:val="auto"/>
          <w:kern w:val="2"/>
          <w:sz w:val="32"/>
          <w:lang w:val="en-US" w:eastAsia="zh-CN" w:bidi="ar-SA"/>
        </w:rPr>
      </w:pPr>
      <w:bookmarkStart w:id="235" w:name="_Toc40045953"/>
      <w:r>
        <w:rPr>
          <w:rFonts w:ascii="楷体_GB2312" w:hAnsi="Times New Roman" w:eastAsia="楷体_GB2312" w:cs="Times New Roman"/>
          <w:bCs/>
          <w:color w:val="auto"/>
          <w:kern w:val="2"/>
          <w:sz w:val="32"/>
          <w:lang w:val="en-US" w:eastAsia="zh-CN" w:bidi="ar-SA"/>
        </w:rPr>
        <w:t>附件5.1安全检查表法简介</w:t>
      </w:r>
      <w:bookmarkEnd w:id="232"/>
      <w:bookmarkEnd w:id="233"/>
      <w:bookmarkEnd w:id="235"/>
    </w:p>
    <w:p>
      <w:pPr>
        <w:spacing w:line="560" w:lineRule="exact"/>
        <w:ind w:firstLine="454" w:firstLineChars="142"/>
        <w:rPr>
          <w:rFonts w:ascii="宋体" w:hAnsi="宋体" w:eastAsia="宋体"/>
          <w:color w:val="auto"/>
          <w:spacing w:val="20"/>
          <w:sz w:val="28"/>
          <w:szCs w:val="28"/>
          <w:lang w:eastAsia="zh-CN"/>
        </w:rPr>
      </w:pPr>
      <w:r>
        <w:rPr>
          <w:rFonts w:ascii="宋体" w:hAnsi="宋体" w:eastAsia="宋体"/>
          <w:color w:val="auto"/>
          <w:spacing w:val="20"/>
          <w:sz w:val="28"/>
          <w:szCs w:val="28"/>
          <w:lang w:eastAsia="zh-CN"/>
        </w:rPr>
        <w:t>安全检查表(即SCL法)分析利用检查条款按照相关的标准、规范等对已知的危险类别、设计缺陷以及与一般工艺设备、操作、管理有关的潜在危险性和有害性进行判别检查。为了查找工程、系统中各种设备设施、物料、工件、操作、管理和组织措施中的危险、有害因素，事先把检查对象加以分解，将大系统分割成若干小的子系统，按检查表所列项目逐项检查，避免遗漏。</w:t>
      </w:r>
    </w:p>
    <w:p>
      <w:pPr>
        <w:spacing w:line="560" w:lineRule="exact"/>
        <w:ind w:firstLine="454" w:firstLineChars="142"/>
        <w:rPr>
          <w:rFonts w:ascii="宋体" w:hAnsi="宋体" w:eastAsia="宋体"/>
          <w:color w:val="auto"/>
          <w:spacing w:val="20"/>
          <w:sz w:val="28"/>
          <w:szCs w:val="28"/>
          <w:lang w:eastAsia="zh-CN"/>
        </w:rPr>
      </w:pPr>
      <w:r>
        <w:rPr>
          <w:rFonts w:ascii="宋体" w:hAnsi="宋体" w:eastAsia="宋体"/>
          <w:color w:val="auto"/>
          <w:spacing w:val="20"/>
          <w:sz w:val="28"/>
          <w:szCs w:val="28"/>
          <w:lang w:eastAsia="zh-CN"/>
        </w:rPr>
        <w:t>安全检查表法是一种最基础、最简便、最广泛使用的危险性评价方法，安全检查表的分类方法可以有许多种，如可按基本类型、检查内容分类，也可按使用场合分类。目前常用安全检查表有定性检查表、半定量检查表和否决型检查表等三种类型。</w:t>
      </w:r>
    </w:p>
    <w:p>
      <w:pPr>
        <w:spacing w:line="560" w:lineRule="exact"/>
        <w:ind w:firstLine="454" w:firstLineChars="142"/>
        <w:rPr>
          <w:rFonts w:ascii="宋体" w:hAnsi="宋体" w:eastAsia="宋体"/>
          <w:color w:val="auto"/>
          <w:spacing w:val="20"/>
          <w:sz w:val="28"/>
          <w:szCs w:val="28"/>
          <w:lang w:eastAsia="zh-CN"/>
        </w:rPr>
      </w:pPr>
      <w:r>
        <w:rPr>
          <w:rFonts w:ascii="宋体" w:hAnsi="宋体" w:eastAsia="宋体"/>
          <w:color w:val="auto"/>
          <w:spacing w:val="20"/>
          <w:sz w:val="28"/>
          <w:szCs w:val="28"/>
          <w:lang w:eastAsia="zh-CN"/>
        </w:rPr>
        <w:t>定性安全检查表是列出检查要点逐项检查，检查结果以“是”、“否”表示，检查结果不能量化。</w:t>
      </w:r>
    </w:p>
    <w:p>
      <w:pPr>
        <w:spacing w:line="560" w:lineRule="exact"/>
        <w:ind w:firstLine="454" w:firstLineChars="142"/>
        <w:rPr>
          <w:rFonts w:ascii="宋体" w:hAnsi="宋体" w:eastAsia="宋体"/>
          <w:color w:val="auto"/>
          <w:spacing w:val="20"/>
          <w:sz w:val="28"/>
          <w:szCs w:val="28"/>
          <w:lang w:eastAsia="zh-CN"/>
        </w:rPr>
      </w:pPr>
      <w:r>
        <w:rPr>
          <w:rFonts w:ascii="宋体" w:hAnsi="宋体" w:eastAsia="宋体"/>
          <w:color w:val="auto"/>
          <w:spacing w:val="20"/>
          <w:sz w:val="28"/>
          <w:szCs w:val="28"/>
          <w:lang w:eastAsia="zh-CN"/>
        </w:rPr>
        <w:t>半定量检查表是给每个检查要点赋以分值，检查结果以总分表示，不同的检查对象可以相互比较，但缺点是检查要点的准确赋值比较困难。</w:t>
      </w:r>
    </w:p>
    <w:p>
      <w:pPr>
        <w:spacing w:line="560" w:lineRule="exact"/>
        <w:ind w:firstLine="454" w:firstLineChars="142"/>
        <w:rPr>
          <w:rFonts w:ascii="宋体" w:hAnsi="宋体" w:eastAsia="宋体"/>
          <w:color w:val="auto"/>
          <w:spacing w:val="20"/>
          <w:sz w:val="28"/>
          <w:szCs w:val="28"/>
          <w:lang w:eastAsia="zh-CN"/>
        </w:rPr>
      </w:pPr>
      <w:r>
        <w:rPr>
          <w:rFonts w:ascii="宋体" w:hAnsi="宋体" w:eastAsia="宋体"/>
          <w:color w:val="auto"/>
          <w:spacing w:val="20"/>
          <w:sz w:val="28"/>
          <w:szCs w:val="28"/>
          <w:lang w:eastAsia="zh-CN"/>
        </w:rPr>
        <w:t>否决型检查表是给一些特别重要的检查要点做出标记，这些检查要点如不满足，检查结果视为不合格，这样可以做到要点突出。</w:t>
      </w:r>
    </w:p>
    <w:p>
      <w:pPr>
        <w:spacing w:line="560" w:lineRule="exact"/>
        <w:ind w:firstLine="454" w:firstLineChars="142"/>
        <w:rPr>
          <w:rFonts w:ascii="宋体" w:hAnsi="宋体" w:eastAsia="宋体"/>
          <w:color w:val="auto"/>
          <w:spacing w:val="20"/>
          <w:sz w:val="28"/>
          <w:szCs w:val="28"/>
          <w:lang w:eastAsia="zh-CN"/>
        </w:rPr>
      </w:pPr>
      <w:r>
        <w:rPr>
          <w:rFonts w:ascii="宋体" w:hAnsi="宋体" w:eastAsia="宋体"/>
          <w:color w:val="auto"/>
          <w:spacing w:val="20"/>
          <w:sz w:val="28"/>
          <w:szCs w:val="28"/>
          <w:lang w:eastAsia="zh-CN"/>
        </w:rPr>
        <w:t>本评价报告采用定性安全检查表进行评价。</w:t>
      </w:r>
    </w:p>
    <w:p>
      <w:pPr>
        <w:spacing w:line="560" w:lineRule="exact"/>
        <w:jc w:val="both"/>
        <w:outlineLvl w:val="1"/>
        <w:rPr>
          <w:rFonts w:ascii="楷体_GB2312" w:hAnsi="Times New Roman" w:eastAsia="楷体_GB2312" w:cs="Times New Roman"/>
          <w:bCs/>
          <w:color w:val="auto"/>
          <w:kern w:val="2"/>
          <w:sz w:val="32"/>
          <w:lang w:val="en-US" w:eastAsia="zh-CN" w:bidi="ar-SA"/>
        </w:rPr>
      </w:pPr>
      <w:bookmarkStart w:id="236" w:name="_Toc40045954"/>
      <w:r>
        <w:rPr>
          <w:rFonts w:ascii="楷体_GB2312" w:hAnsi="Times New Roman" w:eastAsia="楷体_GB2312" w:cs="Times New Roman"/>
          <w:bCs/>
          <w:color w:val="auto"/>
          <w:kern w:val="2"/>
          <w:sz w:val="32"/>
          <w:lang w:val="en-US" w:eastAsia="zh-CN" w:bidi="ar-SA"/>
        </w:rPr>
        <w:t>附件5.2道化学火灾、爆炸指数评价法介绍</w:t>
      </w:r>
      <w:bookmarkEnd w:id="236"/>
    </w:p>
    <w:p>
      <w:pPr>
        <w:spacing w:line="560" w:lineRule="exact"/>
        <w:ind w:firstLine="454" w:firstLineChars="142"/>
        <w:rPr>
          <w:rFonts w:ascii="宋体" w:hAnsi="宋体" w:eastAsia="宋体"/>
          <w:color w:val="auto"/>
          <w:spacing w:val="20"/>
          <w:sz w:val="28"/>
          <w:szCs w:val="28"/>
          <w:lang w:eastAsia="zh-CN"/>
        </w:rPr>
      </w:pPr>
      <w:r>
        <w:rPr>
          <w:rFonts w:ascii="宋体" w:hAnsi="宋体" w:eastAsia="宋体"/>
          <w:color w:val="auto"/>
          <w:spacing w:val="20"/>
          <w:sz w:val="28"/>
          <w:szCs w:val="28"/>
          <w:lang w:eastAsia="zh-CN"/>
        </w:rPr>
        <w:t>道化学火灾爆炸指数评价法是由美国道化学公司开发的一种危险指数评价方法，火灾、爆炸危险指数法是用于评估特定工艺过程中的最大潜在危险性的一种工具，可使人们预测事故可能导致的实际危害及停产损失。并通过火灾、爆炸危险分析，提出相关措施，为企业的安全生产管理提供依据。</w:t>
      </w:r>
    </w:p>
    <w:p>
      <w:pPr>
        <w:spacing w:line="560" w:lineRule="exact"/>
        <w:ind w:firstLine="454" w:firstLineChars="142"/>
        <w:rPr>
          <w:rFonts w:ascii="宋体" w:hAnsi="宋体" w:eastAsia="宋体"/>
          <w:color w:val="auto"/>
          <w:spacing w:val="20"/>
          <w:sz w:val="28"/>
          <w:szCs w:val="28"/>
          <w:lang w:eastAsia="zh-CN"/>
        </w:rPr>
      </w:pPr>
      <w:r>
        <w:rPr>
          <w:rFonts w:ascii="宋体" w:hAnsi="宋体" w:eastAsia="宋体"/>
          <w:color w:val="auto"/>
          <w:spacing w:val="20"/>
          <w:sz w:val="28"/>
          <w:szCs w:val="28"/>
          <w:lang w:eastAsia="zh-CN"/>
        </w:rPr>
        <w:t>火灾、爆炸危险指数法评价程序如下：</w:t>
      </w:r>
    </w:p>
    <w:p>
      <w:pPr>
        <w:spacing w:line="560" w:lineRule="exact"/>
        <w:ind w:firstLine="454" w:firstLineChars="142"/>
        <w:rPr>
          <w:rFonts w:ascii="宋体" w:hAnsi="宋体" w:eastAsia="宋体"/>
          <w:color w:val="auto"/>
          <w:spacing w:val="20"/>
          <w:sz w:val="28"/>
          <w:szCs w:val="28"/>
          <w:lang w:eastAsia="zh-CN"/>
        </w:rPr>
      </w:pPr>
      <w:r>
        <w:rPr>
          <w:rFonts w:hint="eastAsia" w:ascii="宋体" w:hAnsi="宋体" w:eastAsia="宋体"/>
          <w:color w:val="auto"/>
          <w:spacing w:val="20"/>
          <w:sz w:val="28"/>
          <w:szCs w:val="28"/>
          <w:lang w:eastAsia="zh-CN"/>
        </w:rPr>
        <w:t>1)</w:t>
      </w:r>
      <w:r>
        <w:rPr>
          <w:rFonts w:ascii="宋体" w:hAnsi="宋体" w:eastAsia="宋体"/>
          <w:color w:val="auto"/>
          <w:spacing w:val="20"/>
          <w:sz w:val="28"/>
          <w:szCs w:val="28"/>
          <w:lang w:eastAsia="zh-CN"/>
        </w:rPr>
        <w:t>选取评价单元</w:t>
      </w:r>
    </w:p>
    <w:p>
      <w:pPr>
        <w:spacing w:line="560" w:lineRule="exact"/>
        <w:ind w:firstLine="454" w:firstLineChars="142"/>
        <w:rPr>
          <w:rFonts w:ascii="宋体" w:hAnsi="宋体" w:eastAsia="宋体"/>
          <w:color w:val="auto"/>
          <w:spacing w:val="20"/>
          <w:sz w:val="28"/>
          <w:szCs w:val="28"/>
          <w:lang w:eastAsia="zh-CN"/>
        </w:rPr>
      </w:pPr>
      <w:r>
        <w:rPr>
          <w:rFonts w:hint="eastAsia" w:ascii="宋体" w:hAnsi="宋体" w:eastAsia="宋体"/>
          <w:color w:val="auto"/>
          <w:spacing w:val="20"/>
          <w:sz w:val="28"/>
          <w:szCs w:val="28"/>
          <w:lang w:eastAsia="zh-CN"/>
        </w:rPr>
        <w:t>2)</w:t>
      </w:r>
      <w:r>
        <w:rPr>
          <w:rFonts w:ascii="宋体" w:hAnsi="宋体" w:eastAsia="宋体"/>
          <w:color w:val="auto"/>
          <w:spacing w:val="20"/>
          <w:sz w:val="28"/>
          <w:szCs w:val="28"/>
          <w:lang w:eastAsia="zh-CN"/>
        </w:rPr>
        <w:t>确定单元物质系数(MF)</w:t>
      </w:r>
    </w:p>
    <w:p>
      <w:pPr>
        <w:spacing w:line="560" w:lineRule="exact"/>
        <w:ind w:firstLine="454" w:firstLineChars="142"/>
        <w:rPr>
          <w:rFonts w:ascii="宋体" w:hAnsi="宋体" w:eastAsia="宋体"/>
          <w:color w:val="auto"/>
          <w:spacing w:val="20"/>
          <w:sz w:val="28"/>
          <w:szCs w:val="28"/>
          <w:lang w:eastAsia="zh-CN"/>
        </w:rPr>
      </w:pPr>
      <w:r>
        <w:rPr>
          <w:rFonts w:hint="eastAsia" w:ascii="宋体" w:hAnsi="宋体" w:eastAsia="宋体"/>
          <w:color w:val="auto"/>
          <w:spacing w:val="20"/>
          <w:sz w:val="28"/>
          <w:szCs w:val="28"/>
          <w:lang w:eastAsia="zh-CN"/>
        </w:rPr>
        <w:t>3)</w:t>
      </w:r>
      <w:r>
        <w:rPr>
          <w:rFonts w:ascii="宋体" w:hAnsi="宋体" w:eastAsia="宋体"/>
          <w:color w:val="auto"/>
          <w:spacing w:val="20"/>
          <w:sz w:val="28"/>
          <w:szCs w:val="28"/>
          <w:lang w:eastAsia="zh-CN"/>
        </w:rPr>
        <w:t>计算一般工艺危险系数(F</w:t>
      </w:r>
      <w:r>
        <w:rPr>
          <w:rFonts w:hint="eastAsia" w:ascii="宋体" w:hAnsi="宋体" w:eastAsia="宋体"/>
          <w:color w:val="auto"/>
          <w:spacing w:val="20"/>
          <w:sz w:val="28"/>
          <w:szCs w:val="28"/>
          <w:vertAlign w:val="subscript"/>
          <w:lang w:eastAsia="zh-CN"/>
        </w:rPr>
        <w:t>1</w:t>
      </w:r>
      <w:r>
        <w:rPr>
          <w:rFonts w:hint="eastAsia" w:ascii="宋体" w:hAnsi="宋体" w:eastAsia="宋体"/>
          <w:color w:val="auto"/>
          <w:spacing w:val="20"/>
          <w:sz w:val="28"/>
          <w:szCs w:val="28"/>
          <w:lang w:eastAsia="zh-CN"/>
        </w:rPr>
        <w:t>)</w:t>
      </w:r>
    </w:p>
    <w:p>
      <w:pPr>
        <w:spacing w:line="560" w:lineRule="exact"/>
        <w:ind w:firstLine="454" w:firstLineChars="142"/>
        <w:rPr>
          <w:rFonts w:ascii="宋体" w:hAnsi="宋体" w:eastAsia="宋体"/>
          <w:color w:val="auto"/>
          <w:spacing w:val="20"/>
          <w:sz w:val="28"/>
          <w:szCs w:val="28"/>
          <w:lang w:eastAsia="zh-CN"/>
        </w:rPr>
      </w:pPr>
      <w:r>
        <w:rPr>
          <w:rFonts w:hint="eastAsia" w:ascii="宋体" w:hAnsi="宋体" w:eastAsia="宋体"/>
          <w:color w:val="auto"/>
          <w:spacing w:val="20"/>
          <w:sz w:val="28"/>
          <w:szCs w:val="28"/>
          <w:lang w:eastAsia="zh-CN"/>
        </w:rPr>
        <w:t>4)</w:t>
      </w:r>
      <w:r>
        <w:rPr>
          <w:rFonts w:ascii="宋体" w:hAnsi="宋体" w:eastAsia="宋体"/>
          <w:color w:val="auto"/>
          <w:spacing w:val="20"/>
          <w:sz w:val="28"/>
          <w:szCs w:val="28"/>
          <w:lang w:eastAsia="zh-CN"/>
        </w:rPr>
        <w:t>计算特殊工艺危险系数(F</w:t>
      </w:r>
      <w:r>
        <w:rPr>
          <w:rFonts w:ascii="宋体" w:hAnsi="宋体" w:eastAsia="宋体"/>
          <w:color w:val="auto"/>
          <w:spacing w:val="20"/>
          <w:sz w:val="28"/>
          <w:szCs w:val="28"/>
          <w:vertAlign w:val="subscript"/>
          <w:lang w:eastAsia="zh-CN"/>
        </w:rPr>
        <w:t>2</w:t>
      </w:r>
      <w:r>
        <w:rPr>
          <w:rFonts w:ascii="宋体" w:hAnsi="宋体" w:eastAsia="宋体"/>
          <w:color w:val="auto"/>
          <w:spacing w:val="20"/>
          <w:sz w:val="28"/>
          <w:szCs w:val="28"/>
          <w:lang w:eastAsia="zh-CN"/>
        </w:rPr>
        <w:t>)</w:t>
      </w:r>
    </w:p>
    <w:p>
      <w:pPr>
        <w:spacing w:line="560" w:lineRule="exact"/>
        <w:ind w:firstLine="454" w:firstLineChars="142"/>
        <w:rPr>
          <w:rFonts w:ascii="宋体" w:hAnsi="宋体" w:eastAsia="宋体"/>
          <w:color w:val="auto"/>
          <w:spacing w:val="20"/>
          <w:sz w:val="28"/>
          <w:szCs w:val="28"/>
          <w:lang w:eastAsia="zh-CN"/>
        </w:rPr>
      </w:pPr>
      <w:r>
        <w:rPr>
          <w:rFonts w:hint="eastAsia" w:ascii="宋体" w:hAnsi="宋体" w:eastAsia="宋体"/>
          <w:color w:val="auto"/>
          <w:spacing w:val="20"/>
          <w:sz w:val="28"/>
          <w:szCs w:val="28"/>
          <w:lang w:eastAsia="zh-CN"/>
        </w:rPr>
        <w:t>5)</w:t>
      </w:r>
      <w:r>
        <w:rPr>
          <w:rFonts w:ascii="宋体" w:hAnsi="宋体" w:eastAsia="宋体"/>
          <w:color w:val="auto"/>
          <w:spacing w:val="20"/>
          <w:sz w:val="28"/>
          <w:szCs w:val="28"/>
          <w:lang w:eastAsia="zh-CN"/>
        </w:rPr>
        <w:t>求取工艺单元危险系数(F</w:t>
      </w:r>
      <w:r>
        <w:rPr>
          <w:rFonts w:ascii="宋体" w:hAnsi="宋体" w:eastAsia="宋体"/>
          <w:color w:val="auto"/>
          <w:spacing w:val="20"/>
          <w:sz w:val="28"/>
          <w:szCs w:val="28"/>
          <w:vertAlign w:val="subscript"/>
          <w:lang w:eastAsia="zh-CN"/>
        </w:rPr>
        <w:t>3</w:t>
      </w:r>
      <w:r>
        <w:rPr>
          <w:rFonts w:ascii="宋体" w:hAnsi="宋体" w:eastAsia="宋体"/>
          <w:color w:val="auto"/>
          <w:spacing w:val="20"/>
          <w:sz w:val="28"/>
          <w:szCs w:val="28"/>
          <w:lang w:eastAsia="zh-CN"/>
        </w:rPr>
        <w:t>)</w:t>
      </w:r>
    </w:p>
    <w:p>
      <w:pPr>
        <w:spacing w:line="560" w:lineRule="exact"/>
        <w:ind w:firstLine="454" w:firstLineChars="142"/>
        <w:rPr>
          <w:rFonts w:ascii="宋体" w:hAnsi="宋体" w:eastAsia="宋体"/>
          <w:color w:val="auto"/>
          <w:spacing w:val="20"/>
          <w:sz w:val="28"/>
          <w:szCs w:val="28"/>
          <w:lang w:eastAsia="zh-CN"/>
        </w:rPr>
      </w:pPr>
      <w:r>
        <w:rPr>
          <w:rFonts w:hint="eastAsia" w:ascii="宋体" w:hAnsi="宋体" w:eastAsia="宋体"/>
          <w:color w:val="auto"/>
          <w:spacing w:val="20"/>
          <w:sz w:val="28"/>
          <w:szCs w:val="28"/>
          <w:lang w:eastAsia="zh-CN"/>
        </w:rPr>
        <w:t>6)</w:t>
      </w:r>
      <w:r>
        <w:rPr>
          <w:rFonts w:ascii="宋体" w:hAnsi="宋体" w:eastAsia="宋体"/>
          <w:color w:val="auto"/>
          <w:spacing w:val="20"/>
          <w:sz w:val="28"/>
          <w:szCs w:val="28"/>
          <w:lang w:eastAsia="zh-CN"/>
        </w:rPr>
        <w:t>确定火灾、爆炸指数(F&amp;EI)</w:t>
      </w:r>
    </w:p>
    <w:p>
      <w:pPr>
        <w:spacing w:line="560" w:lineRule="exact"/>
        <w:ind w:firstLine="454" w:firstLineChars="142"/>
        <w:rPr>
          <w:rFonts w:ascii="宋体" w:hAnsi="宋体" w:eastAsia="宋体"/>
          <w:color w:val="auto"/>
          <w:spacing w:val="20"/>
          <w:sz w:val="28"/>
          <w:szCs w:val="28"/>
          <w:lang w:eastAsia="zh-CN"/>
        </w:rPr>
      </w:pPr>
      <w:r>
        <w:rPr>
          <w:rFonts w:hint="eastAsia" w:ascii="宋体" w:hAnsi="宋体" w:eastAsia="宋体"/>
          <w:color w:val="auto"/>
          <w:spacing w:val="20"/>
          <w:sz w:val="28"/>
          <w:szCs w:val="28"/>
          <w:lang w:eastAsia="zh-CN"/>
        </w:rPr>
        <w:t>7)</w:t>
      </w:r>
      <w:r>
        <w:rPr>
          <w:rFonts w:ascii="宋体" w:hAnsi="宋体" w:eastAsia="宋体"/>
          <w:color w:val="auto"/>
          <w:spacing w:val="20"/>
          <w:sz w:val="28"/>
          <w:szCs w:val="28"/>
          <w:lang w:eastAsia="zh-CN"/>
        </w:rPr>
        <w:t>计算安全措施补偿系数C</w:t>
      </w:r>
    </w:p>
    <w:p>
      <w:pPr>
        <w:spacing w:line="560" w:lineRule="exact"/>
        <w:ind w:firstLine="454" w:firstLineChars="142"/>
        <w:rPr>
          <w:rFonts w:ascii="宋体" w:hAnsi="宋体" w:eastAsia="宋体"/>
          <w:color w:val="auto"/>
          <w:spacing w:val="20"/>
          <w:sz w:val="28"/>
          <w:szCs w:val="28"/>
          <w:lang w:eastAsia="zh-CN"/>
        </w:rPr>
      </w:pPr>
      <w:r>
        <w:rPr>
          <w:rFonts w:hint="eastAsia" w:ascii="宋体" w:hAnsi="宋体" w:eastAsia="宋体"/>
          <w:color w:val="auto"/>
          <w:spacing w:val="20"/>
          <w:sz w:val="28"/>
          <w:szCs w:val="28"/>
          <w:lang w:eastAsia="zh-CN"/>
        </w:rPr>
        <w:t>8)</w:t>
      </w:r>
      <w:r>
        <w:rPr>
          <w:rFonts w:ascii="宋体" w:hAnsi="宋体" w:eastAsia="宋体"/>
          <w:color w:val="auto"/>
          <w:spacing w:val="20"/>
          <w:sz w:val="28"/>
          <w:szCs w:val="28"/>
          <w:lang w:eastAsia="zh-CN"/>
        </w:rPr>
        <w:t>确定暴露面积(A)</w:t>
      </w:r>
    </w:p>
    <w:p>
      <w:pPr>
        <w:spacing w:line="560" w:lineRule="exact"/>
        <w:ind w:firstLine="454" w:firstLineChars="142"/>
        <w:rPr>
          <w:rFonts w:ascii="宋体" w:hAnsi="宋体" w:eastAsia="宋体"/>
          <w:color w:val="auto"/>
          <w:spacing w:val="20"/>
          <w:sz w:val="28"/>
          <w:szCs w:val="28"/>
          <w:lang w:eastAsia="zh-CN"/>
        </w:rPr>
      </w:pPr>
      <w:r>
        <w:rPr>
          <w:rFonts w:hint="eastAsia" w:ascii="宋体" w:hAnsi="宋体" w:eastAsia="宋体"/>
          <w:color w:val="auto"/>
          <w:spacing w:val="20"/>
          <w:sz w:val="28"/>
          <w:szCs w:val="28"/>
          <w:lang w:eastAsia="zh-CN"/>
        </w:rPr>
        <w:t>9)</w:t>
      </w:r>
      <w:r>
        <w:rPr>
          <w:rFonts w:ascii="宋体" w:hAnsi="宋体" w:eastAsia="宋体"/>
          <w:color w:val="auto"/>
          <w:spacing w:val="20"/>
          <w:sz w:val="28"/>
          <w:szCs w:val="28"/>
          <w:lang w:eastAsia="zh-CN"/>
        </w:rPr>
        <w:t>确定危害系数(Y)</w:t>
      </w:r>
    </w:p>
    <w:p>
      <w:pPr>
        <w:spacing w:line="560" w:lineRule="exact"/>
        <w:ind w:firstLine="454" w:firstLineChars="142"/>
        <w:rPr>
          <w:rFonts w:ascii="宋体" w:hAnsi="宋体" w:eastAsia="宋体"/>
          <w:color w:val="auto"/>
          <w:spacing w:val="20"/>
          <w:sz w:val="28"/>
          <w:szCs w:val="28"/>
          <w:lang w:eastAsia="zh-CN"/>
        </w:rPr>
      </w:pPr>
      <w:r>
        <w:rPr>
          <w:rFonts w:hint="eastAsia" w:ascii="宋体" w:hAnsi="宋体" w:eastAsia="宋体"/>
          <w:color w:val="auto"/>
          <w:spacing w:val="20"/>
          <w:sz w:val="28"/>
          <w:szCs w:val="28"/>
          <w:lang w:eastAsia="zh-CN"/>
        </w:rPr>
        <w:t>10)</w:t>
      </w:r>
      <w:r>
        <w:rPr>
          <w:rFonts w:ascii="宋体" w:hAnsi="宋体" w:eastAsia="宋体"/>
          <w:color w:val="auto"/>
          <w:spacing w:val="20"/>
          <w:sz w:val="28"/>
          <w:szCs w:val="28"/>
          <w:lang w:eastAsia="zh-CN"/>
        </w:rPr>
        <w:t>确定基本最大可能财产损失(基本MPPD)</w:t>
      </w:r>
    </w:p>
    <w:p>
      <w:pPr>
        <w:spacing w:line="560" w:lineRule="exact"/>
        <w:ind w:firstLine="454" w:firstLineChars="142"/>
        <w:rPr>
          <w:rFonts w:ascii="宋体" w:hAnsi="宋体" w:eastAsia="宋体"/>
          <w:color w:val="auto"/>
          <w:spacing w:val="20"/>
          <w:sz w:val="28"/>
          <w:szCs w:val="28"/>
        </w:rPr>
      </w:pPr>
      <w:r>
        <w:rPr>
          <w:rFonts w:hint="eastAsia" w:ascii="宋体" w:hAnsi="宋体" w:eastAsia="宋体"/>
          <w:color w:val="auto"/>
          <w:spacing w:val="20"/>
          <w:sz w:val="28"/>
          <w:szCs w:val="28"/>
          <w:lang w:eastAsia="zh-CN"/>
        </w:rPr>
        <w:t>11)</w:t>
      </w:r>
      <w:r>
        <w:rPr>
          <w:rFonts w:ascii="宋体" w:hAnsi="宋体" w:eastAsia="宋体"/>
          <w:color w:val="auto"/>
          <w:spacing w:val="20"/>
          <w:sz w:val="28"/>
          <w:szCs w:val="28"/>
          <w:lang w:eastAsia="zh-CN"/>
        </w:rPr>
        <w:t>确定实际最大可能财产损失(实际MPPD)</w:t>
      </w:r>
    </w:p>
    <w:p>
      <w:pPr>
        <w:rPr>
          <w:rFonts w:ascii="宋体" w:hAnsi="宋体" w:eastAsia="宋体"/>
          <w:color w:val="auto"/>
          <w:spacing w:val="20"/>
          <w:sz w:val="21"/>
          <w:szCs w:val="21"/>
          <w:lang w:eastAsia="zh-CN"/>
        </w:rPr>
      </w:pPr>
      <w:r>
        <w:rPr>
          <w:rFonts w:ascii="宋体" w:hAnsi="宋体" w:eastAsia="宋体"/>
          <w:color w:val="auto"/>
          <w:sz w:val="21"/>
          <w:szCs w:val="21"/>
          <w:lang w:val="en-US" w:eastAsia="zh-CN" w:bidi="ar-SA"/>
        </w:rPr>
        <w:pict>
          <v:group id="Group 1174" o:spid="_x0000_s1300" o:spt="203" style="height:537.4pt;width:426.75pt;" coordorigin="1693,1574" coordsize="9015,109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">
            <o:lock v:ext="edit"/>
            <v:rect id="Rectangle 1175" o:spid="_x0000_s1301" o:spt="1" style="position:absolute;left:5158;top:1574;height:468;width:2100;"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">
              <v:path/>
              <v:fill focussize="0,0"/>
              <v:stroke/>
              <v:imagedata o:title=""/>
              <o:lock v:ext="edit"/>
              <v:textbox>
                <w:txbxContent>
                  <w:p>
                    <w:pPr>
                      <w:jc w:val="center"/>
                      <w:rPr>
                        <w:rFonts w:ascii="宋体" w:hAnsi="宋体" w:eastAsia="宋体"/>
                        <w:sz w:val="21"/>
                        <w:szCs w:val="21"/>
                      </w:rPr>
                    </w:pPr>
                    <w:r>
                      <w:rPr>
                        <w:rFonts w:hint="eastAsia" w:ascii="宋体" w:hAnsi="宋体" w:eastAsia="宋体"/>
                        <w:sz w:val="21"/>
                        <w:szCs w:val="21"/>
                      </w:rPr>
                      <w:t>选取工艺单元</w:t>
                    </w:r>
                  </w:p>
                  <w:p>
                    <w:pPr>
                      <w:rPr>
                        <w:rFonts w:ascii="宋体" w:hAnsi="宋体" w:eastAsia="宋体"/>
                        <w:sz w:val="21"/>
                        <w:szCs w:val="21"/>
                      </w:rPr>
                    </w:pPr>
                  </w:p>
                </w:txbxContent>
              </v:textbox>
            </v:rect>
            <v:rect id="Rectangle 1176" o:spid="_x0000_s1302" o:spt="1" style="position:absolute;left:4843;top:2510;height:468;width:2835;"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">
              <v:path/>
              <v:fill focussize="0,0"/>
              <v:stroke/>
              <v:imagedata o:title=""/>
              <o:lock v:ext="edit"/>
              <v:textbox>
                <w:txbxContent>
                  <w:p>
                    <w:pPr>
                      <w:jc w:val="center"/>
                      <w:rPr>
                        <w:rFonts w:ascii="宋体" w:hAnsi="宋体" w:eastAsia="宋体"/>
                        <w:sz w:val="21"/>
                        <w:szCs w:val="21"/>
                      </w:rPr>
                    </w:pPr>
                    <w:r>
                      <w:rPr>
                        <w:rFonts w:hint="eastAsia" w:ascii="宋体" w:hAnsi="宋体" w:eastAsia="宋体"/>
                        <w:sz w:val="21"/>
                        <w:szCs w:val="21"/>
                      </w:rPr>
                      <w:t>确定物质系数（</w:t>
                    </w:r>
                    <w:r>
                      <w:rPr>
                        <w:rFonts w:ascii="宋体" w:hAnsi="宋体" w:eastAsia="宋体"/>
                        <w:sz w:val="21"/>
                        <w:szCs w:val="21"/>
                      </w:rPr>
                      <w:t>MF</w:t>
                    </w:r>
                    <w:r>
                      <w:rPr>
                        <w:rFonts w:hint="eastAsia" w:ascii="宋体" w:hAnsi="宋体" w:eastAsia="宋体"/>
                        <w:sz w:val="21"/>
                        <w:szCs w:val="21"/>
                      </w:rPr>
                      <w:t>）</w:t>
                    </w:r>
                  </w:p>
                  <w:p>
                    <w:pPr>
                      <w:rPr>
                        <w:rFonts w:ascii="宋体" w:hAnsi="宋体" w:eastAsia="宋体"/>
                        <w:sz w:val="21"/>
                        <w:szCs w:val="21"/>
                      </w:rPr>
                    </w:pPr>
                  </w:p>
                </w:txbxContent>
              </v:textbox>
            </v:rect>
            <v:rect id="Rectangle 1177" o:spid="_x0000_s1303" o:spt="1" style="position:absolute;left:2428;top:4226;height:780;width:1980;"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">
              <v:path/>
              <v:fill focussize="0,0"/>
              <v:stroke/>
              <v:imagedata o:title=""/>
              <o:lock v:ext="edit"/>
              <v:textbox>
                <w:txbxContent>
                  <w:p>
                    <w:pPr>
                      <w:spacing w:line="0" w:lineRule="atLeast"/>
                      <w:jc w:val="center"/>
                      <w:rPr>
                        <w:rFonts w:ascii="宋体" w:hAnsi="宋体" w:eastAsia="宋体"/>
                        <w:sz w:val="21"/>
                        <w:szCs w:val="21"/>
                      </w:rPr>
                    </w:pPr>
                    <w:r>
                      <w:rPr>
                        <w:rFonts w:hint="eastAsia" w:ascii="宋体" w:hAnsi="宋体" w:eastAsia="宋体"/>
                        <w:sz w:val="21"/>
                        <w:szCs w:val="21"/>
                      </w:rPr>
                      <w:t>计算一般工艺</w:t>
                    </w:r>
                  </w:p>
                  <w:p>
                    <w:pPr>
                      <w:spacing w:line="0" w:lineRule="atLeast"/>
                      <w:jc w:val="center"/>
                      <w:rPr>
                        <w:rFonts w:ascii="宋体" w:hAnsi="宋体" w:eastAsia="宋体"/>
                        <w:sz w:val="21"/>
                        <w:szCs w:val="21"/>
                      </w:rPr>
                    </w:pPr>
                    <w:r>
                      <w:rPr>
                        <w:rFonts w:hint="eastAsia" w:ascii="宋体" w:hAnsi="宋体" w:eastAsia="宋体"/>
                        <w:sz w:val="21"/>
                        <w:szCs w:val="21"/>
                      </w:rPr>
                      <w:t>危险系数（</w:t>
                    </w:r>
                    <w:r>
                      <w:rPr>
                        <w:rFonts w:ascii="宋体" w:hAnsi="宋体" w:eastAsia="宋体"/>
                        <w:sz w:val="21"/>
                        <w:szCs w:val="21"/>
                      </w:rPr>
                      <w:t>F</w:t>
                    </w:r>
                    <w:r>
                      <w:rPr>
                        <w:rFonts w:ascii="宋体" w:hAnsi="宋体" w:eastAsia="宋体"/>
                        <w:sz w:val="21"/>
                        <w:szCs w:val="21"/>
                        <w:vertAlign w:val="subscript"/>
                      </w:rPr>
                      <w:t>1</w:t>
                    </w:r>
                    <w:r>
                      <w:rPr>
                        <w:rFonts w:hint="eastAsia" w:ascii="宋体" w:hAnsi="宋体" w:eastAsia="宋体"/>
                        <w:sz w:val="21"/>
                        <w:szCs w:val="21"/>
                      </w:rPr>
                      <w:t>）</w:t>
                    </w:r>
                  </w:p>
                  <w:p>
                    <w:pPr>
                      <w:rPr>
                        <w:rFonts w:ascii="宋体" w:hAnsi="宋体" w:eastAsia="宋体"/>
                        <w:sz w:val="21"/>
                        <w:szCs w:val="21"/>
                      </w:rPr>
                    </w:pPr>
                  </w:p>
                </w:txbxContent>
              </v:textbox>
            </v:rect>
            <v:rect id="Rectangle 1178" o:spid="_x0000_s1304" o:spt="1" style="position:absolute;left:7783;top:4226;height:780;width:1939;"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">
              <v:path/>
              <v:fill focussize="0,0"/>
              <v:stroke/>
              <v:imagedata o:title=""/>
              <o:lock v:ext="edit"/>
              <v:textbox>
                <w:txbxContent>
                  <w:p>
                    <w:pPr>
                      <w:spacing w:line="0" w:lineRule="atLeast"/>
                      <w:jc w:val="center"/>
                      <w:rPr>
                        <w:rFonts w:ascii="宋体" w:hAnsi="宋体" w:eastAsia="宋体"/>
                        <w:sz w:val="21"/>
                        <w:szCs w:val="21"/>
                      </w:rPr>
                    </w:pPr>
                    <w:r>
                      <w:rPr>
                        <w:rFonts w:hint="eastAsia" w:ascii="宋体" w:hAnsi="宋体" w:eastAsia="宋体"/>
                        <w:sz w:val="21"/>
                        <w:szCs w:val="21"/>
                      </w:rPr>
                      <w:t>计算特殊工艺</w:t>
                    </w:r>
                  </w:p>
                  <w:p>
                    <w:pPr>
                      <w:spacing w:line="0" w:lineRule="atLeast"/>
                      <w:jc w:val="center"/>
                      <w:rPr>
                        <w:rFonts w:ascii="宋体" w:hAnsi="宋体" w:eastAsia="宋体"/>
                        <w:sz w:val="21"/>
                        <w:szCs w:val="21"/>
                      </w:rPr>
                    </w:pPr>
                    <w:r>
                      <w:rPr>
                        <w:rFonts w:hint="eastAsia" w:ascii="宋体" w:hAnsi="宋体" w:eastAsia="宋体"/>
                        <w:sz w:val="21"/>
                        <w:szCs w:val="21"/>
                      </w:rPr>
                      <w:t>危险系数（</w:t>
                    </w:r>
                    <w:r>
                      <w:rPr>
                        <w:rFonts w:ascii="宋体" w:hAnsi="宋体" w:eastAsia="宋体"/>
                        <w:sz w:val="21"/>
                        <w:szCs w:val="21"/>
                      </w:rPr>
                      <w:t>F</w:t>
                    </w:r>
                    <w:r>
                      <w:rPr>
                        <w:rFonts w:ascii="宋体" w:hAnsi="宋体" w:eastAsia="宋体"/>
                        <w:sz w:val="21"/>
                        <w:szCs w:val="21"/>
                        <w:vertAlign w:val="subscript"/>
                      </w:rPr>
                      <w:t>2</w:t>
                    </w:r>
                    <w:r>
                      <w:rPr>
                        <w:rFonts w:hint="eastAsia" w:ascii="宋体" w:hAnsi="宋体" w:eastAsia="宋体"/>
                        <w:sz w:val="21"/>
                        <w:szCs w:val="21"/>
                      </w:rPr>
                      <w:t>）</w:t>
                    </w:r>
                  </w:p>
                  <w:p>
                    <w:pPr>
                      <w:rPr>
                        <w:rFonts w:ascii="宋体" w:hAnsi="宋体" w:eastAsia="宋体"/>
                        <w:sz w:val="21"/>
                        <w:szCs w:val="21"/>
                      </w:rPr>
                    </w:pPr>
                  </w:p>
                </w:txbxContent>
              </v:textbox>
            </v:rect>
            <v:rect id="Rectangle 1179" o:spid="_x0000_s1305" o:spt="1" style="position:absolute;left:4108;top:6098;height:468;width:4200;"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">
              <v:path/>
              <v:fill focussize="0,0"/>
              <v:stroke/>
              <v:imagedata o:title=""/>
              <o:lock v:ext="edit"/>
              <v:textbox>
                <w:txbxContent>
                  <w:p>
                    <w:pPr>
                      <w:jc w:val="center"/>
                      <w:rPr>
                        <w:rFonts w:ascii="宋体" w:hAnsi="宋体" w:eastAsia="宋体"/>
                        <w:sz w:val="21"/>
                        <w:szCs w:val="21"/>
                      </w:rPr>
                    </w:pPr>
                    <w:r>
                      <w:rPr>
                        <w:rFonts w:hint="eastAsia" w:ascii="宋体" w:hAnsi="宋体" w:eastAsia="宋体"/>
                        <w:sz w:val="21"/>
                        <w:szCs w:val="21"/>
                      </w:rPr>
                      <w:t>确定工艺单元危险系数（</w:t>
                    </w:r>
                    <w:r>
                      <w:rPr>
                        <w:rFonts w:ascii="宋体" w:hAnsi="宋体" w:eastAsia="宋体"/>
                        <w:sz w:val="21"/>
                        <w:szCs w:val="21"/>
                      </w:rPr>
                      <w:t>F</w:t>
                    </w:r>
                    <w:r>
                      <w:rPr>
                        <w:rFonts w:ascii="宋体" w:hAnsi="宋体" w:eastAsia="宋体"/>
                        <w:sz w:val="21"/>
                        <w:szCs w:val="21"/>
                        <w:vertAlign w:val="subscript"/>
                      </w:rPr>
                      <w:t>3</w:t>
                    </w:r>
                    <w:r>
                      <w:rPr>
                        <w:rFonts w:ascii="宋体" w:hAnsi="宋体" w:eastAsia="宋体"/>
                        <w:sz w:val="21"/>
                        <w:szCs w:val="21"/>
                      </w:rPr>
                      <w:t>= F</w:t>
                    </w:r>
                    <w:r>
                      <w:rPr>
                        <w:rFonts w:ascii="宋体" w:hAnsi="宋体" w:eastAsia="宋体"/>
                        <w:sz w:val="21"/>
                        <w:szCs w:val="21"/>
                        <w:vertAlign w:val="subscript"/>
                      </w:rPr>
                      <w:t>1</w:t>
                    </w:r>
                    <w:r>
                      <w:rPr>
                        <w:rFonts w:ascii="宋体" w:hAnsi="宋体" w:eastAsia="宋体"/>
                        <w:sz w:val="21"/>
                        <w:szCs w:val="21"/>
                      </w:rPr>
                      <w:t>×F</w:t>
                    </w:r>
                    <w:r>
                      <w:rPr>
                        <w:rFonts w:ascii="宋体" w:hAnsi="宋体" w:eastAsia="宋体"/>
                        <w:sz w:val="21"/>
                        <w:szCs w:val="21"/>
                        <w:vertAlign w:val="subscript"/>
                      </w:rPr>
                      <w:t>2</w:t>
                    </w:r>
                    <w:r>
                      <w:rPr>
                        <w:rFonts w:hint="eastAsia" w:ascii="宋体" w:hAnsi="宋体" w:eastAsia="宋体"/>
                        <w:sz w:val="21"/>
                        <w:szCs w:val="21"/>
                      </w:rPr>
                      <w:t>）</w:t>
                    </w:r>
                  </w:p>
                  <w:p>
                    <w:pPr>
                      <w:rPr>
                        <w:rFonts w:ascii="宋体" w:hAnsi="宋体" w:eastAsia="宋体"/>
                        <w:sz w:val="21"/>
                        <w:szCs w:val="21"/>
                      </w:rPr>
                    </w:pPr>
                  </w:p>
                </w:txbxContent>
              </v:textbox>
            </v:rect>
            <v:rect id="Rectangle 1180" o:spid="_x0000_s1306" o:spt="1" style="position:absolute;left:1693;top:7034;height:780;width:2415;"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">
              <v:path/>
              <v:fill focussize="0,0"/>
              <v:stroke/>
              <v:imagedata o:title=""/>
              <o:lock v:ext="edit"/>
              <v:textbox>
                <w:txbxContent>
                  <w:p>
                    <w:pPr>
                      <w:spacing w:line="0" w:lineRule="atLeast"/>
                      <w:jc w:val="center"/>
                      <w:rPr>
                        <w:rFonts w:ascii="宋体" w:hAnsi="宋体" w:eastAsia="宋体"/>
                        <w:sz w:val="21"/>
                        <w:szCs w:val="21"/>
                      </w:rPr>
                    </w:pPr>
                    <w:r>
                      <w:rPr>
                        <w:rFonts w:hint="eastAsia" w:ascii="宋体" w:hAnsi="宋体" w:eastAsia="宋体"/>
                        <w:sz w:val="21"/>
                        <w:szCs w:val="21"/>
                      </w:rPr>
                      <w:t>计算安全措施补偿系数（</w:t>
                    </w:r>
                    <w:r>
                      <w:rPr>
                        <w:rFonts w:ascii="宋体" w:hAnsi="宋体" w:eastAsia="宋体"/>
                        <w:sz w:val="21"/>
                        <w:szCs w:val="21"/>
                      </w:rPr>
                      <w:t>C=C</w:t>
                    </w:r>
                    <w:r>
                      <w:rPr>
                        <w:rFonts w:ascii="宋体" w:hAnsi="宋体" w:eastAsia="宋体"/>
                        <w:sz w:val="21"/>
                        <w:szCs w:val="21"/>
                        <w:vertAlign w:val="subscript"/>
                      </w:rPr>
                      <w:t>1</w:t>
                    </w:r>
                    <w:r>
                      <w:rPr>
                        <w:rFonts w:ascii="宋体" w:hAnsi="宋体" w:eastAsia="宋体"/>
                        <w:sz w:val="21"/>
                        <w:szCs w:val="21"/>
                      </w:rPr>
                      <w:t>× C</w:t>
                    </w:r>
                    <w:r>
                      <w:rPr>
                        <w:rFonts w:ascii="宋体" w:hAnsi="宋体" w:eastAsia="宋体"/>
                        <w:sz w:val="21"/>
                        <w:szCs w:val="21"/>
                        <w:vertAlign w:val="subscript"/>
                      </w:rPr>
                      <w:t>2</w:t>
                    </w:r>
                    <w:r>
                      <w:rPr>
                        <w:rFonts w:ascii="宋体" w:hAnsi="宋体" w:eastAsia="宋体"/>
                        <w:sz w:val="21"/>
                        <w:szCs w:val="21"/>
                      </w:rPr>
                      <w:t>× C</w:t>
                    </w:r>
                    <w:r>
                      <w:rPr>
                        <w:rFonts w:ascii="宋体" w:hAnsi="宋体" w:eastAsia="宋体"/>
                        <w:sz w:val="21"/>
                        <w:szCs w:val="21"/>
                        <w:vertAlign w:val="subscript"/>
                      </w:rPr>
                      <w:t>3</w:t>
                    </w:r>
                    <w:r>
                      <w:rPr>
                        <w:rFonts w:hint="eastAsia" w:ascii="宋体" w:hAnsi="宋体" w:eastAsia="宋体"/>
                        <w:sz w:val="21"/>
                        <w:szCs w:val="21"/>
                      </w:rPr>
                      <w:t>）</w:t>
                    </w:r>
                  </w:p>
                  <w:p>
                    <w:pPr>
                      <w:rPr>
                        <w:rFonts w:ascii="宋体" w:hAnsi="宋体" w:eastAsia="宋体"/>
                        <w:sz w:val="21"/>
                        <w:szCs w:val="21"/>
                      </w:rPr>
                    </w:pPr>
                  </w:p>
                </w:txbxContent>
              </v:textbox>
            </v:rect>
            <v:rect id="Rectangle 1181" o:spid="_x0000_s1307" o:spt="1" style="position:absolute;left:4948;top:7034;height:780;width:2520;"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">
              <v:path/>
              <v:fill focussize="0,0"/>
              <v:stroke/>
              <v:imagedata o:title=""/>
              <o:lock v:ext="edit"/>
              <v:textbox>
                <w:txbxContent>
                  <w:p>
                    <w:pPr>
                      <w:spacing w:line="0" w:lineRule="atLeast"/>
                      <w:jc w:val="center"/>
                      <w:rPr>
                        <w:rFonts w:ascii="宋体" w:hAnsi="宋体" w:eastAsia="宋体"/>
                        <w:sz w:val="21"/>
                        <w:szCs w:val="21"/>
                      </w:rPr>
                    </w:pPr>
                    <w:r>
                      <w:rPr>
                        <w:rFonts w:hint="eastAsia" w:ascii="宋体" w:hAnsi="宋体" w:eastAsia="宋体"/>
                        <w:sz w:val="21"/>
                        <w:szCs w:val="21"/>
                      </w:rPr>
                      <w:t>确定火灾、爆炸指数</w:t>
                    </w:r>
                  </w:p>
                  <w:p>
                    <w:pPr>
                      <w:spacing w:line="0" w:lineRule="atLeast"/>
                      <w:jc w:val="center"/>
                      <w:rPr>
                        <w:rFonts w:ascii="宋体" w:hAnsi="宋体" w:eastAsia="宋体"/>
                        <w:sz w:val="21"/>
                        <w:szCs w:val="21"/>
                      </w:rPr>
                    </w:pPr>
                    <w:r>
                      <w:rPr>
                        <w:rFonts w:hint="eastAsia" w:ascii="宋体" w:hAnsi="宋体" w:eastAsia="宋体"/>
                        <w:sz w:val="21"/>
                        <w:szCs w:val="21"/>
                        <w:lang w:val="en-GB"/>
                      </w:rPr>
                      <w:t>（</w:t>
                    </w:r>
                    <w:r>
                      <w:rPr>
                        <w:rFonts w:ascii="宋体" w:hAnsi="宋体" w:eastAsia="宋体"/>
                        <w:sz w:val="21"/>
                        <w:szCs w:val="21"/>
                      </w:rPr>
                      <w:t>F&amp;EI=F</w:t>
                    </w:r>
                    <w:r>
                      <w:rPr>
                        <w:rFonts w:ascii="宋体" w:hAnsi="宋体" w:eastAsia="宋体"/>
                        <w:sz w:val="21"/>
                        <w:szCs w:val="21"/>
                        <w:vertAlign w:val="subscript"/>
                      </w:rPr>
                      <w:t>3</w:t>
                    </w:r>
                    <w:r>
                      <w:rPr>
                        <w:rFonts w:ascii="宋体" w:hAnsi="宋体" w:eastAsia="宋体"/>
                        <w:sz w:val="21"/>
                        <w:szCs w:val="21"/>
                      </w:rPr>
                      <w:t>× MF</w:t>
                    </w:r>
                    <w:r>
                      <w:rPr>
                        <w:rFonts w:hint="eastAsia" w:ascii="宋体" w:hAnsi="宋体" w:eastAsia="宋体"/>
                        <w:sz w:val="21"/>
                        <w:szCs w:val="21"/>
                        <w:lang w:val="en-GB"/>
                      </w:rPr>
                      <w:t>）</w:t>
                    </w:r>
                  </w:p>
                  <w:p>
                    <w:pPr>
                      <w:rPr>
                        <w:rFonts w:ascii="宋体" w:hAnsi="宋体" w:eastAsia="宋体"/>
                        <w:sz w:val="21"/>
                        <w:szCs w:val="21"/>
                      </w:rPr>
                    </w:pPr>
                  </w:p>
                </w:txbxContent>
              </v:textbox>
            </v:rect>
            <v:rect id="Rectangle 1182" o:spid="_x0000_s1308" o:spt="1" style="position:absolute;left:5263;top:8282;height:468;width:1890;"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">
              <v:path/>
              <v:fill focussize="0,0"/>
              <v:stroke/>
              <v:imagedata o:title=""/>
              <o:lock v:ext="edit"/>
              <v:textbox>
                <w:txbxContent>
                  <w:p>
                    <w:pPr>
                      <w:jc w:val="center"/>
                      <w:rPr>
                        <w:rFonts w:ascii="宋体" w:hAnsi="宋体" w:eastAsia="宋体"/>
                        <w:sz w:val="21"/>
                        <w:szCs w:val="21"/>
                      </w:rPr>
                    </w:pPr>
                    <w:r>
                      <w:rPr>
                        <w:rFonts w:hint="eastAsia" w:ascii="宋体" w:hAnsi="宋体" w:eastAsia="宋体"/>
                        <w:sz w:val="21"/>
                        <w:szCs w:val="21"/>
                      </w:rPr>
                      <w:t>确定暴露面积</w:t>
                    </w:r>
                  </w:p>
                  <w:p>
                    <w:pPr>
                      <w:rPr>
                        <w:rFonts w:ascii="宋体" w:hAnsi="宋体" w:eastAsia="宋体"/>
                        <w:sz w:val="21"/>
                        <w:szCs w:val="21"/>
                      </w:rPr>
                    </w:pPr>
                  </w:p>
                </w:txbxContent>
              </v:textbox>
            </v:rect>
            <v:rect id="Rectangle 1183" o:spid="_x0000_s1309" o:spt="1" style="position:absolute;left:3793;top:9218;height:468;width:4620;"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">
              <v:path/>
              <v:fill focussize="0,0"/>
              <v:stroke/>
              <v:imagedata o:title=""/>
              <o:lock v:ext="edit"/>
              <v:textbox>
                <w:txbxContent>
                  <w:p>
                    <w:pPr>
                      <w:jc w:val="center"/>
                      <w:rPr>
                        <w:rFonts w:ascii="宋体" w:hAnsi="宋体" w:eastAsia="宋体"/>
                        <w:sz w:val="21"/>
                        <w:szCs w:val="21"/>
                      </w:rPr>
                    </w:pPr>
                    <w:r>
                      <w:rPr>
                        <w:rFonts w:hint="eastAsia" w:ascii="宋体" w:hAnsi="宋体" w:eastAsia="宋体"/>
                        <w:sz w:val="21"/>
                        <w:szCs w:val="21"/>
                      </w:rPr>
                      <w:t>确定暴露区域内财产的更换价值</w:t>
                    </w:r>
                  </w:p>
                  <w:p>
                    <w:pPr>
                      <w:rPr>
                        <w:rFonts w:ascii="宋体" w:hAnsi="宋体" w:eastAsia="宋体"/>
                        <w:sz w:val="21"/>
                        <w:szCs w:val="21"/>
                      </w:rPr>
                    </w:pPr>
                  </w:p>
                </w:txbxContent>
              </v:textbox>
            </v:rect>
            <v:rect id="Rectangle 1184" o:spid="_x0000_s1310" o:spt="1" style="position:absolute;left:4948;top:10154;height:468;width:2520;"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">
              <v:path/>
              <v:fill focussize="0,0"/>
              <v:stroke/>
              <v:imagedata o:title=""/>
              <o:lock v:ext="edit"/>
              <v:textbox>
                <w:txbxContent>
                  <w:p>
                    <w:pPr>
                      <w:jc w:val="center"/>
                      <w:rPr>
                        <w:rFonts w:ascii="宋体" w:hAnsi="宋体" w:eastAsia="宋体"/>
                        <w:sz w:val="21"/>
                        <w:szCs w:val="21"/>
                      </w:rPr>
                    </w:pPr>
                    <w:r>
                      <w:rPr>
                        <w:rFonts w:hint="eastAsia" w:ascii="宋体" w:hAnsi="宋体" w:eastAsia="宋体"/>
                        <w:sz w:val="21"/>
                        <w:szCs w:val="21"/>
                      </w:rPr>
                      <w:t>确定基本</w:t>
                    </w:r>
                    <w:r>
                      <w:rPr>
                        <w:rFonts w:ascii="宋体" w:hAnsi="宋体" w:eastAsia="宋体"/>
                        <w:sz w:val="21"/>
                        <w:szCs w:val="21"/>
                      </w:rPr>
                      <w:t>MPPD</w:t>
                    </w:r>
                  </w:p>
                  <w:p>
                    <w:pPr>
                      <w:rPr>
                        <w:rFonts w:ascii="宋体" w:hAnsi="宋体" w:eastAsia="宋体"/>
                        <w:sz w:val="21"/>
                        <w:szCs w:val="21"/>
                      </w:rPr>
                    </w:pPr>
                  </w:p>
                </w:txbxContent>
              </v:textbox>
            </v:rect>
            <v:rect id="Rectangle 1185" o:spid="_x0000_s1311" o:spt="1" style="position:absolute;left:4948;top:11090;height:468;width:2520;"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">
              <v:path/>
              <v:fill focussize="0,0"/>
              <v:stroke/>
              <v:imagedata o:title=""/>
              <o:lock v:ext="edit"/>
              <v:textbox>
                <w:txbxContent>
                  <w:p>
                    <w:pPr>
                      <w:jc w:val="center"/>
                      <w:rPr>
                        <w:rFonts w:ascii="宋体" w:hAnsi="宋体" w:eastAsia="宋体"/>
                        <w:sz w:val="21"/>
                        <w:szCs w:val="21"/>
                      </w:rPr>
                    </w:pPr>
                    <w:r>
                      <w:rPr>
                        <w:rFonts w:hint="eastAsia" w:ascii="宋体" w:hAnsi="宋体" w:eastAsia="宋体"/>
                        <w:sz w:val="21"/>
                        <w:szCs w:val="21"/>
                      </w:rPr>
                      <w:t>确定实际</w:t>
                    </w:r>
                    <w:r>
                      <w:rPr>
                        <w:rFonts w:ascii="宋体" w:hAnsi="宋体" w:eastAsia="宋体"/>
                        <w:sz w:val="21"/>
                        <w:szCs w:val="21"/>
                      </w:rPr>
                      <w:t>MPPD</w:t>
                    </w:r>
                  </w:p>
                  <w:p>
                    <w:pPr>
                      <w:rPr>
                        <w:rFonts w:ascii="宋体" w:hAnsi="宋体" w:eastAsia="宋体"/>
                        <w:sz w:val="21"/>
                        <w:szCs w:val="21"/>
                      </w:rPr>
                    </w:pPr>
                  </w:p>
                </w:txbxContent>
              </v:textbox>
            </v:rect>
            <v:rect id="Rectangle 1186" o:spid="_x0000_s1312" o:spt="1" style="position:absolute;left:4948;top:12026;height:468;width:2520;"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">
              <v:path/>
              <v:fill focussize="0,0"/>
              <v:stroke/>
              <v:imagedata o:title=""/>
              <o:lock v:ext="edit"/>
              <v:textbox>
                <w:txbxContent>
                  <w:p>
                    <w:pPr>
                      <w:jc w:val="center"/>
                      <w:rPr>
                        <w:rFonts w:ascii="宋体" w:hAnsi="宋体" w:eastAsia="宋体"/>
                        <w:sz w:val="21"/>
                        <w:szCs w:val="21"/>
                      </w:rPr>
                    </w:pPr>
                    <w:r>
                      <w:rPr>
                        <w:rFonts w:hint="eastAsia" w:ascii="宋体" w:hAnsi="宋体" w:eastAsia="宋体"/>
                        <w:sz w:val="21"/>
                        <w:szCs w:val="21"/>
                      </w:rPr>
                      <w:t>确定</w:t>
                    </w:r>
                    <w:r>
                      <w:rPr>
                        <w:rFonts w:ascii="宋体" w:hAnsi="宋体" w:eastAsia="宋体"/>
                        <w:sz w:val="21"/>
                        <w:szCs w:val="21"/>
                      </w:rPr>
                      <w:t>MPDO</w:t>
                    </w:r>
                  </w:p>
                  <w:p>
                    <w:pPr>
                      <w:rPr>
                        <w:rFonts w:ascii="宋体" w:hAnsi="宋体" w:eastAsia="宋体"/>
                        <w:sz w:val="21"/>
                        <w:szCs w:val="21"/>
                      </w:rPr>
                    </w:pPr>
                  </w:p>
                </w:txbxContent>
              </v:textbox>
            </v:rect>
            <v:line id="Line 1187" o:spid="_x0000_s1313" o:spt="20" style="position:absolute;left:6208;top:2042;height:468;width:0;" o:connectortype="straigh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">
              <v:path arrowok="t"/>
              <v:fill focussize="0,0"/>
              <v:stroke endarrow="block"/>
              <v:imagedata o:title=""/>
              <o:lock v:ext="edit"/>
            </v:line>
            <v:line id="Line 1188" o:spid="_x0000_s1314" o:spt="20" style="position:absolute;left:3373;top:3602;height:606;width:0;" o:connectortype="straigh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">
              <v:path arrowok="t"/>
              <v:fill focussize="0,0"/>
              <v:stroke endarrow="block"/>
              <v:imagedata o:title=""/>
              <o:lock v:ext="edit"/>
            </v:line>
            <v:line id="Line 1189" o:spid="_x0000_s1315" o:spt="20" style="position:absolute;left:8833;top:3602;height:606;width:0;" o:connectortype="straigh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">
              <v:path arrowok="t"/>
              <v:fill focussize="0,0"/>
              <v:stroke endarrow="block"/>
              <v:imagedata o:title=""/>
              <o:lock v:ext="edit"/>
            </v:line>
            <v:line id="Line 1190" o:spid="_x0000_s1316" o:spt="20" style="position:absolute;left:3373;top:3602;height:0;width:5460;" o:connectortype="straigh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">
              <v:path arrowok="t"/>
              <v:fill focussize="0,0"/>
              <v:stroke/>
              <v:imagedata o:title=""/>
              <o:lock v:ext="edit"/>
            </v:line>
            <v:line id="Line 1191" o:spid="_x0000_s1317" o:spt="20" style="position:absolute;left:6208;top:2978;height:606;width:0;" o:connectortype="straigh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">
              <v:path arrowok="t"/>
              <v:fill focussize="0,0"/>
              <v:stroke endarrow="block"/>
              <v:imagedata o:title=""/>
              <o:lock v:ext="edit"/>
            </v:line>
            <v:line id="Line 1192" o:spid="_x0000_s1318" o:spt="20" style="position:absolute;left:3373;top:5006;height:468;width:0;" o:connectortype="straigh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">
              <v:path arrowok="t"/>
              <v:fill focussize="0,0"/>
              <v:stroke/>
              <v:imagedata o:title=""/>
              <o:lock v:ext="edit"/>
            </v:line>
            <v:line id="Line 1193" o:spid="_x0000_s1319" o:spt="20" style="position:absolute;left:8833;top:5006;height:468;width:0;" o:connectortype="straigh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">
              <v:path arrowok="t"/>
              <v:fill focussize="0,0"/>
              <v:stroke/>
              <v:imagedata o:title=""/>
              <o:lock v:ext="edit"/>
            </v:line>
            <v:line id="Line 1194" o:spid="_x0000_s1320" o:spt="20" style="position:absolute;left:3373;top:5474;height:0;width:5460;" o:connectortype="straigh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">
              <v:path arrowok="t"/>
              <v:fill focussize="0,0"/>
              <v:stroke/>
              <v:imagedata o:title=""/>
              <o:lock v:ext="edit"/>
            </v:line>
            <v:line id="Line 1195" o:spid="_x0000_s1321" o:spt="20" style="position:absolute;left:6208;top:5474;height:606;width:0;" o:connectortype="straigh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">
              <v:path arrowok="t"/>
              <v:fill focussize="0,0"/>
              <v:stroke endarrow="block"/>
              <v:imagedata o:title=""/>
              <o:lock v:ext="edit"/>
            </v:line>
            <v:line id="Line 1196" o:spid="_x0000_s1322" o:spt="20" style="position:absolute;left:6208;top:6566;height:468;width:0;" o:connectortype="straigh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">
              <v:path arrowok="t"/>
              <v:fill focussize="0,0"/>
              <v:stroke endarrow="block"/>
              <v:imagedata o:title=""/>
              <o:lock v:ext="edit"/>
            </v:line>
            <v:line id="Line 1197" o:spid="_x0000_s1323" o:spt="20" style="position:absolute;left:6208;top:7814;height:468;width:0;" o:connectortype="straigh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">
              <v:path arrowok="t"/>
              <v:fill focussize="0,0"/>
              <v:stroke endarrow="block"/>
              <v:imagedata o:title=""/>
              <o:lock v:ext="edit"/>
            </v:line>
            <v:line id="Line 1198" o:spid="_x0000_s1324" o:spt="20" style="position:absolute;left:6208;top:8750;height:468;width:0;" o:connectortype="straigh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">
              <v:path arrowok="t"/>
              <v:fill focussize="0,0"/>
              <v:stroke endarrow="block"/>
              <v:imagedata o:title=""/>
              <o:lock v:ext="edit"/>
            </v:line>
            <v:line id="Line 1199" o:spid="_x0000_s1325" o:spt="20" style="position:absolute;left:6208;top:9686;height:468;width:0;" o:connectortype="straigh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">
              <v:path arrowok="t"/>
              <v:fill focussize="0,0"/>
              <v:stroke endarrow="block"/>
              <v:imagedata o:title=""/>
              <o:lock v:ext="edit"/>
            </v:line>
            <v:line id="Line 1200" o:spid="_x0000_s1326" o:spt="20" style="position:absolute;left:2848;top:11246;height:0;width:2130;" o:connectortype="straigh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">
              <v:path arrowok="t"/>
              <v:fill focussize="0,0"/>
              <v:stroke endarrow="block"/>
              <v:imagedata o:title=""/>
              <o:lock v:ext="edit"/>
            </v:line>
            <v:line id="Line 1201" o:spid="_x0000_s1327" o:spt="20" style="position:absolute;left:7468;top:10310;flip:x;height:0;width:1260;" o:connectortype="straigh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">
              <v:path arrowok="t"/>
              <v:fill focussize="0,0"/>
              <v:stroke endarrow="block"/>
              <v:imagedata o:title=""/>
              <o:lock v:ext="edit"/>
            </v:line>
            <v:line id="Line 1202" o:spid="_x0000_s1328" o:spt="20" style="position:absolute;left:6208;top:10622;height:468;width:0;" o:connectortype="straigh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">
              <v:path arrowok="t"/>
              <v:fill focussize="0,0"/>
              <v:stroke endarrow="block"/>
              <v:imagedata o:title=""/>
              <o:lock v:ext="edit"/>
            </v:line>
            <v:line id="Line 1203" o:spid="_x0000_s1329" o:spt="20" style="position:absolute;left:6208;top:11558;height:468;width:0;" o:connectortype="straigh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">
              <v:path arrowok="t"/>
              <v:fill focussize="0,0"/>
              <v:stroke endarrow="block"/>
              <v:imagedata o:title=""/>
              <o:lock v:ext="edit"/>
            </v:line>
            <v:line id="Line 1204" o:spid="_x0000_s1330" o:spt="20" style="position:absolute;left:4108;top:7346;flip:x;height:0;width:840;" o:connectortype="straigh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">
              <v:path arrowok="t"/>
              <v:fill focussize="0,0"/>
              <v:stroke endarrow="block"/>
              <v:imagedata o:title=""/>
              <o:lock v:ext="edit"/>
            </v:line>
            <v:line id="Line 1205" o:spid="_x0000_s1331" o:spt="20" style="position:absolute;left:7468;top:12182;height:0;width:1260;" o:connectortype="straigh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">
              <v:path arrowok="t"/>
              <v:fill focussize="0,0"/>
              <v:stroke endarrow="block"/>
              <v:imagedata o:title=""/>
              <o:lock v:ext="edit"/>
            </v:line>
            <v:line id="Line 1206" o:spid="_x0000_s1332" o:spt="20" style="position:absolute;left:2848;top:7814;flip:x y;height:3432;width:0;" o:connectortype="straigh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">
              <v:path arrowok="t"/>
              <v:fill focussize="0,0"/>
              <v:stroke/>
              <v:imagedata o:title=""/>
              <o:lock v:ext="edit"/>
            </v:line>
            <v:line id="Line 1207" o:spid="_x0000_s1333" o:spt="20" style="position:absolute;left:10093;top:2822;height:7332;width:0;" o:connectortype="straigh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">
              <v:path arrowok="t"/>
              <v:fill focussize="0,0"/>
              <v:stroke endarrow="block"/>
              <v:imagedata o:title=""/>
              <o:lock v:ext="edit"/>
            </v:line>
            <v:line id="Line 1208" o:spid="_x0000_s1334" o:spt="20" style="position:absolute;left:7678;top:2822;height:0;width:2415;" o:connectortype="straigh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">
              <v:path arrowok="t"/>
              <v:fill focussize="0,0"/>
              <v:stroke/>
              <v:imagedata o:title=""/>
              <o:lock v:ext="edit"/>
            </v:line>
            <v:rect id="Rectangle 1209" o:spid="_x0000_s1335" o:spt="1" style="position:absolute;left:8728;top:10154;height:468;width:1980;"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">
              <v:path/>
              <v:fill focussize="0,0"/>
              <v:stroke/>
              <v:imagedata o:title=""/>
              <o:lock v:ext="edit"/>
              <v:textbox>
                <w:txbxContent>
                  <w:p>
                    <w:pPr>
                      <w:jc w:val="center"/>
                      <w:rPr>
                        <w:rFonts w:ascii="宋体" w:hAnsi="宋体" w:eastAsia="宋体"/>
                        <w:sz w:val="21"/>
                        <w:szCs w:val="21"/>
                      </w:rPr>
                    </w:pPr>
                    <w:r>
                      <w:rPr>
                        <w:rFonts w:hint="eastAsia" w:ascii="宋体" w:hAnsi="宋体" w:eastAsia="宋体"/>
                        <w:sz w:val="21"/>
                        <w:szCs w:val="21"/>
                      </w:rPr>
                      <w:t>确定危害系数（</w:t>
                    </w:r>
                    <w:r>
                      <w:rPr>
                        <w:rFonts w:ascii="宋体" w:hAnsi="宋体" w:eastAsia="宋体"/>
                        <w:sz w:val="21"/>
                        <w:szCs w:val="21"/>
                      </w:rPr>
                      <w:t>Y</w:t>
                    </w:r>
                    <w:r>
                      <w:rPr>
                        <w:rFonts w:hint="eastAsia" w:ascii="宋体" w:hAnsi="宋体" w:eastAsia="宋体"/>
                        <w:sz w:val="21"/>
                        <w:szCs w:val="21"/>
                      </w:rPr>
                      <w:t>）</w:t>
                    </w:r>
                  </w:p>
                  <w:p>
                    <w:pPr>
                      <w:rPr>
                        <w:rFonts w:ascii="宋体" w:hAnsi="宋体" w:eastAsia="宋体"/>
                        <w:sz w:val="21"/>
                        <w:szCs w:val="21"/>
                      </w:rPr>
                    </w:pPr>
                  </w:p>
                </w:txbxContent>
              </v:textbox>
            </v:rect>
            <v:rect id="Rectangle 1210" o:spid="_x0000_s1336" o:spt="1" style="position:absolute;left:8728;top:12026;height:468;width:1980;"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">
              <v:path/>
              <v:fill focussize="0,0"/>
              <v:stroke/>
              <v:imagedata o:title=""/>
              <o:lock v:ext="edit"/>
              <v:textbox>
                <w:txbxContent>
                  <w:p>
                    <w:pPr>
                      <w:jc w:val="center"/>
                      <w:rPr>
                        <w:rFonts w:ascii="宋体" w:hAnsi="宋体" w:eastAsia="宋体"/>
                        <w:sz w:val="21"/>
                        <w:szCs w:val="21"/>
                      </w:rPr>
                    </w:pPr>
                    <w:r>
                      <w:rPr>
                        <w:rFonts w:hint="eastAsia" w:ascii="宋体" w:hAnsi="宋体" w:eastAsia="宋体"/>
                        <w:sz w:val="21"/>
                        <w:szCs w:val="21"/>
                      </w:rPr>
                      <w:t>确定</w:t>
                    </w:r>
                    <w:r>
                      <w:rPr>
                        <w:rFonts w:ascii="宋体" w:hAnsi="宋体" w:eastAsia="宋体"/>
                        <w:sz w:val="21"/>
                        <w:szCs w:val="21"/>
                      </w:rPr>
                      <w:t>BI</w:t>
                    </w:r>
                  </w:p>
                  <w:p>
                    <w:pPr>
                      <w:rPr>
                        <w:rFonts w:ascii="宋体" w:hAnsi="宋体" w:eastAsia="宋体"/>
                        <w:sz w:val="21"/>
                        <w:szCs w:val="21"/>
                      </w:rPr>
                    </w:pPr>
                  </w:p>
                </w:txbxContent>
              </v:textbox>
            </v:rect>
            <v:line id="Line 1211" o:spid="_x0000_s1337" o:spt="20" style="position:absolute;left:8308;top:6410;height:0;width:1785;" o:connectortype="straigh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">
              <v:path arrowok="t"/>
              <v:fill focussize="0,0"/>
              <v:stroke endarrow="block"/>
              <v:imagedata o:title=""/>
              <o:lock v:ext="edit"/>
            </v:line>
            <w10:wrap type="none"/>
            <w10:anchorlock/>
          </v:group>
        </w:pict>
      </w:r>
    </w:p>
    <w:p>
      <w:pPr>
        <w:spacing w:afterLines="30" w:line="560" w:lineRule="exact"/>
        <w:jc w:val="center"/>
        <w:rPr>
          <w:rFonts w:ascii="宋体" w:hAnsi="宋体" w:eastAsia="宋体" w:cs="Times New Roman"/>
          <w:b/>
          <w:color w:val="auto"/>
          <w:kern w:val="2"/>
          <w:lang w:val="en-US" w:eastAsia="zh-CN" w:bidi="ar-SA"/>
        </w:rPr>
      </w:pPr>
      <w:r>
        <w:rPr>
          <w:rFonts w:ascii="宋体" w:hAnsi="宋体" w:eastAsia="宋体" w:cs="Times New Roman"/>
          <w:b/>
          <w:color w:val="auto"/>
          <w:kern w:val="2"/>
          <w:lang w:val="en-US" w:eastAsia="zh-CN" w:bidi="ar-SA"/>
        </w:rPr>
        <w:t>道化法(第七版)评价程序图</w:t>
      </w:r>
    </w:p>
    <w:p>
      <w:pPr>
        <w:spacing w:line="560" w:lineRule="exact"/>
        <w:jc w:val="both"/>
        <w:outlineLvl w:val="1"/>
        <w:rPr>
          <w:rFonts w:ascii="楷体_GB2312" w:hAnsi="Times New Roman" w:eastAsia="楷体_GB2312" w:cs="Times New Roman"/>
          <w:bCs/>
          <w:color w:val="auto"/>
          <w:kern w:val="2"/>
          <w:sz w:val="32"/>
          <w:lang w:val="en-US" w:eastAsia="zh-CN" w:bidi="ar-SA"/>
        </w:rPr>
      </w:pPr>
      <w:bookmarkStart w:id="237" w:name="_Toc40045955"/>
      <w:bookmarkStart w:id="238" w:name="bookmark165"/>
      <w:r>
        <w:rPr>
          <w:rFonts w:ascii="楷体_GB2312" w:hAnsi="Times New Roman" w:eastAsia="楷体_GB2312" w:cs="Times New Roman"/>
          <w:bCs/>
          <w:color w:val="auto"/>
          <w:kern w:val="2"/>
          <w:sz w:val="32"/>
          <w:lang w:val="en-US" w:eastAsia="zh-CN" w:bidi="ar-SA"/>
        </w:rPr>
        <w:t>附件5.</w:t>
      </w:r>
      <w:r>
        <w:rPr>
          <w:rFonts w:hint="eastAsia" w:ascii="楷体_GB2312" w:hAnsi="Times New Roman" w:eastAsia="楷体_GB2312" w:cs="Times New Roman"/>
          <w:bCs/>
          <w:color w:val="auto"/>
          <w:kern w:val="2"/>
          <w:sz w:val="32"/>
          <w:lang w:val="en-US" w:eastAsia="zh-CN" w:bidi="ar-SA"/>
        </w:rPr>
        <w:t>3危险度</w:t>
      </w:r>
      <w:r>
        <w:rPr>
          <w:rFonts w:ascii="楷体_GB2312" w:hAnsi="Times New Roman" w:eastAsia="楷体_GB2312" w:cs="Times New Roman"/>
          <w:bCs/>
          <w:color w:val="auto"/>
          <w:kern w:val="2"/>
          <w:sz w:val="32"/>
          <w:lang w:val="en-US" w:eastAsia="zh-CN" w:bidi="ar-SA"/>
        </w:rPr>
        <w:t>评价法介绍</w:t>
      </w:r>
      <w:bookmarkEnd w:id="237"/>
    </w:p>
    <w:p>
      <w:pPr>
        <w:pStyle w:val="390"/>
        <w:spacing w:line="560" w:lineRule="exact"/>
        <w:ind w:firstLine="560"/>
        <w:rPr>
          <w:rFonts w:ascii="宋体" w:hAnsi="宋体" w:cs="宋体"/>
          <w:color w:val="auto"/>
        </w:rPr>
      </w:pPr>
      <w:r>
        <w:rPr>
          <w:rFonts w:hint="eastAsia" w:ascii="宋体" w:hAnsi="宋体" w:cs="宋体"/>
          <w:color w:val="auto"/>
          <w:szCs w:val="28"/>
        </w:rPr>
        <w:t>危险度评价法是</w:t>
      </w:r>
      <w:r>
        <w:rPr>
          <w:rFonts w:hint="eastAsia" w:ascii="宋体" w:hAnsi="宋体" w:cs="宋体"/>
          <w:color w:val="auto"/>
        </w:rPr>
        <w:t>根据《广东省安全生产监督管理局关于做好危险化学品和烟花爆竹领域风险点危险源排查管控工作的通知》(粤安监〔2016〕121号)的内容，对企业进行定量、定性和综合评定，确定企业危险度等级</w:t>
      </w:r>
      <w:r>
        <w:rPr>
          <w:rFonts w:hint="eastAsia" w:ascii="宋体" w:hAnsi="宋体" w:cs="宋体"/>
          <w:color w:val="auto"/>
          <w:szCs w:val="28"/>
        </w:rPr>
        <w:t>。</w:t>
      </w:r>
    </w:p>
    <w:p>
      <w:pPr>
        <w:spacing w:line="560" w:lineRule="exact"/>
        <w:jc w:val="both"/>
        <w:outlineLvl w:val="1"/>
        <w:rPr>
          <w:rFonts w:ascii="楷体_GB2312" w:hAnsi="Times New Roman" w:eastAsia="楷体_GB2312" w:cs="Times New Roman"/>
          <w:bCs/>
          <w:color w:val="auto"/>
          <w:kern w:val="2"/>
          <w:sz w:val="32"/>
          <w:lang w:val="en-US" w:eastAsia="zh-CN" w:bidi="ar-SA"/>
        </w:rPr>
      </w:pPr>
      <w:bookmarkStart w:id="239" w:name="_Toc40045956"/>
      <w:r>
        <w:rPr>
          <w:rFonts w:ascii="楷体_GB2312" w:hAnsi="Times New Roman" w:eastAsia="楷体_GB2312" w:cs="Times New Roman"/>
          <w:bCs/>
          <w:color w:val="auto"/>
          <w:kern w:val="2"/>
          <w:sz w:val="32"/>
          <w:lang w:val="en-US" w:eastAsia="zh-CN" w:bidi="ar-SA"/>
        </w:rPr>
        <w:t>附件5.</w:t>
      </w:r>
      <w:r>
        <w:rPr>
          <w:rFonts w:hint="eastAsia" w:ascii="楷体_GB2312" w:hAnsi="Times New Roman" w:eastAsia="楷体_GB2312" w:cs="Times New Roman"/>
          <w:bCs/>
          <w:color w:val="auto"/>
          <w:kern w:val="2"/>
          <w:sz w:val="32"/>
          <w:lang w:val="en-US" w:eastAsia="zh-CN" w:bidi="ar-SA"/>
        </w:rPr>
        <w:t>4</w:t>
      </w:r>
      <w:r>
        <w:rPr>
          <w:rFonts w:ascii="楷体_GB2312" w:hAnsi="Times New Roman" w:eastAsia="楷体_GB2312" w:cs="Times New Roman"/>
          <w:bCs/>
          <w:color w:val="auto"/>
          <w:kern w:val="2"/>
          <w:sz w:val="32"/>
          <w:lang w:val="en-US" w:eastAsia="zh-CN" w:bidi="ar-SA"/>
        </w:rPr>
        <w:t>事故树分析法简介</w:t>
      </w:r>
      <w:bookmarkEnd w:id="238"/>
      <w:bookmarkEnd w:id="239"/>
    </w:p>
    <w:p>
      <w:pPr>
        <w:spacing w:line="560" w:lineRule="exact"/>
        <w:ind w:firstLine="454" w:firstLineChars="142"/>
        <w:rPr>
          <w:rFonts w:ascii="宋体" w:hAnsi="宋体" w:eastAsia="宋体"/>
          <w:color w:val="auto"/>
          <w:spacing w:val="20"/>
          <w:sz w:val="28"/>
          <w:szCs w:val="28"/>
          <w:lang w:eastAsia="zh-CN"/>
        </w:rPr>
      </w:pPr>
      <w:r>
        <w:rPr>
          <w:rFonts w:ascii="宋体" w:hAnsi="宋体" w:eastAsia="宋体"/>
          <w:color w:val="auto"/>
          <w:spacing w:val="20"/>
          <w:sz w:val="28"/>
          <w:szCs w:val="28"/>
          <w:lang w:eastAsia="zh-CN"/>
        </w:rPr>
        <w:t>在生产过程中，由于人的失误、机器设备故障及环境等因素，必然会对要发生的事故造成一定的危险性，为了防止危险性因素导致灾害性后果，就需要分析判断，预测事故发生的可能性有多大，以利于采取消减危险的措施和手段，把事故损失减少到最低程度。事故树分析方法，也称故障树，是预测事故和分析事故的一种科学方法。</w:t>
      </w:r>
    </w:p>
    <w:p>
      <w:pPr>
        <w:spacing w:line="560" w:lineRule="exact"/>
        <w:ind w:firstLine="454" w:firstLineChars="142"/>
        <w:rPr>
          <w:rFonts w:ascii="宋体" w:hAnsi="宋体" w:eastAsia="宋体"/>
          <w:color w:val="auto"/>
          <w:spacing w:val="20"/>
          <w:sz w:val="28"/>
          <w:szCs w:val="28"/>
          <w:lang w:eastAsia="zh-CN"/>
        </w:rPr>
      </w:pPr>
      <w:r>
        <w:rPr>
          <w:rFonts w:ascii="宋体" w:hAnsi="宋体" w:eastAsia="宋体"/>
          <w:color w:val="auto"/>
          <w:spacing w:val="20"/>
          <w:sz w:val="28"/>
          <w:szCs w:val="28"/>
          <w:lang w:eastAsia="zh-CN"/>
        </w:rPr>
        <w:t>事故树分析是从结果到原因找出与灾害有关的各种因素之间因果关系和逻辑关系的分析法。这种方法是把系统可能发生的事故放在图的最上面，称为顶上事件，按系统构成要素之间的关系，分析与灾害事故有关的原因。如果这些原因是其他一些原因的结果，则称为中间原因事件(中间事件)，应继续往下分析，直到找出不能进一步往下分析的原因为止，这些原因称为基本原因事件(或基本事件)。图中各因果关系用不同的逻辑门符号联接起来，这样得到的图形像一棵倒置的树，即为事故树。通过事故树分析可以找出基本事件及其对顶上事件影响的程度，为采取安全措施、预防事故提供科学的依据。</w:t>
      </w:r>
    </w:p>
    <w:p>
      <w:pPr>
        <w:spacing w:line="560" w:lineRule="exact"/>
        <w:ind w:firstLine="454" w:firstLineChars="142"/>
        <w:rPr>
          <w:rFonts w:ascii="宋体" w:hAnsi="宋体" w:eastAsia="宋体"/>
          <w:color w:val="auto"/>
          <w:spacing w:val="20"/>
          <w:sz w:val="28"/>
          <w:szCs w:val="28"/>
          <w:lang w:eastAsia="zh-CN"/>
        </w:rPr>
      </w:pPr>
      <w:r>
        <w:rPr>
          <w:rFonts w:ascii="宋体" w:hAnsi="宋体" w:eastAsia="宋体"/>
          <w:color w:val="auto"/>
          <w:spacing w:val="20"/>
          <w:sz w:val="28"/>
          <w:szCs w:val="28"/>
          <w:lang w:eastAsia="zh-CN"/>
        </w:rPr>
        <w:t>事故树分析的基本程序如下：</w:t>
      </w:r>
    </w:p>
    <w:p>
      <w:pPr>
        <w:spacing w:line="560" w:lineRule="exact"/>
        <w:ind w:firstLine="454" w:firstLineChars="142"/>
        <w:rPr>
          <w:rFonts w:ascii="宋体" w:hAnsi="宋体" w:eastAsia="宋体"/>
          <w:color w:val="auto"/>
          <w:spacing w:val="20"/>
          <w:sz w:val="28"/>
          <w:szCs w:val="28"/>
          <w:lang w:eastAsia="zh-CN"/>
        </w:rPr>
      </w:pPr>
      <w:r>
        <w:rPr>
          <w:rFonts w:hint="eastAsia" w:ascii="宋体" w:hAnsi="宋体" w:eastAsia="宋体"/>
          <w:color w:val="auto"/>
          <w:spacing w:val="20"/>
          <w:sz w:val="28"/>
          <w:szCs w:val="28"/>
          <w:lang w:eastAsia="zh-CN"/>
        </w:rPr>
        <w:t>1)</w:t>
      </w:r>
      <w:r>
        <w:rPr>
          <w:rFonts w:ascii="宋体" w:hAnsi="宋体" w:eastAsia="宋体"/>
          <w:color w:val="auto"/>
          <w:spacing w:val="20"/>
          <w:sz w:val="28"/>
          <w:szCs w:val="28"/>
          <w:lang w:eastAsia="zh-CN"/>
        </w:rPr>
        <w:t>熟悉系统一要详细了解系统状态及各种参数，绘出工艺流程图或布置图。</w:t>
      </w:r>
    </w:p>
    <w:p>
      <w:pPr>
        <w:spacing w:line="560" w:lineRule="exact"/>
        <w:ind w:firstLine="454" w:firstLineChars="142"/>
        <w:rPr>
          <w:rFonts w:ascii="宋体" w:hAnsi="宋体" w:eastAsia="宋体"/>
          <w:color w:val="auto"/>
          <w:spacing w:val="20"/>
          <w:sz w:val="28"/>
          <w:szCs w:val="28"/>
          <w:lang w:eastAsia="zh-CN"/>
        </w:rPr>
      </w:pPr>
      <w:r>
        <w:rPr>
          <w:rFonts w:hint="eastAsia" w:ascii="宋体" w:hAnsi="宋体" w:eastAsia="宋体"/>
          <w:color w:val="auto"/>
          <w:spacing w:val="20"/>
          <w:sz w:val="28"/>
          <w:szCs w:val="28"/>
          <w:lang w:eastAsia="zh-CN"/>
        </w:rPr>
        <w:t>2)</w:t>
      </w:r>
      <w:r>
        <w:rPr>
          <w:rFonts w:ascii="宋体" w:hAnsi="宋体" w:eastAsia="宋体"/>
          <w:color w:val="auto"/>
          <w:spacing w:val="20"/>
          <w:sz w:val="28"/>
          <w:szCs w:val="28"/>
          <w:lang w:eastAsia="zh-CN"/>
        </w:rPr>
        <w:t>调查事故一收集事故案例，进行事故统计，设想给定系统可能要发生的事故。</w:t>
      </w:r>
    </w:p>
    <w:p>
      <w:pPr>
        <w:spacing w:line="560" w:lineRule="exact"/>
        <w:ind w:firstLine="454" w:firstLineChars="142"/>
        <w:rPr>
          <w:rFonts w:ascii="宋体" w:hAnsi="宋体" w:eastAsia="宋体"/>
          <w:color w:val="auto"/>
          <w:spacing w:val="20"/>
          <w:sz w:val="28"/>
          <w:szCs w:val="28"/>
          <w:lang w:eastAsia="zh-CN"/>
        </w:rPr>
      </w:pPr>
      <w:r>
        <w:rPr>
          <w:rFonts w:hint="eastAsia" w:ascii="宋体" w:hAnsi="宋体" w:eastAsia="宋体"/>
          <w:color w:val="auto"/>
          <w:spacing w:val="20"/>
          <w:sz w:val="28"/>
          <w:szCs w:val="28"/>
          <w:lang w:eastAsia="zh-CN"/>
        </w:rPr>
        <w:t>3)</w:t>
      </w:r>
      <w:r>
        <w:rPr>
          <w:rFonts w:ascii="宋体" w:hAnsi="宋体" w:eastAsia="宋体"/>
          <w:color w:val="auto"/>
          <w:spacing w:val="20"/>
          <w:sz w:val="28"/>
          <w:szCs w:val="28"/>
          <w:lang w:eastAsia="zh-CN"/>
        </w:rPr>
        <w:t>确定顶上事件一要分析的对象事件即为顶上事件。对所调查的事故进行全面分析，从中找出后果严重且较易发生的事故作为顶上事件。</w:t>
      </w:r>
    </w:p>
    <w:p>
      <w:pPr>
        <w:spacing w:line="560" w:lineRule="exact"/>
        <w:ind w:firstLine="454" w:firstLineChars="142"/>
        <w:rPr>
          <w:rFonts w:ascii="宋体" w:hAnsi="宋体" w:eastAsia="宋体"/>
          <w:color w:val="auto"/>
          <w:spacing w:val="20"/>
          <w:sz w:val="28"/>
          <w:szCs w:val="28"/>
          <w:lang w:eastAsia="zh-CN"/>
        </w:rPr>
      </w:pPr>
      <w:r>
        <w:rPr>
          <w:rFonts w:hint="eastAsia" w:ascii="宋体" w:hAnsi="宋体" w:eastAsia="宋体"/>
          <w:color w:val="auto"/>
          <w:spacing w:val="20"/>
          <w:sz w:val="28"/>
          <w:szCs w:val="28"/>
          <w:lang w:eastAsia="zh-CN"/>
        </w:rPr>
        <w:t>4)</w:t>
      </w:r>
      <w:r>
        <w:rPr>
          <w:rFonts w:ascii="宋体" w:hAnsi="宋体" w:eastAsia="宋体"/>
          <w:color w:val="auto"/>
          <w:spacing w:val="20"/>
          <w:sz w:val="28"/>
          <w:szCs w:val="28"/>
          <w:lang w:eastAsia="zh-CN"/>
        </w:rPr>
        <w:t>确定目标值一根据经验教训和事故案例，经统计分析后，求解事故发生的概率(频率)，作为要控制的事故目标值。</w:t>
      </w:r>
    </w:p>
    <w:p>
      <w:pPr>
        <w:spacing w:line="560" w:lineRule="exact"/>
        <w:ind w:firstLine="454" w:firstLineChars="142"/>
        <w:rPr>
          <w:rFonts w:ascii="宋体" w:hAnsi="宋体" w:eastAsia="宋体"/>
          <w:color w:val="auto"/>
          <w:spacing w:val="20"/>
          <w:sz w:val="28"/>
          <w:szCs w:val="28"/>
          <w:lang w:eastAsia="zh-CN"/>
        </w:rPr>
      </w:pPr>
      <w:r>
        <w:rPr>
          <w:rFonts w:hint="eastAsia" w:ascii="宋体" w:hAnsi="宋体" w:eastAsia="宋体"/>
          <w:color w:val="auto"/>
          <w:spacing w:val="20"/>
          <w:sz w:val="28"/>
          <w:szCs w:val="28"/>
          <w:lang w:eastAsia="zh-CN"/>
        </w:rPr>
        <w:t>5)</w:t>
      </w:r>
      <w:r>
        <w:rPr>
          <w:rFonts w:ascii="宋体" w:hAnsi="宋体" w:eastAsia="宋体"/>
          <w:color w:val="auto"/>
          <w:spacing w:val="20"/>
          <w:sz w:val="28"/>
          <w:szCs w:val="28"/>
          <w:lang w:eastAsia="zh-CN"/>
        </w:rPr>
        <w:t>调查原因事件一调查与事故有关的所有原因事件和各种因素。</w:t>
      </w:r>
    </w:p>
    <w:p>
      <w:pPr>
        <w:spacing w:line="560" w:lineRule="exact"/>
        <w:ind w:firstLine="454" w:firstLineChars="142"/>
        <w:rPr>
          <w:rFonts w:ascii="宋体" w:hAnsi="宋体" w:eastAsia="宋体"/>
          <w:color w:val="auto"/>
          <w:spacing w:val="20"/>
          <w:sz w:val="28"/>
          <w:szCs w:val="28"/>
          <w:lang w:eastAsia="zh-CN"/>
        </w:rPr>
      </w:pPr>
      <w:r>
        <w:rPr>
          <w:rFonts w:hint="eastAsia" w:ascii="宋体" w:hAnsi="宋体" w:eastAsia="宋体"/>
          <w:color w:val="auto"/>
          <w:spacing w:val="20"/>
          <w:sz w:val="28"/>
          <w:szCs w:val="28"/>
          <w:lang w:eastAsia="zh-CN"/>
        </w:rPr>
        <w:t>6)</w:t>
      </w:r>
      <w:r>
        <w:rPr>
          <w:rFonts w:ascii="宋体" w:hAnsi="宋体" w:eastAsia="宋体"/>
          <w:color w:val="auto"/>
          <w:spacing w:val="20"/>
          <w:sz w:val="28"/>
          <w:szCs w:val="28"/>
          <w:lang w:eastAsia="zh-CN"/>
        </w:rPr>
        <w:t>画出事故树一从顶上事件起，一级一级找出直接原因事件，到所要分析的深度，按其逻辑关系，画出事故树。</w:t>
      </w:r>
    </w:p>
    <w:p>
      <w:pPr>
        <w:spacing w:line="560" w:lineRule="exact"/>
        <w:ind w:firstLine="454" w:firstLineChars="142"/>
        <w:rPr>
          <w:rFonts w:ascii="宋体" w:hAnsi="宋体" w:eastAsia="宋体"/>
          <w:color w:val="auto"/>
          <w:spacing w:val="20"/>
          <w:sz w:val="28"/>
          <w:szCs w:val="28"/>
          <w:lang w:eastAsia="zh-CN"/>
        </w:rPr>
      </w:pPr>
      <w:r>
        <w:rPr>
          <w:rFonts w:hint="eastAsia" w:ascii="宋体" w:hAnsi="宋体" w:eastAsia="宋体"/>
          <w:color w:val="auto"/>
          <w:spacing w:val="20"/>
          <w:sz w:val="28"/>
          <w:szCs w:val="28"/>
          <w:lang w:eastAsia="zh-CN"/>
        </w:rPr>
        <w:t>7)</w:t>
      </w:r>
      <w:r>
        <w:rPr>
          <w:rFonts w:ascii="宋体" w:hAnsi="宋体" w:eastAsia="宋体"/>
          <w:color w:val="auto"/>
          <w:spacing w:val="20"/>
          <w:sz w:val="28"/>
          <w:szCs w:val="28"/>
          <w:lang w:eastAsia="zh-CN"/>
        </w:rPr>
        <w:t>定性分析-按事故树结构进行简化，确定个基本事件的结构重要度。</w:t>
      </w:r>
    </w:p>
    <w:p>
      <w:pPr>
        <w:spacing w:line="560" w:lineRule="exact"/>
        <w:ind w:firstLine="454" w:firstLineChars="142"/>
        <w:rPr>
          <w:rFonts w:ascii="宋体" w:hAnsi="宋体" w:eastAsia="宋体"/>
          <w:color w:val="auto"/>
          <w:spacing w:val="20"/>
          <w:sz w:val="28"/>
          <w:szCs w:val="28"/>
          <w:lang w:eastAsia="zh-CN"/>
        </w:rPr>
      </w:pPr>
      <w:r>
        <w:rPr>
          <w:rFonts w:hint="eastAsia" w:ascii="宋体" w:hAnsi="宋体" w:eastAsia="宋体"/>
          <w:color w:val="auto"/>
          <w:spacing w:val="20"/>
          <w:sz w:val="28"/>
          <w:szCs w:val="28"/>
          <w:lang w:eastAsia="zh-CN"/>
        </w:rPr>
        <w:t>8)</w:t>
      </w:r>
      <w:r>
        <w:rPr>
          <w:rFonts w:ascii="宋体" w:hAnsi="宋体" w:eastAsia="宋体"/>
          <w:color w:val="auto"/>
          <w:spacing w:val="20"/>
          <w:sz w:val="28"/>
          <w:szCs w:val="28"/>
          <w:lang w:eastAsia="zh-CN"/>
        </w:rPr>
        <w:t>求出事故发生概率-确定所有原因发生概率，标在事故树上，并进而求出顶上事件(事故)发生概率。</w:t>
      </w:r>
    </w:p>
    <w:p>
      <w:pPr>
        <w:spacing w:line="560" w:lineRule="exact"/>
        <w:ind w:firstLine="454" w:firstLineChars="142"/>
        <w:rPr>
          <w:rFonts w:ascii="宋体" w:hAnsi="宋体" w:eastAsia="宋体"/>
          <w:color w:val="auto"/>
          <w:spacing w:val="20"/>
          <w:sz w:val="28"/>
          <w:szCs w:val="28"/>
          <w:lang w:eastAsia="zh-CN"/>
        </w:rPr>
      </w:pPr>
      <w:r>
        <w:rPr>
          <w:rFonts w:hint="eastAsia" w:ascii="宋体" w:hAnsi="宋体" w:eastAsia="宋体"/>
          <w:color w:val="auto"/>
          <w:spacing w:val="20"/>
          <w:sz w:val="28"/>
          <w:szCs w:val="28"/>
          <w:lang w:eastAsia="zh-CN"/>
        </w:rPr>
        <w:t>9)</w:t>
      </w:r>
      <w:r>
        <w:rPr>
          <w:rFonts w:ascii="宋体" w:hAnsi="宋体" w:eastAsia="宋体"/>
          <w:color w:val="auto"/>
          <w:spacing w:val="20"/>
          <w:sz w:val="28"/>
          <w:szCs w:val="28"/>
          <w:lang w:eastAsia="zh-CN"/>
        </w:rPr>
        <w:t>进行比较-分可维修系统和不可维修系统进行讨论，前者要进行对比，后者求出顶上事件发生概率即可。</w:t>
      </w:r>
    </w:p>
    <w:p>
      <w:pPr>
        <w:spacing w:line="560" w:lineRule="exact"/>
        <w:ind w:firstLine="454" w:firstLineChars="142"/>
        <w:rPr>
          <w:rFonts w:ascii="宋体" w:hAnsi="宋体" w:eastAsia="宋体"/>
          <w:color w:val="auto"/>
          <w:spacing w:val="20"/>
          <w:sz w:val="28"/>
          <w:szCs w:val="28"/>
          <w:lang w:eastAsia="zh-CN"/>
        </w:rPr>
      </w:pPr>
      <w:r>
        <w:rPr>
          <w:rFonts w:hint="eastAsia" w:ascii="宋体" w:hAnsi="宋体" w:eastAsia="宋体"/>
          <w:color w:val="auto"/>
          <w:spacing w:val="20"/>
          <w:sz w:val="28"/>
          <w:szCs w:val="28"/>
          <w:lang w:eastAsia="zh-CN"/>
        </w:rPr>
        <w:t>10)</w:t>
      </w:r>
      <w:r>
        <w:rPr>
          <w:rFonts w:ascii="宋体" w:hAnsi="宋体" w:eastAsia="宋体"/>
          <w:color w:val="auto"/>
          <w:spacing w:val="20"/>
          <w:sz w:val="28"/>
          <w:szCs w:val="28"/>
          <w:lang w:eastAsia="zh-CN"/>
        </w:rPr>
        <w:t>定量分析-在我国FTA—般都考虑到第7步进行定性分析为止，也能取得较好效果。在本次的安全评价中，采用事故树进行分析时，同样也考虑用其进行定性分析。</w:t>
      </w:r>
    </w:p>
    <w:p>
      <w:pPr>
        <w:spacing w:line="560" w:lineRule="exact"/>
        <w:ind w:firstLine="454" w:firstLineChars="142"/>
        <w:rPr>
          <w:rFonts w:ascii="宋体" w:hAnsi="宋体" w:eastAsia="宋体"/>
          <w:color w:val="auto"/>
          <w:spacing w:val="20"/>
          <w:sz w:val="28"/>
          <w:szCs w:val="28"/>
          <w:lang w:eastAsia="zh-CN"/>
        </w:rPr>
      </w:pPr>
    </w:p>
    <w:p>
      <w:pPr>
        <w:spacing w:line="560" w:lineRule="exact"/>
        <w:ind w:firstLine="454" w:firstLineChars="142"/>
        <w:rPr>
          <w:rFonts w:ascii="宋体" w:hAnsi="宋体" w:eastAsia="宋体"/>
          <w:color w:val="auto"/>
          <w:spacing w:val="20"/>
          <w:sz w:val="28"/>
          <w:szCs w:val="28"/>
          <w:lang w:eastAsia="zh-CN"/>
        </w:rPr>
      </w:pPr>
    </w:p>
    <w:p>
      <w:pPr>
        <w:pStyle w:val="3"/>
        <w:spacing w:after="120"/>
        <w:rPr>
          <w:snapToGrid/>
          <w:color w:val="auto"/>
        </w:rPr>
      </w:pPr>
      <w:bookmarkStart w:id="240" w:name="bookmark166"/>
      <w:bookmarkStart w:id="241" w:name="bookmark167"/>
      <w:r>
        <w:rPr>
          <w:snapToGrid/>
          <w:color w:val="auto"/>
        </w:rPr>
        <w:br w:type="page"/>
      </w:r>
    </w:p>
    <w:p>
      <w:pPr>
        <w:pStyle w:val="3"/>
        <w:spacing w:after="120"/>
        <w:rPr>
          <w:snapToGrid/>
          <w:color w:val="auto"/>
        </w:rPr>
      </w:pPr>
      <w:bookmarkStart w:id="242" w:name="_Toc40045957"/>
      <w:r>
        <w:rPr>
          <w:snapToGrid/>
          <w:color w:val="auto"/>
        </w:rPr>
        <w:t>附件6法定检测情况汇总</w:t>
      </w:r>
      <w:bookmarkEnd w:id="240"/>
      <w:bookmarkEnd w:id="241"/>
      <w:bookmarkEnd w:id="242"/>
    </w:p>
    <w:p>
      <w:pPr>
        <w:spacing w:afterLines="30" w:line="560" w:lineRule="exact"/>
        <w:jc w:val="center"/>
        <w:rPr>
          <w:rFonts w:ascii="宋体" w:hAnsi="宋体" w:eastAsia="宋体"/>
          <w:b/>
          <w:color w:val="auto"/>
        </w:rPr>
      </w:pPr>
      <w:bookmarkStart w:id="243" w:name="bookmark169"/>
      <w:bookmarkStart w:id="244" w:name="bookmark168"/>
      <w:r>
        <w:rPr>
          <w:rFonts w:hint="eastAsia" w:ascii="宋体" w:hAnsi="宋体" w:eastAsia="宋体"/>
          <w:b/>
          <w:color w:val="auto"/>
        </w:rPr>
        <w:t>法定检验、检测汇总表</w:t>
      </w:r>
    </w:p>
    <w:tbl>
      <w:tblPr>
        <w:tblStyle w:val="45"/>
        <w:tblW w:w="94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1"/>
        <w:gridCol w:w="2030"/>
        <w:gridCol w:w="1490"/>
        <w:gridCol w:w="2551"/>
        <w:gridCol w:w="1559"/>
        <w:gridCol w:w="13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61"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eastAsia="宋体"/>
                <w:bCs/>
                <w:color w:val="auto"/>
                <w:kern w:val="21"/>
                <w:sz w:val="21"/>
                <w:szCs w:val="21"/>
              </w:rPr>
            </w:pPr>
            <w:r>
              <w:rPr>
                <w:rFonts w:hint="eastAsia" w:ascii="宋体" w:hAnsi="宋体" w:eastAsia="宋体"/>
                <w:bCs/>
                <w:color w:val="auto"/>
                <w:kern w:val="21"/>
                <w:sz w:val="21"/>
                <w:szCs w:val="21"/>
              </w:rPr>
              <w:t>序号</w:t>
            </w:r>
          </w:p>
        </w:tc>
        <w:tc>
          <w:tcPr>
            <w:tcW w:w="2030"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eastAsia="宋体"/>
                <w:bCs/>
                <w:color w:val="auto"/>
                <w:kern w:val="21"/>
                <w:sz w:val="21"/>
                <w:szCs w:val="21"/>
              </w:rPr>
            </w:pPr>
            <w:r>
              <w:rPr>
                <w:rFonts w:hint="eastAsia" w:ascii="宋体" w:hAnsi="宋体" w:eastAsia="宋体"/>
                <w:bCs/>
                <w:color w:val="auto"/>
                <w:kern w:val="21"/>
                <w:sz w:val="21"/>
                <w:szCs w:val="21"/>
              </w:rPr>
              <w:t>检测项目</w:t>
            </w:r>
          </w:p>
        </w:tc>
        <w:tc>
          <w:tcPr>
            <w:tcW w:w="1490"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eastAsia="宋体"/>
                <w:bCs/>
                <w:color w:val="auto"/>
                <w:kern w:val="21"/>
                <w:sz w:val="21"/>
                <w:szCs w:val="21"/>
              </w:rPr>
            </w:pPr>
            <w:r>
              <w:rPr>
                <w:rFonts w:hint="eastAsia" w:ascii="宋体" w:hAnsi="宋体" w:eastAsia="宋体"/>
                <w:bCs/>
                <w:color w:val="auto"/>
                <w:kern w:val="21"/>
                <w:sz w:val="21"/>
                <w:szCs w:val="21"/>
              </w:rPr>
              <w:t>检测单位</w:t>
            </w:r>
          </w:p>
        </w:tc>
        <w:tc>
          <w:tcPr>
            <w:tcW w:w="2551"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eastAsia="宋体"/>
                <w:bCs/>
                <w:color w:val="auto"/>
                <w:kern w:val="21"/>
                <w:sz w:val="21"/>
                <w:szCs w:val="21"/>
              </w:rPr>
            </w:pPr>
            <w:r>
              <w:rPr>
                <w:rFonts w:hint="eastAsia" w:ascii="宋体" w:hAnsi="宋体" w:eastAsia="宋体"/>
                <w:bCs/>
                <w:color w:val="auto"/>
                <w:kern w:val="21"/>
                <w:sz w:val="21"/>
                <w:szCs w:val="21"/>
              </w:rPr>
              <w:t>编 号</w:t>
            </w:r>
          </w:p>
        </w:tc>
        <w:tc>
          <w:tcPr>
            <w:tcW w:w="1559"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eastAsia="宋体"/>
                <w:bCs/>
                <w:color w:val="auto"/>
                <w:kern w:val="21"/>
                <w:sz w:val="21"/>
                <w:szCs w:val="21"/>
              </w:rPr>
            </w:pPr>
            <w:r>
              <w:rPr>
                <w:rFonts w:hint="eastAsia" w:ascii="宋体" w:hAnsi="宋体" w:eastAsia="宋体"/>
                <w:bCs/>
                <w:color w:val="auto"/>
                <w:kern w:val="21"/>
                <w:sz w:val="21"/>
                <w:szCs w:val="21"/>
              </w:rPr>
              <w:t>结 论</w:t>
            </w:r>
          </w:p>
        </w:tc>
        <w:tc>
          <w:tcPr>
            <w:tcW w:w="1393"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eastAsia="宋体"/>
                <w:bCs/>
                <w:color w:val="auto"/>
                <w:kern w:val="21"/>
                <w:sz w:val="21"/>
                <w:szCs w:val="21"/>
              </w:rPr>
            </w:pPr>
            <w:r>
              <w:rPr>
                <w:rFonts w:hint="eastAsia" w:ascii="宋体" w:hAnsi="宋体" w:eastAsia="宋体"/>
                <w:bCs/>
                <w:color w:val="auto"/>
                <w:kern w:val="21"/>
                <w:sz w:val="21"/>
                <w:szCs w:val="21"/>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61"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eastAsia="宋体"/>
                <w:color w:val="auto"/>
                <w:kern w:val="21"/>
                <w:sz w:val="21"/>
                <w:szCs w:val="21"/>
              </w:rPr>
            </w:pPr>
            <w:r>
              <w:rPr>
                <w:rFonts w:hint="eastAsia" w:ascii="宋体" w:hAnsi="宋体" w:eastAsia="宋体"/>
                <w:color w:val="auto"/>
                <w:kern w:val="21"/>
                <w:sz w:val="21"/>
                <w:szCs w:val="21"/>
              </w:rPr>
              <w:t>1</w:t>
            </w:r>
          </w:p>
        </w:tc>
        <w:tc>
          <w:tcPr>
            <w:tcW w:w="2030"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eastAsia="宋体"/>
                <w:color w:val="auto"/>
                <w:kern w:val="21"/>
                <w:sz w:val="21"/>
                <w:szCs w:val="21"/>
              </w:rPr>
            </w:pPr>
            <w:r>
              <w:rPr>
                <w:rFonts w:hint="eastAsia" w:ascii="宋体" w:hAnsi="宋体" w:eastAsia="宋体"/>
                <w:color w:val="auto"/>
                <w:kern w:val="21"/>
                <w:sz w:val="21"/>
                <w:szCs w:val="21"/>
              </w:rPr>
              <w:t>建筑工程消防验收意见书</w:t>
            </w:r>
          </w:p>
        </w:tc>
        <w:tc>
          <w:tcPr>
            <w:tcW w:w="1490"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eastAsia="宋体"/>
                <w:color w:val="auto"/>
                <w:kern w:val="21"/>
                <w:sz w:val="21"/>
                <w:szCs w:val="21"/>
              </w:rPr>
            </w:pPr>
            <w:r>
              <w:rPr>
                <w:rFonts w:hint="eastAsia" w:ascii="宋体" w:hAnsi="宋体" w:eastAsia="宋体"/>
                <w:color w:val="auto"/>
                <w:kern w:val="21"/>
                <w:sz w:val="21"/>
                <w:szCs w:val="21"/>
              </w:rPr>
              <w:t>东莞市公安消防局</w:t>
            </w:r>
          </w:p>
        </w:tc>
        <w:tc>
          <w:tcPr>
            <w:tcW w:w="2551"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eastAsia="宋体"/>
                <w:color w:val="auto"/>
                <w:kern w:val="21"/>
                <w:sz w:val="21"/>
                <w:szCs w:val="21"/>
                <w:lang w:eastAsia="zh-CN"/>
              </w:rPr>
            </w:pPr>
            <w:r>
              <w:rPr>
                <w:rFonts w:hint="eastAsia" w:ascii="宋体" w:hAnsi="宋体" w:eastAsia="宋体"/>
                <w:color w:val="auto"/>
                <w:kern w:val="21"/>
                <w:sz w:val="21"/>
                <w:szCs w:val="21"/>
              </w:rPr>
              <w:t>东公消验[2010]第114号</w:t>
            </w:r>
          </w:p>
        </w:tc>
        <w:tc>
          <w:tcPr>
            <w:tcW w:w="1559"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eastAsia="宋体"/>
                <w:color w:val="auto"/>
                <w:kern w:val="21"/>
                <w:sz w:val="21"/>
                <w:szCs w:val="21"/>
                <w:lang w:eastAsia="zh-CN"/>
              </w:rPr>
            </w:pPr>
            <w:r>
              <w:rPr>
                <w:rFonts w:hint="eastAsia" w:ascii="宋体" w:hAnsi="宋体" w:eastAsia="宋体"/>
                <w:color w:val="auto"/>
                <w:kern w:val="21"/>
                <w:sz w:val="21"/>
                <w:szCs w:val="21"/>
              </w:rPr>
              <w:t>验收合格</w:t>
            </w:r>
          </w:p>
        </w:tc>
        <w:tc>
          <w:tcPr>
            <w:tcW w:w="1393"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eastAsia="宋体"/>
                <w:color w:val="auto"/>
                <w:kern w:val="21"/>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61"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eastAsia="宋体"/>
                <w:color w:val="auto"/>
                <w:kern w:val="21"/>
                <w:sz w:val="21"/>
                <w:szCs w:val="21"/>
              </w:rPr>
            </w:pPr>
            <w:r>
              <w:rPr>
                <w:rFonts w:hint="eastAsia" w:ascii="宋体" w:hAnsi="宋体" w:eastAsia="宋体"/>
                <w:color w:val="auto"/>
                <w:kern w:val="21"/>
                <w:sz w:val="21"/>
                <w:szCs w:val="21"/>
              </w:rPr>
              <w:t>2</w:t>
            </w:r>
          </w:p>
        </w:tc>
        <w:tc>
          <w:tcPr>
            <w:tcW w:w="2030"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eastAsia="宋体"/>
                <w:color w:val="auto"/>
                <w:kern w:val="21"/>
                <w:sz w:val="21"/>
                <w:szCs w:val="21"/>
              </w:rPr>
            </w:pPr>
            <w:r>
              <w:rPr>
                <w:rFonts w:hint="eastAsia" w:ascii="宋体" w:hAnsi="宋体" w:eastAsia="宋体"/>
                <w:color w:val="auto"/>
                <w:kern w:val="21"/>
                <w:sz w:val="21"/>
                <w:szCs w:val="21"/>
              </w:rPr>
              <w:t>防雷装置检测报告</w:t>
            </w:r>
          </w:p>
        </w:tc>
        <w:tc>
          <w:tcPr>
            <w:tcW w:w="1490"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eastAsia="宋体"/>
                <w:color w:val="auto"/>
                <w:kern w:val="21"/>
                <w:sz w:val="21"/>
                <w:szCs w:val="21"/>
              </w:rPr>
            </w:pPr>
            <w:r>
              <w:rPr>
                <w:rFonts w:hint="eastAsia" w:ascii="宋体" w:hAnsi="宋体" w:eastAsia="宋体"/>
                <w:color w:val="auto"/>
                <w:kern w:val="21"/>
                <w:sz w:val="21"/>
                <w:szCs w:val="21"/>
              </w:rPr>
              <w:t>东莞市防雷设施检测所</w:t>
            </w:r>
          </w:p>
        </w:tc>
        <w:tc>
          <w:tcPr>
            <w:tcW w:w="2551"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eastAsia="宋体"/>
                <w:color w:val="auto"/>
                <w:kern w:val="21"/>
                <w:sz w:val="21"/>
                <w:szCs w:val="21"/>
                <w:lang w:eastAsia="zh-CN"/>
              </w:rPr>
            </w:pPr>
            <w:r>
              <w:rPr>
                <w:rFonts w:hint="eastAsia" w:ascii="宋体" w:hAnsi="宋体" w:eastAsia="宋体"/>
                <w:color w:val="auto"/>
                <w:kern w:val="21"/>
                <w:sz w:val="21"/>
                <w:szCs w:val="21"/>
              </w:rPr>
              <w:t>报告编号：粤雷检[2019]YFS-2-3082</w:t>
            </w:r>
          </w:p>
        </w:tc>
        <w:tc>
          <w:tcPr>
            <w:tcW w:w="1559"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eastAsia="宋体"/>
                <w:color w:val="auto"/>
                <w:kern w:val="21"/>
                <w:sz w:val="21"/>
                <w:szCs w:val="21"/>
                <w:lang w:eastAsia="zh-CN"/>
              </w:rPr>
            </w:pPr>
            <w:r>
              <w:rPr>
                <w:rFonts w:hint="eastAsia" w:ascii="宋体" w:hAnsi="宋体" w:eastAsia="宋体"/>
                <w:color w:val="auto"/>
                <w:kern w:val="21"/>
                <w:sz w:val="21"/>
                <w:szCs w:val="21"/>
              </w:rPr>
              <w:t>各项检测范围符合要求</w:t>
            </w:r>
          </w:p>
        </w:tc>
        <w:tc>
          <w:tcPr>
            <w:tcW w:w="1393"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eastAsia="宋体"/>
                <w:color w:val="auto"/>
                <w:kern w:val="21"/>
                <w:sz w:val="21"/>
                <w:szCs w:val="21"/>
                <w:lang w:eastAsia="zh-CN"/>
              </w:rPr>
            </w:pPr>
            <w:r>
              <w:rPr>
                <w:rFonts w:hint="eastAsia" w:ascii="宋体" w:hAnsi="宋体" w:eastAsia="宋体"/>
                <w:color w:val="auto"/>
                <w:kern w:val="21"/>
                <w:sz w:val="21"/>
                <w:szCs w:val="21"/>
                <w:lang w:eastAsia="zh-CN"/>
              </w:rPr>
              <w:t>有效日期：2020年6月24日</w:t>
            </w:r>
          </w:p>
        </w:tc>
      </w:tr>
    </w:tbl>
    <w:p>
      <w:pPr>
        <w:spacing w:line="560" w:lineRule="exact"/>
        <w:ind w:firstLine="454" w:firstLineChars="142"/>
        <w:rPr>
          <w:rFonts w:ascii="宋体" w:hAnsi="宋体" w:eastAsia="宋体"/>
          <w:color w:val="auto"/>
          <w:spacing w:val="20"/>
          <w:sz w:val="28"/>
          <w:szCs w:val="28"/>
        </w:rPr>
      </w:pPr>
    </w:p>
    <w:p>
      <w:pPr>
        <w:spacing w:line="560" w:lineRule="exact"/>
        <w:ind w:firstLine="454" w:firstLineChars="142"/>
        <w:rPr>
          <w:rFonts w:ascii="宋体" w:hAnsi="宋体" w:eastAsia="宋体"/>
          <w:color w:val="auto"/>
          <w:spacing w:val="20"/>
          <w:sz w:val="28"/>
          <w:szCs w:val="28"/>
          <w:lang w:eastAsia="zh-CN"/>
        </w:rPr>
      </w:pPr>
    </w:p>
    <w:p>
      <w:pPr>
        <w:spacing w:line="560" w:lineRule="exact"/>
        <w:ind w:firstLine="454" w:firstLineChars="142"/>
        <w:rPr>
          <w:rFonts w:ascii="宋体" w:hAnsi="宋体" w:eastAsia="宋体"/>
          <w:color w:val="auto"/>
          <w:spacing w:val="20"/>
          <w:sz w:val="28"/>
          <w:szCs w:val="28"/>
          <w:lang w:eastAsia="zh-CN"/>
        </w:rPr>
      </w:pPr>
    </w:p>
    <w:p>
      <w:pPr>
        <w:pStyle w:val="3"/>
        <w:spacing w:after="120"/>
        <w:rPr>
          <w:snapToGrid/>
          <w:color w:val="auto"/>
        </w:rPr>
      </w:pPr>
      <w:r>
        <w:rPr>
          <w:snapToGrid/>
          <w:color w:val="auto"/>
        </w:rPr>
        <w:br w:type="page"/>
      </w:r>
    </w:p>
    <w:p>
      <w:pPr>
        <w:pStyle w:val="3"/>
        <w:spacing w:after="120"/>
        <w:rPr>
          <w:snapToGrid/>
          <w:color w:val="auto"/>
        </w:rPr>
      </w:pPr>
      <w:bookmarkStart w:id="245" w:name="_Toc40045958"/>
      <w:r>
        <w:rPr>
          <w:snapToGrid/>
          <w:color w:val="auto"/>
        </w:rPr>
        <w:t>附件7被评价单位提供的原始资料</w:t>
      </w:r>
      <w:bookmarkEnd w:id="243"/>
      <w:bookmarkEnd w:id="244"/>
      <w:bookmarkEnd w:id="245"/>
    </w:p>
    <w:p>
      <w:pPr>
        <w:spacing w:line="560" w:lineRule="exact"/>
        <w:rPr>
          <w:rFonts w:ascii="宋体" w:hAnsi="宋体" w:eastAsia="宋体"/>
          <w:color w:val="auto"/>
          <w:spacing w:val="20"/>
          <w:sz w:val="28"/>
          <w:szCs w:val="28"/>
        </w:rPr>
      </w:pPr>
      <w:r>
        <w:rPr>
          <w:rFonts w:hint="eastAsia" w:ascii="宋体" w:hAnsi="宋体" w:eastAsia="宋体"/>
          <w:color w:val="auto"/>
          <w:spacing w:val="20"/>
          <w:sz w:val="28"/>
          <w:szCs w:val="28"/>
          <w:lang w:eastAsia="zh-CN"/>
        </w:rPr>
        <w:t>1.</w:t>
      </w:r>
      <w:r>
        <w:rPr>
          <w:rFonts w:ascii="宋体" w:hAnsi="宋体" w:eastAsia="宋体"/>
          <w:color w:val="auto"/>
          <w:spacing w:val="20"/>
          <w:sz w:val="28"/>
          <w:szCs w:val="28"/>
        </w:rPr>
        <w:t>营业执照</w:t>
      </w:r>
    </w:p>
    <w:p>
      <w:pPr>
        <w:spacing w:line="560" w:lineRule="exact"/>
        <w:rPr>
          <w:rFonts w:ascii="宋体" w:hAnsi="宋体" w:eastAsia="宋体"/>
          <w:color w:val="auto"/>
          <w:spacing w:val="20"/>
          <w:sz w:val="28"/>
          <w:szCs w:val="28"/>
        </w:rPr>
      </w:pPr>
      <w:r>
        <w:rPr>
          <w:rFonts w:hint="eastAsia" w:ascii="宋体" w:hAnsi="宋体" w:eastAsia="宋体"/>
          <w:color w:val="auto"/>
          <w:spacing w:val="20"/>
          <w:sz w:val="28"/>
          <w:szCs w:val="28"/>
          <w:lang w:eastAsia="zh-CN"/>
        </w:rPr>
        <w:t>2.</w:t>
      </w:r>
      <w:r>
        <w:rPr>
          <w:rFonts w:ascii="宋体" w:hAnsi="宋体" w:eastAsia="宋体"/>
          <w:color w:val="auto"/>
          <w:spacing w:val="20"/>
          <w:sz w:val="28"/>
          <w:szCs w:val="28"/>
        </w:rPr>
        <w:t>原安全生产许可证副本</w:t>
      </w:r>
    </w:p>
    <w:p>
      <w:pPr>
        <w:spacing w:line="560" w:lineRule="exact"/>
        <w:rPr>
          <w:rFonts w:ascii="宋体" w:hAnsi="宋体" w:eastAsia="宋体"/>
          <w:color w:val="auto"/>
          <w:spacing w:val="20"/>
          <w:sz w:val="28"/>
          <w:szCs w:val="28"/>
        </w:rPr>
      </w:pPr>
      <w:r>
        <w:rPr>
          <w:rFonts w:hint="eastAsia" w:ascii="宋体" w:hAnsi="宋体" w:eastAsia="宋体"/>
          <w:color w:val="auto"/>
          <w:spacing w:val="20"/>
          <w:sz w:val="28"/>
          <w:szCs w:val="28"/>
          <w:lang w:eastAsia="zh-CN"/>
        </w:rPr>
        <w:t>3.</w:t>
      </w:r>
      <w:r>
        <w:rPr>
          <w:rFonts w:ascii="宋体" w:hAnsi="宋体" w:eastAsia="宋体"/>
          <w:color w:val="auto"/>
          <w:spacing w:val="20"/>
          <w:sz w:val="28"/>
          <w:szCs w:val="28"/>
        </w:rPr>
        <w:t>危险化学品登记证书</w:t>
      </w:r>
    </w:p>
    <w:p>
      <w:pPr>
        <w:spacing w:line="560" w:lineRule="exact"/>
        <w:rPr>
          <w:rFonts w:ascii="宋体" w:hAnsi="宋体" w:eastAsia="宋体"/>
          <w:color w:val="auto"/>
          <w:spacing w:val="20"/>
          <w:sz w:val="28"/>
          <w:szCs w:val="28"/>
        </w:rPr>
      </w:pPr>
      <w:r>
        <w:rPr>
          <w:rFonts w:hint="eastAsia" w:ascii="宋体" w:hAnsi="宋体" w:eastAsia="宋体"/>
          <w:color w:val="auto"/>
          <w:spacing w:val="20"/>
          <w:sz w:val="28"/>
          <w:szCs w:val="28"/>
        </w:rPr>
        <w:t>4.排污许可证</w:t>
      </w:r>
    </w:p>
    <w:p>
      <w:pPr>
        <w:spacing w:line="560" w:lineRule="exact"/>
        <w:rPr>
          <w:rFonts w:ascii="宋体" w:hAnsi="宋体" w:eastAsia="宋体"/>
          <w:color w:val="auto"/>
          <w:spacing w:val="20"/>
          <w:sz w:val="28"/>
          <w:szCs w:val="28"/>
        </w:rPr>
      </w:pPr>
      <w:r>
        <w:rPr>
          <w:rFonts w:hint="eastAsia" w:ascii="宋体" w:hAnsi="宋体" w:eastAsia="宋体"/>
          <w:color w:val="auto"/>
          <w:spacing w:val="20"/>
          <w:sz w:val="28"/>
          <w:szCs w:val="28"/>
        </w:rPr>
        <w:t>5.土地使用证</w:t>
      </w:r>
    </w:p>
    <w:p>
      <w:pPr>
        <w:spacing w:line="560" w:lineRule="exact"/>
        <w:rPr>
          <w:rFonts w:ascii="宋体" w:hAnsi="宋体" w:eastAsia="宋体"/>
          <w:color w:val="auto"/>
          <w:spacing w:val="20"/>
          <w:sz w:val="28"/>
          <w:szCs w:val="28"/>
        </w:rPr>
      </w:pPr>
      <w:r>
        <w:rPr>
          <w:rFonts w:hint="eastAsia" w:ascii="宋体" w:hAnsi="宋体" w:eastAsia="宋体"/>
          <w:color w:val="auto"/>
          <w:spacing w:val="20"/>
          <w:sz w:val="28"/>
          <w:szCs w:val="28"/>
        </w:rPr>
        <w:t>6.建筑工程消防验收批文</w:t>
      </w:r>
    </w:p>
    <w:p>
      <w:pPr>
        <w:spacing w:line="560" w:lineRule="exact"/>
        <w:rPr>
          <w:rFonts w:ascii="宋体" w:hAnsi="宋体" w:eastAsia="宋体"/>
          <w:color w:val="auto"/>
          <w:spacing w:val="20"/>
          <w:sz w:val="28"/>
          <w:szCs w:val="28"/>
        </w:rPr>
      </w:pPr>
      <w:r>
        <w:rPr>
          <w:rFonts w:hint="eastAsia" w:ascii="宋体" w:hAnsi="宋体" w:eastAsia="宋体"/>
          <w:color w:val="auto"/>
          <w:spacing w:val="20"/>
          <w:sz w:val="28"/>
          <w:szCs w:val="28"/>
        </w:rPr>
        <w:t>7.主要负责人、安全管理人员任命书</w:t>
      </w:r>
    </w:p>
    <w:p>
      <w:pPr>
        <w:spacing w:line="560" w:lineRule="exact"/>
        <w:rPr>
          <w:rFonts w:ascii="宋体" w:hAnsi="宋体" w:eastAsia="宋体"/>
          <w:color w:val="auto"/>
          <w:spacing w:val="20"/>
          <w:sz w:val="28"/>
          <w:szCs w:val="28"/>
        </w:rPr>
      </w:pPr>
      <w:r>
        <w:rPr>
          <w:rFonts w:hint="eastAsia" w:ascii="宋体" w:hAnsi="宋体" w:eastAsia="宋体"/>
          <w:color w:val="auto"/>
          <w:spacing w:val="20"/>
          <w:sz w:val="28"/>
          <w:szCs w:val="28"/>
        </w:rPr>
        <w:t>8.</w:t>
      </w:r>
      <w:r>
        <w:rPr>
          <w:rFonts w:ascii="宋体" w:hAnsi="宋体" w:eastAsia="宋体"/>
          <w:color w:val="auto"/>
          <w:spacing w:val="20"/>
          <w:sz w:val="28"/>
          <w:szCs w:val="28"/>
        </w:rPr>
        <w:t>主要负责人、安全管理人员</w:t>
      </w:r>
      <w:r>
        <w:rPr>
          <w:rFonts w:hint="eastAsia" w:ascii="宋体" w:hAnsi="宋体" w:eastAsia="宋体"/>
          <w:color w:val="auto"/>
          <w:spacing w:val="20"/>
          <w:sz w:val="28"/>
          <w:szCs w:val="28"/>
          <w:lang w:eastAsia="zh-CN"/>
        </w:rPr>
        <w:t>、注册安全工程师及相关</w:t>
      </w:r>
      <w:r>
        <w:rPr>
          <w:rFonts w:ascii="宋体" w:hAnsi="宋体" w:eastAsia="宋体"/>
          <w:color w:val="auto"/>
          <w:spacing w:val="20"/>
          <w:sz w:val="28"/>
          <w:szCs w:val="28"/>
        </w:rPr>
        <w:t>资格证书及学历证书</w:t>
      </w:r>
    </w:p>
    <w:p>
      <w:pPr>
        <w:spacing w:line="560" w:lineRule="exact"/>
        <w:rPr>
          <w:rFonts w:ascii="宋体" w:hAnsi="宋体" w:eastAsia="宋体"/>
          <w:color w:val="auto"/>
          <w:spacing w:val="20"/>
          <w:sz w:val="28"/>
          <w:szCs w:val="28"/>
        </w:rPr>
      </w:pPr>
      <w:r>
        <w:rPr>
          <w:rFonts w:hint="eastAsia" w:ascii="宋体" w:hAnsi="宋体" w:eastAsia="宋体"/>
          <w:color w:val="auto"/>
          <w:spacing w:val="20"/>
          <w:sz w:val="28"/>
          <w:szCs w:val="28"/>
        </w:rPr>
        <w:t>9.应急预案备案证明</w:t>
      </w:r>
    </w:p>
    <w:p>
      <w:pPr>
        <w:spacing w:line="560" w:lineRule="exact"/>
        <w:rPr>
          <w:rFonts w:ascii="宋体" w:hAnsi="宋体" w:eastAsia="宋体"/>
          <w:color w:val="auto"/>
          <w:spacing w:val="20"/>
          <w:sz w:val="28"/>
          <w:szCs w:val="28"/>
        </w:rPr>
      </w:pPr>
      <w:r>
        <w:rPr>
          <w:rFonts w:hint="eastAsia" w:ascii="宋体" w:hAnsi="宋体" w:eastAsia="宋体"/>
          <w:color w:val="auto"/>
          <w:spacing w:val="20"/>
          <w:sz w:val="28"/>
          <w:szCs w:val="28"/>
        </w:rPr>
        <w:t>10.工伤保险缴费证明</w:t>
      </w:r>
    </w:p>
    <w:p>
      <w:pPr>
        <w:spacing w:line="560" w:lineRule="exact"/>
        <w:rPr>
          <w:rFonts w:ascii="宋体" w:hAnsi="宋体" w:eastAsia="宋体"/>
          <w:color w:val="auto"/>
          <w:spacing w:val="20"/>
          <w:sz w:val="28"/>
          <w:szCs w:val="28"/>
        </w:rPr>
      </w:pPr>
      <w:r>
        <w:rPr>
          <w:rFonts w:hint="eastAsia" w:ascii="宋体" w:hAnsi="宋体" w:eastAsia="宋体"/>
          <w:color w:val="auto"/>
          <w:spacing w:val="20"/>
          <w:sz w:val="28"/>
          <w:szCs w:val="28"/>
        </w:rPr>
        <w:t>11.</w:t>
      </w:r>
      <w:r>
        <w:rPr>
          <w:rFonts w:ascii="宋体" w:hAnsi="宋体" w:eastAsia="宋体"/>
          <w:color w:val="auto"/>
          <w:spacing w:val="20"/>
          <w:sz w:val="28"/>
          <w:szCs w:val="28"/>
        </w:rPr>
        <w:t>安全</w:t>
      </w:r>
      <w:r>
        <w:rPr>
          <w:rFonts w:hint="eastAsia" w:ascii="宋体" w:hAnsi="宋体" w:eastAsia="宋体"/>
          <w:color w:val="auto"/>
          <w:spacing w:val="20"/>
          <w:sz w:val="28"/>
          <w:szCs w:val="28"/>
          <w:lang w:eastAsia="zh-CN"/>
        </w:rPr>
        <w:t>生产</w:t>
      </w:r>
      <w:r>
        <w:rPr>
          <w:rFonts w:ascii="宋体" w:hAnsi="宋体" w:eastAsia="宋体"/>
          <w:color w:val="auto"/>
          <w:spacing w:val="20"/>
          <w:sz w:val="28"/>
          <w:szCs w:val="28"/>
        </w:rPr>
        <w:t>管理</w:t>
      </w:r>
      <w:r>
        <w:rPr>
          <w:rFonts w:hint="eastAsia" w:ascii="宋体" w:hAnsi="宋体" w:eastAsia="宋体"/>
          <w:color w:val="auto"/>
          <w:spacing w:val="20"/>
          <w:sz w:val="28"/>
          <w:szCs w:val="28"/>
          <w:lang w:eastAsia="zh-CN"/>
        </w:rPr>
        <w:t>组织架构图</w:t>
      </w:r>
    </w:p>
    <w:p>
      <w:pPr>
        <w:spacing w:line="560" w:lineRule="exact"/>
        <w:rPr>
          <w:rFonts w:ascii="宋体" w:hAnsi="宋体" w:eastAsia="宋体"/>
          <w:color w:val="auto"/>
          <w:spacing w:val="20"/>
          <w:sz w:val="28"/>
          <w:szCs w:val="28"/>
        </w:rPr>
      </w:pPr>
      <w:r>
        <w:rPr>
          <w:rFonts w:hint="eastAsia" w:ascii="宋体" w:hAnsi="宋体" w:eastAsia="宋体"/>
          <w:color w:val="auto"/>
          <w:spacing w:val="20"/>
          <w:sz w:val="28"/>
          <w:szCs w:val="28"/>
        </w:rPr>
        <w:t>12.安全生产责任制度</w:t>
      </w:r>
    </w:p>
    <w:p>
      <w:pPr>
        <w:spacing w:line="560" w:lineRule="exact"/>
        <w:rPr>
          <w:rFonts w:ascii="宋体" w:hAnsi="宋体" w:eastAsia="宋体"/>
          <w:color w:val="auto"/>
          <w:spacing w:val="20"/>
          <w:sz w:val="28"/>
          <w:szCs w:val="28"/>
        </w:rPr>
      </w:pPr>
      <w:r>
        <w:rPr>
          <w:rFonts w:hint="eastAsia" w:ascii="宋体" w:hAnsi="宋体" w:eastAsia="宋体"/>
          <w:color w:val="auto"/>
          <w:spacing w:val="20"/>
          <w:sz w:val="28"/>
          <w:szCs w:val="28"/>
        </w:rPr>
        <w:t>13.安全管理制度目录和安全操作规程目录</w:t>
      </w:r>
    </w:p>
    <w:p>
      <w:pPr>
        <w:spacing w:line="560" w:lineRule="exact"/>
        <w:rPr>
          <w:rFonts w:hint="eastAsia" w:ascii="宋体" w:hAnsi="宋体" w:eastAsia="宋体"/>
          <w:color w:val="auto"/>
          <w:spacing w:val="20"/>
          <w:sz w:val="28"/>
          <w:szCs w:val="28"/>
          <w:lang w:eastAsia="zh-CN"/>
        </w:rPr>
      </w:pPr>
      <w:r>
        <w:rPr>
          <w:rFonts w:hint="eastAsia" w:ascii="宋体" w:hAnsi="宋体" w:eastAsia="宋体"/>
          <w:color w:val="auto"/>
          <w:spacing w:val="20"/>
          <w:sz w:val="28"/>
          <w:szCs w:val="28"/>
        </w:rPr>
        <w:t>14.人员</w:t>
      </w:r>
      <w:r>
        <w:rPr>
          <w:rFonts w:hint="eastAsia" w:ascii="宋体" w:hAnsi="宋体" w:eastAsia="宋体"/>
          <w:color w:val="auto"/>
          <w:spacing w:val="20"/>
          <w:sz w:val="28"/>
          <w:szCs w:val="28"/>
          <w:lang w:eastAsia="zh-CN"/>
        </w:rPr>
        <w:t>资格证明</w:t>
      </w:r>
    </w:p>
    <w:p>
      <w:pPr>
        <w:spacing w:line="560" w:lineRule="exact"/>
        <w:rPr>
          <w:rFonts w:ascii="宋体" w:hAnsi="宋体" w:eastAsia="宋体"/>
          <w:color w:val="auto"/>
          <w:spacing w:val="20"/>
          <w:sz w:val="28"/>
          <w:szCs w:val="28"/>
        </w:rPr>
      </w:pPr>
      <w:r>
        <w:rPr>
          <w:rFonts w:hint="eastAsia" w:ascii="宋体" w:hAnsi="宋体" w:eastAsia="宋体"/>
          <w:color w:val="auto"/>
          <w:spacing w:val="20"/>
          <w:sz w:val="28"/>
          <w:szCs w:val="28"/>
        </w:rPr>
        <w:t>15.防雷检查合格证及检测报告</w:t>
      </w:r>
    </w:p>
    <w:p>
      <w:pPr>
        <w:spacing w:line="560" w:lineRule="exact"/>
        <w:rPr>
          <w:rFonts w:ascii="宋体" w:hAnsi="宋体" w:eastAsia="宋体"/>
          <w:color w:val="auto"/>
          <w:spacing w:val="20"/>
          <w:sz w:val="28"/>
          <w:szCs w:val="28"/>
        </w:rPr>
      </w:pPr>
      <w:r>
        <w:rPr>
          <w:rFonts w:hint="eastAsia" w:ascii="宋体" w:hAnsi="宋体" w:eastAsia="宋体"/>
          <w:color w:val="auto"/>
          <w:spacing w:val="20"/>
          <w:sz w:val="28"/>
          <w:szCs w:val="28"/>
        </w:rPr>
        <w:t>16.</w:t>
      </w:r>
      <w:r>
        <w:rPr>
          <w:rFonts w:hint="eastAsia" w:ascii="宋体" w:hAnsi="宋体" w:eastAsia="宋体"/>
          <w:color w:val="auto"/>
          <w:spacing w:val="20"/>
          <w:sz w:val="28"/>
          <w:szCs w:val="28"/>
          <w:lang w:eastAsia="zh-CN"/>
        </w:rPr>
        <w:t>可燃气体报警器检测证明</w:t>
      </w:r>
    </w:p>
    <w:p>
      <w:pPr>
        <w:spacing w:line="560" w:lineRule="exact"/>
        <w:rPr>
          <w:rFonts w:ascii="宋体" w:hAnsi="宋体" w:eastAsia="宋体"/>
          <w:color w:val="auto"/>
          <w:spacing w:val="20"/>
          <w:sz w:val="28"/>
          <w:szCs w:val="28"/>
        </w:rPr>
      </w:pPr>
      <w:r>
        <w:rPr>
          <w:rFonts w:hint="eastAsia" w:ascii="宋体" w:hAnsi="宋体" w:eastAsia="宋体"/>
          <w:color w:val="auto"/>
          <w:spacing w:val="20"/>
          <w:sz w:val="28"/>
          <w:szCs w:val="28"/>
        </w:rPr>
        <w:t>17.四至图</w:t>
      </w:r>
    </w:p>
    <w:p>
      <w:pPr>
        <w:spacing w:line="560" w:lineRule="exact"/>
        <w:rPr>
          <w:rFonts w:ascii="宋体" w:hAnsi="宋体" w:eastAsia="宋体"/>
          <w:color w:val="auto"/>
          <w:spacing w:val="20"/>
          <w:sz w:val="28"/>
          <w:szCs w:val="28"/>
        </w:rPr>
      </w:pPr>
      <w:r>
        <w:rPr>
          <w:rFonts w:hint="eastAsia" w:ascii="宋体" w:hAnsi="宋体" w:eastAsia="宋体"/>
          <w:color w:val="auto"/>
          <w:spacing w:val="20"/>
          <w:sz w:val="28"/>
          <w:szCs w:val="28"/>
        </w:rPr>
        <w:t>18.消防设施布置图</w:t>
      </w:r>
    </w:p>
    <w:p>
      <w:pPr>
        <w:spacing w:line="560" w:lineRule="exact"/>
        <w:rPr>
          <w:rFonts w:ascii="宋体" w:hAnsi="宋体" w:eastAsia="宋体"/>
          <w:color w:val="auto"/>
          <w:spacing w:val="20"/>
          <w:sz w:val="28"/>
          <w:szCs w:val="28"/>
        </w:rPr>
      </w:pPr>
      <w:r>
        <w:rPr>
          <w:rFonts w:hint="eastAsia" w:ascii="宋体" w:hAnsi="宋体" w:eastAsia="宋体"/>
          <w:color w:val="auto"/>
          <w:spacing w:val="20"/>
          <w:sz w:val="28"/>
          <w:szCs w:val="28"/>
        </w:rPr>
        <w:t>19.防爆区域划分图</w:t>
      </w:r>
    </w:p>
    <w:p>
      <w:pPr>
        <w:spacing w:line="560" w:lineRule="exact"/>
        <w:rPr>
          <w:rFonts w:ascii="宋体" w:hAnsi="宋体" w:eastAsia="宋体"/>
          <w:color w:val="auto"/>
          <w:spacing w:val="20"/>
          <w:sz w:val="28"/>
          <w:szCs w:val="28"/>
          <w:lang w:eastAsia="zh-CN"/>
        </w:rPr>
      </w:pPr>
      <w:r>
        <w:rPr>
          <w:rFonts w:hint="eastAsia" w:ascii="宋体" w:hAnsi="宋体" w:eastAsia="宋体"/>
          <w:color w:val="auto"/>
          <w:spacing w:val="20"/>
          <w:sz w:val="28"/>
          <w:szCs w:val="28"/>
        </w:rPr>
        <w:t>20.应急疏散路线图</w:t>
      </w:r>
    </w:p>
    <w:p>
      <w:pPr>
        <w:spacing w:line="560" w:lineRule="exact"/>
        <w:rPr>
          <w:rFonts w:ascii="宋体" w:hAnsi="宋体" w:eastAsia="宋体"/>
          <w:color w:val="auto"/>
          <w:spacing w:val="20"/>
          <w:sz w:val="28"/>
          <w:szCs w:val="28"/>
          <w:lang w:eastAsia="zh-CN"/>
        </w:rPr>
      </w:pPr>
      <w:r>
        <w:rPr>
          <w:rFonts w:hint="eastAsia" w:ascii="宋体" w:hAnsi="宋体" w:eastAsia="宋体"/>
          <w:color w:val="auto"/>
          <w:spacing w:val="20"/>
          <w:sz w:val="28"/>
          <w:szCs w:val="28"/>
          <w:lang w:eastAsia="zh-CN"/>
        </w:rPr>
        <w:t>21.整改前后照片</w:t>
      </w:r>
    </w:p>
    <w:p>
      <w:pPr>
        <w:spacing w:line="560" w:lineRule="exact"/>
        <w:rPr>
          <w:rFonts w:ascii="宋体" w:hAnsi="宋体" w:eastAsia="宋体"/>
          <w:color w:val="auto"/>
          <w:spacing w:val="20"/>
          <w:sz w:val="28"/>
          <w:szCs w:val="28"/>
          <w:lang w:eastAsia="zh-CN"/>
        </w:rPr>
      </w:pPr>
      <w:r>
        <w:rPr>
          <w:rFonts w:hint="eastAsia" w:ascii="宋体" w:hAnsi="宋体" w:eastAsia="宋体"/>
          <w:color w:val="auto"/>
          <w:spacing w:val="20"/>
          <w:sz w:val="28"/>
          <w:szCs w:val="28"/>
          <w:lang w:eastAsia="zh-CN"/>
        </w:rPr>
        <w:t>22.现场照片</w:t>
      </w:r>
    </w:p>
    <w:p>
      <w:pPr>
        <w:spacing w:line="560" w:lineRule="exact"/>
        <w:ind w:firstLine="454" w:firstLineChars="142"/>
        <w:rPr>
          <w:rFonts w:ascii="宋体" w:hAnsi="宋体" w:eastAsia="宋体"/>
          <w:color w:val="auto"/>
          <w:spacing w:val="20"/>
          <w:sz w:val="28"/>
          <w:szCs w:val="28"/>
          <w:lang w:eastAsia="zh-CN"/>
        </w:rPr>
      </w:pPr>
    </w:p>
    <w:p>
      <w:pPr>
        <w:spacing w:line="560" w:lineRule="exact"/>
        <w:ind w:firstLine="454" w:firstLineChars="142"/>
        <w:rPr>
          <w:rFonts w:ascii="宋体" w:hAnsi="宋体" w:eastAsia="宋体"/>
          <w:color w:val="auto"/>
          <w:spacing w:val="20"/>
          <w:sz w:val="28"/>
          <w:szCs w:val="28"/>
          <w:lang w:eastAsia="zh-CN"/>
        </w:rPr>
        <w:sectPr>
          <w:headerReference r:id="rId5" w:type="default"/>
          <w:footerReference r:id="rId6" w:type="default"/>
          <w:pgSz w:w="11900" w:h="16840"/>
          <w:pgMar w:top="1418" w:right="1134" w:bottom="1134" w:left="1588" w:header="964" w:footer="454" w:gutter="0"/>
          <w:cols w:space="720" w:num="1"/>
          <w:docGrid w:linePitch="360" w:charSpace="0"/>
        </w:sectPr>
      </w:pPr>
    </w:p>
    <w:p>
      <w:pPr>
        <w:spacing w:line="560" w:lineRule="exact"/>
        <w:ind w:firstLine="454" w:firstLineChars="142"/>
        <w:rPr>
          <w:rFonts w:ascii="宋体" w:hAnsi="宋体" w:eastAsia="宋体"/>
          <w:color w:val="auto"/>
          <w:spacing w:val="20"/>
          <w:sz w:val="28"/>
          <w:szCs w:val="28"/>
          <w:lang w:eastAsia="zh-CN"/>
        </w:rPr>
      </w:pPr>
      <w:r>
        <w:rPr>
          <w:rFonts w:hint="eastAsia" w:ascii="宋体" w:hAnsi="宋体" w:eastAsia="宋体"/>
          <w:color w:val="auto"/>
          <w:spacing w:val="20"/>
          <w:sz w:val="28"/>
          <w:szCs w:val="28"/>
          <w:lang w:eastAsia="zh-CN"/>
        </w:rPr>
        <w:t>1.</w:t>
      </w:r>
      <w:r>
        <w:rPr>
          <w:rFonts w:ascii="宋体" w:hAnsi="宋体" w:eastAsia="宋体"/>
          <w:color w:val="auto"/>
          <w:spacing w:val="20"/>
          <w:sz w:val="28"/>
          <w:szCs w:val="28"/>
        </w:rPr>
        <w:t>营业执照</w:t>
      </w:r>
    </w:p>
    <w:p>
      <w:pPr>
        <w:rPr>
          <w:rFonts w:ascii="宋体" w:hAnsi="宋体" w:eastAsia="宋体"/>
          <w:color w:val="auto"/>
          <w:spacing w:val="20"/>
          <w:sz w:val="28"/>
          <w:szCs w:val="28"/>
          <w:lang w:eastAsia="zh-CN"/>
        </w:rPr>
      </w:pPr>
      <w:r>
        <w:rPr>
          <w:rFonts w:ascii="宋体" w:hAnsi="宋体" w:eastAsia="宋体"/>
          <w:color w:val="auto"/>
          <w:spacing w:val="20"/>
          <w:sz w:val="28"/>
          <w:szCs w:val="28"/>
          <w:lang w:val="en-US" w:eastAsia="zh-CN" w:bidi="ar-SA"/>
        </w:rPr>
        <w:drawing>
          <wp:inline distT="0" distB="0" distL="0" distR="0">
            <wp:extent cx="5419725" cy="8163560"/>
            <wp:effectExtent l="0" t="0" r="9525" b="8890"/>
            <wp:docPr id="7" name="图片 4" descr="C:/Users/mayn/AppData/Local/Temp/picturecompress_20211118100829/output_25.pngoutput_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4" descr="C:/Users/mayn/AppData/Local/Temp/picturecompress_20211118100829/output_25.pngoutput_25"/>
                    <pic:cNvPicPr>
                      <a:picLocks noChangeAspect="1" noChangeArrowheads="1"/>
                    </pic:cNvPicPr>
                  </pic:nvPicPr>
                  <pic:blipFill>
                    <a:blip r:embed="rId14"/>
                    <a:srcRect/>
                    <a:stretch>
                      <a:fillRect/>
                    </a:stretch>
                  </pic:blipFill>
                  <pic:spPr>
                    <a:xfrm>
                      <a:off x="0" y="0"/>
                      <a:ext cx="5419725" cy="8163560"/>
                    </a:xfrm>
                    <a:prstGeom prst="rect">
                      <a:avLst/>
                    </a:prstGeom>
                    <a:noFill/>
                    <a:ln w="9525">
                      <a:noFill/>
                      <a:miter lim="800000"/>
                      <a:headEnd/>
                      <a:tailEnd/>
                    </a:ln>
                  </pic:spPr>
                </pic:pic>
              </a:graphicData>
            </a:graphic>
          </wp:inline>
        </w:drawing>
      </w:r>
      <w:r>
        <w:rPr>
          <w:rFonts w:ascii="宋体" w:hAnsi="宋体" w:eastAsia="宋体"/>
          <w:color w:val="auto"/>
          <w:spacing w:val="20"/>
          <w:sz w:val="28"/>
          <w:szCs w:val="28"/>
          <w:lang w:eastAsia="zh-CN"/>
        </w:rPr>
        <w:br w:type="page"/>
      </w:r>
    </w:p>
    <w:p>
      <w:pPr>
        <w:spacing w:line="560" w:lineRule="exact"/>
        <w:rPr>
          <w:rFonts w:ascii="宋体" w:hAnsi="宋体" w:eastAsia="宋体"/>
          <w:color w:val="auto"/>
          <w:spacing w:val="20"/>
          <w:sz w:val="28"/>
          <w:szCs w:val="28"/>
          <w:lang w:eastAsia="zh-CN"/>
        </w:rPr>
      </w:pPr>
      <w:r>
        <w:rPr>
          <w:rFonts w:hint="eastAsia" w:ascii="宋体" w:hAnsi="宋体" w:eastAsia="宋体"/>
          <w:color w:val="auto"/>
          <w:spacing w:val="20"/>
          <w:sz w:val="28"/>
          <w:szCs w:val="28"/>
          <w:lang w:val="en-US" w:eastAsia="zh-CN" w:bidi="ar-SA"/>
        </w:rPr>
        <w:drawing>
          <wp:anchor distT="0" distB="0" distL="114300" distR="114300" simplePos="0" relativeHeight="251667456" behindDoc="0" locked="0" layoutInCell="1" allowOverlap="1">
            <wp:simplePos x="0" y="0"/>
            <wp:positionH relativeFrom="column">
              <wp:posOffset>19050</wp:posOffset>
            </wp:positionH>
            <wp:positionV relativeFrom="paragraph">
              <wp:posOffset>472440</wp:posOffset>
            </wp:positionV>
            <wp:extent cx="5817235" cy="8198485"/>
            <wp:effectExtent l="0" t="0" r="12065" b="12065"/>
            <wp:wrapSquare wrapText="bothSides"/>
            <wp:docPr id="8" name="图片 5" descr="C:/Users/mayn/AppData/Local/Temp/picturecompress_20211118100829/output_5.pngoutput_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5" descr="C:/Users/mayn/AppData/Local/Temp/picturecompress_20211118100829/output_5.pngoutput_5"/>
                    <pic:cNvPicPr>
                      <a:picLocks noChangeAspect="1" noChangeArrowheads="1"/>
                    </pic:cNvPicPr>
                  </pic:nvPicPr>
                  <pic:blipFill>
                    <a:blip r:embed="rId15"/>
                    <a:srcRect/>
                    <a:stretch>
                      <a:fillRect/>
                    </a:stretch>
                  </pic:blipFill>
                  <pic:spPr>
                    <a:xfrm>
                      <a:off x="0" y="0"/>
                      <a:ext cx="5817235" cy="8198485"/>
                    </a:xfrm>
                    <a:prstGeom prst="rect">
                      <a:avLst/>
                    </a:prstGeom>
                    <a:noFill/>
                    <a:ln w="9525">
                      <a:noFill/>
                      <a:miter lim="800000"/>
                      <a:headEnd/>
                      <a:tailEnd/>
                    </a:ln>
                  </pic:spPr>
                </pic:pic>
              </a:graphicData>
            </a:graphic>
          </wp:anchor>
        </w:drawing>
      </w:r>
      <w:r>
        <w:rPr>
          <w:rFonts w:hint="eastAsia" w:ascii="宋体" w:hAnsi="宋体" w:eastAsia="宋体"/>
          <w:color w:val="auto"/>
          <w:spacing w:val="20"/>
          <w:sz w:val="28"/>
          <w:szCs w:val="28"/>
          <w:lang w:eastAsia="zh-CN"/>
        </w:rPr>
        <w:t>2.</w:t>
      </w:r>
      <w:r>
        <w:rPr>
          <w:rFonts w:ascii="宋体" w:hAnsi="宋体" w:eastAsia="宋体"/>
          <w:color w:val="auto"/>
          <w:spacing w:val="20"/>
          <w:sz w:val="28"/>
          <w:szCs w:val="28"/>
        </w:rPr>
        <w:t>原安全生产许可证副本</w:t>
      </w:r>
    </w:p>
    <w:p>
      <w:pPr>
        <w:rPr>
          <w:rFonts w:ascii="宋体" w:hAnsi="宋体" w:eastAsia="宋体"/>
          <w:color w:val="auto"/>
          <w:spacing w:val="20"/>
          <w:sz w:val="28"/>
          <w:szCs w:val="28"/>
          <w:lang w:eastAsia="zh-CN"/>
        </w:rPr>
      </w:pPr>
      <w:r>
        <w:rPr>
          <w:rFonts w:ascii="宋体" w:hAnsi="宋体" w:eastAsia="宋体"/>
          <w:color w:val="auto"/>
          <w:spacing w:val="20"/>
          <w:sz w:val="28"/>
          <w:szCs w:val="28"/>
          <w:lang w:eastAsia="zh-CN"/>
        </w:rPr>
        <w:br w:type="page"/>
      </w:r>
    </w:p>
    <w:p>
      <w:pPr>
        <w:spacing w:line="560" w:lineRule="exact"/>
        <w:ind w:firstLine="454" w:firstLineChars="142"/>
        <w:rPr>
          <w:rFonts w:ascii="宋体" w:hAnsi="宋体" w:eastAsia="宋体"/>
          <w:color w:val="auto"/>
          <w:spacing w:val="20"/>
          <w:sz w:val="28"/>
          <w:szCs w:val="28"/>
          <w:lang w:eastAsia="zh-CN"/>
        </w:rPr>
      </w:pPr>
      <w:r>
        <w:rPr>
          <w:rFonts w:hint="eastAsia" w:ascii="宋体" w:hAnsi="宋体" w:eastAsia="宋体"/>
          <w:color w:val="auto"/>
          <w:spacing w:val="20"/>
          <w:sz w:val="28"/>
          <w:szCs w:val="28"/>
          <w:lang w:val="en-US" w:eastAsia="zh-CN" w:bidi="ar-SA"/>
        </w:rPr>
        <w:drawing>
          <wp:anchor distT="0" distB="0" distL="114300" distR="114300" simplePos="0" relativeHeight="251668480" behindDoc="0" locked="0" layoutInCell="1" allowOverlap="1">
            <wp:simplePos x="0" y="0"/>
            <wp:positionH relativeFrom="column">
              <wp:posOffset>-56515</wp:posOffset>
            </wp:positionH>
            <wp:positionV relativeFrom="paragraph">
              <wp:posOffset>401320</wp:posOffset>
            </wp:positionV>
            <wp:extent cx="5817235" cy="8038465"/>
            <wp:effectExtent l="0" t="0" r="12065" b="635"/>
            <wp:wrapSquare wrapText="bothSides"/>
            <wp:docPr id="9" name="图片 6" descr="C:/Users/mayn/AppData/Local/Temp/picturecompress_20211118100829/output_6.pngoutput_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6" descr="C:/Users/mayn/AppData/Local/Temp/picturecompress_20211118100829/output_6.pngoutput_6"/>
                    <pic:cNvPicPr>
                      <a:picLocks noChangeAspect="1" noChangeArrowheads="1"/>
                    </pic:cNvPicPr>
                  </pic:nvPicPr>
                  <pic:blipFill>
                    <a:blip r:embed="rId16"/>
                    <a:srcRect/>
                    <a:stretch>
                      <a:fillRect/>
                    </a:stretch>
                  </pic:blipFill>
                  <pic:spPr>
                    <a:xfrm>
                      <a:off x="0" y="0"/>
                      <a:ext cx="5817235" cy="8038465"/>
                    </a:xfrm>
                    <a:prstGeom prst="rect">
                      <a:avLst/>
                    </a:prstGeom>
                    <a:noFill/>
                    <a:ln w="9525">
                      <a:noFill/>
                      <a:miter lim="800000"/>
                      <a:headEnd/>
                      <a:tailEnd/>
                    </a:ln>
                  </pic:spPr>
                </pic:pic>
              </a:graphicData>
            </a:graphic>
          </wp:anchor>
        </w:drawing>
      </w:r>
      <w:r>
        <w:rPr>
          <w:rFonts w:hint="eastAsia" w:ascii="宋体" w:hAnsi="宋体" w:eastAsia="宋体"/>
          <w:color w:val="auto"/>
          <w:spacing w:val="20"/>
          <w:sz w:val="28"/>
          <w:szCs w:val="28"/>
          <w:lang w:eastAsia="zh-CN"/>
        </w:rPr>
        <w:t>3.</w:t>
      </w:r>
      <w:r>
        <w:rPr>
          <w:rFonts w:ascii="宋体" w:hAnsi="宋体" w:eastAsia="宋体"/>
          <w:color w:val="auto"/>
          <w:spacing w:val="20"/>
          <w:sz w:val="28"/>
          <w:szCs w:val="28"/>
        </w:rPr>
        <w:t>危险化学品登记证书</w:t>
      </w:r>
    </w:p>
    <w:p>
      <w:pPr>
        <w:spacing w:line="560" w:lineRule="exact"/>
        <w:ind w:firstLine="454" w:firstLineChars="142"/>
        <w:rPr>
          <w:rFonts w:ascii="宋体" w:hAnsi="宋体" w:eastAsia="宋体"/>
          <w:color w:val="auto"/>
          <w:spacing w:val="20"/>
          <w:sz w:val="28"/>
          <w:szCs w:val="28"/>
          <w:lang w:eastAsia="zh-CN"/>
        </w:rPr>
      </w:pPr>
    </w:p>
    <w:p>
      <w:pPr>
        <w:rPr>
          <w:rFonts w:ascii="宋体" w:hAnsi="宋体" w:eastAsia="宋体"/>
          <w:color w:val="auto"/>
          <w:spacing w:val="20"/>
          <w:sz w:val="28"/>
          <w:szCs w:val="28"/>
          <w:lang w:eastAsia="zh-CN"/>
        </w:rPr>
      </w:pPr>
      <w:r>
        <w:rPr>
          <w:rFonts w:ascii="宋体" w:hAnsi="宋体" w:eastAsia="宋体"/>
          <w:color w:val="auto"/>
          <w:spacing w:val="20"/>
          <w:sz w:val="28"/>
          <w:szCs w:val="28"/>
          <w:lang w:val="en-US" w:eastAsia="zh-CN" w:bidi="ar-SA"/>
        </w:rPr>
        <w:drawing>
          <wp:inline distT="0" distB="0" distL="0" distR="0">
            <wp:extent cx="5596255" cy="7795895"/>
            <wp:effectExtent l="0" t="0" r="4445" b="14605"/>
            <wp:docPr id="15" name="图片 12" descr="C:/Users/mayn/AppData/Local/Temp/picturecompress_20211118100829/output_26.jpgoutput_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2" descr="C:/Users/mayn/AppData/Local/Temp/picturecompress_20211118100829/output_26.jpgoutput_26"/>
                    <pic:cNvPicPr>
                      <a:picLocks noChangeAspect="1" noChangeArrowheads="1"/>
                    </pic:cNvPicPr>
                  </pic:nvPicPr>
                  <pic:blipFill>
                    <a:blip r:embed="rId17"/>
                    <a:srcRect/>
                    <a:stretch>
                      <a:fillRect/>
                    </a:stretch>
                  </pic:blipFill>
                  <pic:spPr>
                    <a:xfrm>
                      <a:off x="0" y="0"/>
                      <a:ext cx="5596255" cy="7795895"/>
                    </a:xfrm>
                    <a:prstGeom prst="rect">
                      <a:avLst/>
                    </a:prstGeom>
                    <a:noFill/>
                    <a:ln w="9525">
                      <a:noFill/>
                      <a:miter lim="800000"/>
                      <a:headEnd/>
                      <a:tailEnd/>
                    </a:ln>
                  </pic:spPr>
                </pic:pic>
              </a:graphicData>
            </a:graphic>
          </wp:inline>
        </w:drawing>
      </w:r>
      <w:r>
        <w:rPr>
          <w:rFonts w:ascii="宋体" w:hAnsi="宋体" w:eastAsia="宋体"/>
          <w:color w:val="auto"/>
          <w:spacing w:val="20"/>
          <w:sz w:val="28"/>
          <w:szCs w:val="28"/>
          <w:lang w:eastAsia="zh-CN"/>
        </w:rPr>
        <w:t xml:space="preserve"> </w:t>
      </w:r>
      <w:r>
        <w:rPr>
          <w:rFonts w:ascii="宋体" w:hAnsi="宋体" w:eastAsia="宋体"/>
          <w:color w:val="auto"/>
          <w:spacing w:val="20"/>
          <w:sz w:val="28"/>
          <w:szCs w:val="28"/>
          <w:lang w:eastAsia="zh-CN"/>
        </w:rPr>
        <w:br w:type="page"/>
      </w:r>
    </w:p>
    <w:p>
      <w:pPr>
        <w:rPr>
          <w:rFonts w:ascii="宋体" w:hAnsi="宋体" w:eastAsia="宋体"/>
          <w:color w:val="auto"/>
          <w:spacing w:val="20"/>
          <w:sz w:val="28"/>
          <w:szCs w:val="28"/>
          <w:lang w:eastAsia="zh-CN"/>
        </w:rPr>
      </w:pPr>
      <w:r>
        <w:rPr>
          <w:rFonts w:hint="eastAsia" w:ascii="宋体" w:hAnsi="宋体" w:eastAsia="宋体"/>
          <w:color w:val="auto"/>
          <w:spacing w:val="20"/>
          <w:sz w:val="28"/>
          <w:szCs w:val="28"/>
          <w:lang w:eastAsia="zh-CN"/>
        </w:rPr>
        <w:t>4.排污许可证</w:t>
      </w:r>
    </w:p>
    <w:p>
      <w:pPr>
        <w:rPr>
          <w:rFonts w:ascii="宋体" w:hAnsi="宋体" w:eastAsia="宋体"/>
          <w:color w:val="auto"/>
          <w:spacing w:val="20"/>
          <w:sz w:val="28"/>
          <w:szCs w:val="28"/>
          <w:lang w:eastAsia="zh-CN"/>
        </w:rPr>
      </w:pPr>
      <w:r>
        <w:rPr>
          <w:rFonts w:ascii="宋体" w:hAnsi="宋体" w:eastAsia="宋体"/>
          <w:color w:val="auto"/>
          <w:spacing w:val="20"/>
          <w:sz w:val="28"/>
          <w:szCs w:val="28"/>
          <w:lang w:val="en-US" w:eastAsia="zh-CN" w:bidi="ar-SA"/>
        </w:rPr>
        <w:drawing>
          <wp:inline distT="0" distB="0" distL="0" distR="0">
            <wp:extent cx="5578475" cy="8629650"/>
            <wp:effectExtent l="0" t="0" r="3175" b="0"/>
            <wp:docPr id="58" name="图片 58" descr="C:/Users/mayn/AppData/Local/Temp/picturecompress_20211118100829/output_27.jpgoutput_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C:/Users/mayn/AppData/Local/Temp/picturecompress_20211118100829/output_27.jpgoutput_27"/>
                    <pic:cNvPicPr>
                      <a:picLocks noChangeAspect="1" noChangeArrowheads="1"/>
                    </pic:cNvPicPr>
                  </pic:nvPicPr>
                  <pic:blipFill>
                    <a:blip r:embed="rId18"/>
                    <a:srcRect/>
                    <a:stretch>
                      <a:fillRect/>
                    </a:stretch>
                  </pic:blipFill>
                  <pic:spPr>
                    <a:xfrm>
                      <a:off x="0" y="0"/>
                      <a:ext cx="5578475" cy="8629650"/>
                    </a:xfrm>
                    <a:prstGeom prst="rect">
                      <a:avLst/>
                    </a:prstGeom>
                    <a:noFill/>
                    <a:ln w="9525">
                      <a:noFill/>
                      <a:miter lim="800000"/>
                      <a:headEnd/>
                      <a:tailEnd/>
                    </a:ln>
                  </pic:spPr>
                </pic:pic>
              </a:graphicData>
            </a:graphic>
          </wp:inline>
        </w:drawing>
      </w:r>
      <w:r>
        <w:rPr>
          <w:rFonts w:ascii="宋体" w:hAnsi="宋体" w:eastAsia="宋体"/>
          <w:color w:val="auto"/>
          <w:spacing w:val="20"/>
          <w:sz w:val="28"/>
          <w:szCs w:val="28"/>
          <w:lang w:eastAsia="zh-CN"/>
        </w:rPr>
        <w:t xml:space="preserve"> </w:t>
      </w:r>
      <w:r>
        <w:rPr>
          <w:rFonts w:ascii="宋体" w:hAnsi="宋体" w:eastAsia="宋体"/>
          <w:color w:val="auto"/>
          <w:spacing w:val="20"/>
          <w:sz w:val="28"/>
          <w:szCs w:val="28"/>
          <w:lang w:eastAsia="zh-CN"/>
        </w:rPr>
        <w:br w:type="page"/>
      </w:r>
    </w:p>
    <w:p>
      <w:pPr>
        <w:spacing w:line="560" w:lineRule="exact"/>
        <w:ind w:firstLine="454" w:firstLineChars="142"/>
        <w:rPr>
          <w:rFonts w:ascii="宋体" w:hAnsi="宋体" w:eastAsia="宋体"/>
          <w:color w:val="auto"/>
          <w:spacing w:val="20"/>
          <w:sz w:val="28"/>
          <w:szCs w:val="28"/>
          <w:lang w:eastAsia="zh-CN"/>
        </w:rPr>
      </w:pPr>
      <w:r>
        <w:rPr>
          <w:rFonts w:hint="eastAsia" w:ascii="宋体" w:hAnsi="宋体" w:eastAsia="宋体"/>
          <w:color w:val="auto"/>
          <w:spacing w:val="20"/>
          <w:sz w:val="28"/>
          <w:szCs w:val="28"/>
          <w:lang w:val="en-US" w:eastAsia="zh-CN" w:bidi="ar-SA"/>
        </w:rPr>
        <w:drawing>
          <wp:anchor distT="0" distB="0" distL="114300" distR="114300" simplePos="0" relativeHeight="251669504" behindDoc="0" locked="0" layoutInCell="1" allowOverlap="1">
            <wp:simplePos x="0" y="0"/>
            <wp:positionH relativeFrom="column">
              <wp:posOffset>-207010</wp:posOffset>
            </wp:positionH>
            <wp:positionV relativeFrom="paragraph">
              <wp:posOffset>579755</wp:posOffset>
            </wp:positionV>
            <wp:extent cx="5817235" cy="8360410"/>
            <wp:effectExtent l="0" t="0" r="12065" b="2540"/>
            <wp:wrapSquare wrapText="bothSides"/>
            <wp:docPr id="10" name="图片 7" descr="C:/Users/mayn/AppData/Local/Temp/picturecompress_20211118100829/output_7.pngoutput_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7" descr="C:/Users/mayn/AppData/Local/Temp/picturecompress_20211118100829/output_7.pngoutput_7"/>
                    <pic:cNvPicPr>
                      <a:picLocks noChangeAspect="1" noChangeArrowheads="1"/>
                    </pic:cNvPicPr>
                  </pic:nvPicPr>
                  <pic:blipFill>
                    <a:blip r:embed="rId19"/>
                    <a:srcRect/>
                    <a:stretch>
                      <a:fillRect/>
                    </a:stretch>
                  </pic:blipFill>
                  <pic:spPr>
                    <a:xfrm>
                      <a:off x="0" y="0"/>
                      <a:ext cx="5817235" cy="8360410"/>
                    </a:xfrm>
                    <a:prstGeom prst="rect">
                      <a:avLst/>
                    </a:prstGeom>
                    <a:noFill/>
                    <a:ln w="9525">
                      <a:noFill/>
                      <a:miter lim="800000"/>
                      <a:headEnd/>
                      <a:tailEnd/>
                    </a:ln>
                  </pic:spPr>
                </pic:pic>
              </a:graphicData>
            </a:graphic>
          </wp:anchor>
        </w:drawing>
      </w:r>
      <w:r>
        <w:rPr>
          <w:rFonts w:hint="eastAsia" w:ascii="宋体" w:hAnsi="宋体" w:eastAsia="宋体"/>
          <w:color w:val="auto"/>
          <w:spacing w:val="20"/>
          <w:sz w:val="28"/>
          <w:szCs w:val="28"/>
          <w:lang w:eastAsia="zh-CN"/>
        </w:rPr>
        <w:t>5.土地使用证</w:t>
      </w:r>
    </w:p>
    <w:p>
      <w:pPr>
        <w:spacing w:line="560" w:lineRule="exact"/>
        <w:ind w:firstLine="454" w:firstLineChars="142"/>
        <w:rPr>
          <w:rFonts w:ascii="宋体" w:hAnsi="宋体" w:eastAsia="宋体"/>
          <w:color w:val="auto"/>
          <w:spacing w:val="20"/>
          <w:sz w:val="28"/>
          <w:szCs w:val="28"/>
          <w:lang w:eastAsia="zh-CN"/>
        </w:rPr>
      </w:pPr>
    </w:p>
    <w:p>
      <w:pPr>
        <w:spacing w:line="560" w:lineRule="exact"/>
        <w:ind w:firstLine="454" w:firstLineChars="142"/>
        <w:rPr>
          <w:rFonts w:ascii="宋体" w:hAnsi="宋体" w:eastAsia="宋体"/>
          <w:color w:val="auto"/>
          <w:spacing w:val="20"/>
          <w:sz w:val="28"/>
          <w:szCs w:val="28"/>
          <w:lang w:eastAsia="zh-CN"/>
        </w:rPr>
      </w:pPr>
      <w:r>
        <w:rPr>
          <w:rFonts w:ascii="宋体" w:hAnsi="宋体" w:eastAsia="宋体"/>
          <w:color w:val="auto"/>
          <w:spacing w:val="20"/>
          <w:sz w:val="28"/>
          <w:szCs w:val="28"/>
          <w:lang w:val="en-US" w:eastAsia="zh-CN" w:bidi="ar-SA"/>
        </w:rPr>
        <w:drawing>
          <wp:anchor distT="0" distB="0" distL="114300" distR="114300" simplePos="0" relativeHeight="251670528" behindDoc="0" locked="0" layoutInCell="1" allowOverlap="1">
            <wp:simplePos x="0" y="0"/>
            <wp:positionH relativeFrom="column">
              <wp:posOffset>-14605</wp:posOffset>
            </wp:positionH>
            <wp:positionV relativeFrom="paragraph">
              <wp:posOffset>172720</wp:posOffset>
            </wp:positionV>
            <wp:extent cx="5657850" cy="8087995"/>
            <wp:effectExtent l="0" t="0" r="0" b="8255"/>
            <wp:wrapSquare wrapText="bothSides"/>
            <wp:docPr id="11" name="图片 8" descr="C:/Users/mayn/AppData/Local/Temp/picturecompress_20211118100829/output_8.pngoutput_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8" descr="C:/Users/mayn/AppData/Local/Temp/picturecompress_20211118100829/output_8.pngoutput_8"/>
                    <pic:cNvPicPr>
                      <a:picLocks noChangeAspect="1" noChangeArrowheads="1"/>
                    </pic:cNvPicPr>
                  </pic:nvPicPr>
                  <pic:blipFill>
                    <a:blip r:embed="rId20"/>
                    <a:srcRect/>
                    <a:stretch>
                      <a:fillRect/>
                    </a:stretch>
                  </pic:blipFill>
                  <pic:spPr>
                    <a:xfrm>
                      <a:off x="0" y="0"/>
                      <a:ext cx="5657850" cy="8087995"/>
                    </a:xfrm>
                    <a:prstGeom prst="rect">
                      <a:avLst/>
                    </a:prstGeom>
                    <a:noFill/>
                    <a:ln w="9525">
                      <a:noFill/>
                      <a:miter lim="800000"/>
                      <a:headEnd/>
                      <a:tailEnd/>
                    </a:ln>
                  </pic:spPr>
                </pic:pic>
              </a:graphicData>
            </a:graphic>
          </wp:anchor>
        </w:drawing>
      </w:r>
    </w:p>
    <w:p>
      <w:pPr>
        <w:rPr>
          <w:rFonts w:ascii="宋体" w:hAnsi="宋体" w:eastAsia="宋体"/>
          <w:color w:val="auto"/>
          <w:spacing w:val="20"/>
          <w:sz w:val="28"/>
          <w:szCs w:val="28"/>
          <w:lang w:eastAsia="zh-CN"/>
        </w:rPr>
      </w:pPr>
      <w:r>
        <w:rPr>
          <w:rFonts w:ascii="宋体" w:hAnsi="宋体" w:eastAsia="宋体"/>
          <w:color w:val="auto"/>
          <w:spacing w:val="20"/>
          <w:sz w:val="28"/>
          <w:szCs w:val="28"/>
          <w:lang w:val="en-US" w:eastAsia="zh-CN" w:bidi="ar-SA"/>
        </w:rPr>
        <w:drawing>
          <wp:inline distT="0" distB="0" distL="0" distR="0">
            <wp:extent cx="5895975" cy="8380730"/>
            <wp:effectExtent l="0" t="0" r="9525" b="1270"/>
            <wp:docPr id="12" name="图片 9" descr="C:/Users/mayn/AppData/Local/Temp/picturecompress_20211118100829/output_28.pngoutput_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9" descr="C:/Users/mayn/AppData/Local/Temp/picturecompress_20211118100829/output_28.pngoutput_28"/>
                    <pic:cNvPicPr>
                      <a:picLocks noChangeAspect="1" noChangeArrowheads="1"/>
                    </pic:cNvPicPr>
                  </pic:nvPicPr>
                  <pic:blipFill>
                    <a:blip r:embed="rId21"/>
                    <a:srcRect/>
                    <a:stretch>
                      <a:fillRect/>
                    </a:stretch>
                  </pic:blipFill>
                  <pic:spPr>
                    <a:xfrm>
                      <a:off x="0" y="0"/>
                      <a:ext cx="5895975" cy="8380730"/>
                    </a:xfrm>
                    <a:prstGeom prst="rect">
                      <a:avLst/>
                    </a:prstGeom>
                    <a:noFill/>
                    <a:ln w="9525">
                      <a:noFill/>
                      <a:miter lim="800000"/>
                      <a:headEnd/>
                      <a:tailEnd/>
                    </a:ln>
                  </pic:spPr>
                </pic:pic>
              </a:graphicData>
            </a:graphic>
          </wp:inline>
        </w:drawing>
      </w:r>
      <w:r>
        <w:rPr>
          <w:rFonts w:ascii="宋体" w:hAnsi="宋体" w:eastAsia="宋体"/>
          <w:color w:val="auto"/>
          <w:spacing w:val="20"/>
          <w:sz w:val="28"/>
          <w:szCs w:val="28"/>
          <w:lang w:eastAsia="zh-CN"/>
        </w:rPr>
        <w:t xml:space="preserve"> </w:t>
      </w:r>
      <w:r>
        <w:rPr>
          <w:rFonts w:ascii="宋体" w:hAnsi="宋体" w:eastAsia="宋体"/>
          <w:color w:val="auto"/>
          <w:spacing w:val="20"/>
          <w:sz w:val="28"/>
          <w:szCs w:val="28"/>
          <w:lang w:val="en-US" w:eastAsia="zh-CN" w:bidi="ar-SA"/>
        </w:rPr>
        <w:drawing>
          <wp:inline distT="0" distB="0" distL="0" distR="0">
            <wp:extent cx="5686425" cy="8323580"/>
            <wp:effectExtent l="0" t="0" r="9525" b="1270"/>
            <wp:docPr id="13" name="图片 10" descr="C:/Users/mayn/AppData/Local/Temp/picturecompress_20211118100829/output_29.pngoutput_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0" descr="C:/Users/mayn/AppData/Local/Temp/picturecompress_20211118100829/output_29.pngoutput_29"/>
                    <pic:cNvPicPr>
                      <a:picLocks noChangeAspect="1" noChangeArrowheads="1"/>
                    </pic:cNvPicPr>
                  </pic:nvPicPr>
                  <pic:blipFill>
                    <a:blip r:embed="rId22"/>
                    <a:srcRect/>
                    <a:stretch>
                      <a:fillRect/>
                    </a:stretch>
                  </pic:blipFill>
                  <pic:spPr>
                    <a:xfrm>
                      <a:off x="0" y="0"/>
                      <a:ext cx="5686425" cy="8323580"/>
                    </a:xfrm>
                    <a:prstGeom prst="rect">
                      <a:avLst/>
                    </a:prstGeom>
                    <a:noFill/>
                    <a:ln w="9525">
                      <a:noFill/>
                      <a:miter lim="800000"/>
                      <a:headEnd/>
                      <a:tailEnd/>
                    </a:ln>
                  </pic:spPr>
                </pic:pic>
              </a:graphicData>
            </a:graphic>
          </wp:inline>
        </w:drawing>
      </w:r>
      <w:r>
        <w:rPr>
          <w:rFonts w:ascii="宋体" w:hAnsi="宋体" w:eastAsia="宋体"/>
          <w:color w:val="auto"/>
          <w:spacing w:val="20"/>
          <w:sz w:val="28"/>
          <w:szCs w:val="28"/>
          <w:lang w:eastAsia="zh-CN"/>
        </w:rPr>
        <w:t xml:space="preserve"> </w:t>
      </w:r>
    </w:p>
    <w:p>
      <w:pPr>
        <w:rPr>
          <w:rFonts w:ascii="宋体" w:hAnsi="宋体" w:eastAsia="宋体"/>
          <w:color w:val="auto"/>
          <w:spacing w:val="20"/>
          <w:sz w:val="28"/>
          <w:szCs w:val="28"/>
          <w:lang w:eastAsia="zh-CN"/>
        </w:rPr>
      </w:pPr>
      <w:r>
        <w:rPr>
          <w:rFonts w:ascii="宋体" w:hAnsi="宋体" w:eastAsia="宋体"/>
          <w:color w:val="auto"/>
          <w:spacing w:val="20"/>
          <w:sz w:val="28"/>
          <w:szCs w:val="28"/>
          <w:lang w:val="en-US" w:eastAsia="zh-CN" w:bidi="ar-SA"/>
        </w:rPr>
        <w:drawing>
          <wp:inline distT="0" distB="0" distL="0" distR="0">
            <wp:extent cx="5934075" cy="8248650"/>
            <wp:effectExtent l="0" t="0" r="9525" b="0"/>
            <wp:docPr id="14" name="图片 11" descr="C:/Users/mayn/AppData/Local/Temp/picturecompress_20211118100829/output_30.pngoutput_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1" descr="C:/Users/mayn/AppData/Local/Temp/picturecompress_20211118100829/output_30.pngoutput_30"/>
                    <pic:cNvPicPr>
                      <a:picLocks noChangeAspect="1" noChangeArrowheads="1"/>
                    </pic:cNvPicPr>
                  </pic:nvPicPr>
                  <pic:blipFill>
                    <a:blip r:embed="rId23"/>
                    <a:srcRect/>
                    <a:stretch>
                      <a:fillRect/>
                    </a:stretch>
                  </pic:blipFill>
                  <pic:spPr>
                    <a:xfrm>
                      <a:off x="0" y="0"/>
                      <a:ext cx="5934075" cy="8248650"/>
                    </a:xfrm>
                    <a:prstGeom prst="rect">
                      <a:avLst/>
                    </a:prstGeom>
                    <a:noFill/>
                    <a:ln w="9525">
                      <a:noFill/>
                      <a:miter lim="800000"/>
                      <a:headEnd/>
                      <a:tailEnd/>
                    </a:ln>
                  </pic:spPr>
                </pic:pic>
              </a:graphicData>
            </a:graphic>
          </wp:inline>
        </w:drawing>
      </w:r>
      <w:r>
        <w:rPr>
          <w:rFonts w:ascii="宋体" w:hAnsi="宋体" w:eastAsia="宋体"/>
          <w:color w:val="auto"/>
          <w:spacing w:val="20"/>
          <w:sz w:val="28"/>
          <w:szCs w:val="28"/>
          <w:lang w:eastAsia="zh-CN"/>
        </w:rPr>
        <w:t xml:space="preserve"> </w:t>
      </w:r>
      <w:r>
        <w:rPr>
          <w:rFonts w:ascii="宋体" w:hAnsi="宋体" w:eastAsia="宋体"/>
          <w:color w:val="auto"/>
          <w:spacing w:val="20"/>
          <w:sz w:val="28"/>
          <w:szCs w:val="28"/>
          <w:lang w:eastAsia="zh-CN"/>
        </w:rPr>
        <w:br w:type="page"/>
      </w:r>
    </w:p>
    <w:p>
      <w:pPr>
        <w:spacing w:line="560" w:lineRule="exact"/>
        <w:ind w:firstLine="454" w:firstLineChars="142"/>
        <w:rPr>
          <w:rFonts w:ascii="宋体" w:hAnsi="宋体" w:eastAsia="宋体"/>
          <w:color w:val="auto"/>
          <w:spacing w:val="20"/>
          <w:sz w:val="28"/>
          <w:szCs w:val="28"/>
          <w:lang w:eastAsia="zh-CN"/>
        </w:rPr>
      </w:pPr>
      <w:r>
        <w:rPr>
          <w:rFonts w:hint="eastAsia" w:ascii="宋体" w:hAnsi="宋体" w:eastAsia="宋体"/>
          <w:color w:val="auto"/>
          <w:spacing w:val="20"/>
          <w:sz w:val="28"/>
          <w:szCs w:val="28"/>
          <w:lang w:eastAsia="zh-CN"/>
        </w:rPr>
        <w:t>6.</w:t>
      </w:r>
      <w:r>
        <w:rPr>
          <w:rFonts w:ascii="宋体" w:hAnsi="宋体" w:eastAsia="宋体"/>
          <w:color w:val="auto"/>
          <w:spacing w:val="20"/>
          <w:sz w:val="28"/>
          <w:szCs w:val="28"/>
        </w:rPr>
        <w:t>建筑工程消防验收批文</w:t>
      </w:r>
    </w:p>
    <w:p>
      <w:pPr>
        <w:rPr>
          <w:rFonts w:ascii="宋体" w:hAnsi="宋体" w:eastAsia="宋体"/>
          <w:color w:val="auto"/>
          <w:spacing w:val="20"/>
          <w:sz w:val="28"/>
          <w:szCs w:val="28"/>
          <w:lang w:eastAsia="zh-CN"/>
        </w:rPr>
      </w:pPr>
      <w:r>
        <w:rPr>
          <w:rFonts w:ascii="宋体" w:hAnsi="宋体" w:eastAsia="宋体"/>
          <w:color w:val="auto"/>
          <w:spacing w:val="20"/>
          <w:sz w:val="28"/>
          <w:szCs w:val="28"/>
          <w:lang w:val="en-US" w:eastAsia="zh-CN" w:bidi="ar-SA"/>
        </w:rPr>
        <w:drawing>
          <wp:inline distT="0" distB="0" distL="0" distR="0">
            <wp:extent cx="5705475" cy="8163560"/>
            <wp:effectExtent l="0" t="0" r="9525" b="8890"/>
            <wp:docPr id="16" name="图片 13" descr="C:/Users/mayn/AppData/Local/Temp/picturecompress_20211118100829/output_31.pngoutput_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3" descr="C:/Users/mayn/AppData/Local/Temp/picturecompress_20211118100829/output_31.pngoutput_31"/>
                    <pic:cNvPicPr>
                      <a:picLocks noChangeAspect="1" noChangeArrowheads="1"/>
                    </pic:cNvPicPr>
                  </pic:nvPicPr>
                  <pic:blipFill>
                    <a:blip r:embed="rId24"/>
                    <a:srcRect/>
                    <a:stretch>
                      <a:fillRect/>
                    </a:stretch>
                  </pic:blipFill>
                  <pic:spPr>
                    <a:xfrm>
                      <a:off x="0" y="0"/>
                      <a:ext cx="5705475" cy="8163560"/>
                    </a:xfrm>
                    <a:prstGeom prst="rect">
                      <a:avLst/>
                    </a:prstGeom>
                    <a:noFill/>
                    <a:ln w="9525">
                      <a:noFill/>
                      <a:miter lim="800000"/>
                      <a:headEnd/>
                      <a:tailEnd/>
                    </a:ln>
                  </pic:spPr>
                </pic:pic>
              </a:graphicData>
            </a:graphic>
          </wp:inline>
        </w:drawing>
      </w:r>
      <w:r>
        <w:rPr>
          <w:rFonts w:ascii="宋体" w:hAnsi="宋体" w:eastAsia="宋体"/>
          <w:color w:val="auto"/>
          <w:spacing w:val="20"/>
          <w:sz w:val="28"/>
          <w:szCs w:val="28"/>
          <w:lang w:eastAsia="zh-CN"/>
        </w:rPr>
        <w:t xml:space="preserve"> </w:t>
      </w:r>
    </w:p>
    <w:p>
      <w:pPr>
        <w:rPr>
          <w:rFonts w:ascii="宋体" w:hAnsi="宋体" w:eastAsia="宋体"/>
          <w:color w:val="auto"/>
          <w:spacing w:val="20"/>
          <w:sz w:val="28"/>
          <w:szCs w:val="28"/>
          <w:lang w:eastAsia="zh-CN"/>
        </w:rPr>
      </w:pPr>
      <w:r>
        <w:rPr>
          <w:rFonts w:ascii="宋体" w:hAnsi="宋体" w:eastAsia="宋体"/>
          <w:color w:val="auto"/>
          <w:spacing w:val="20"/>
          <w:sz w:val="28"/>
          <w:szCs w:val="28"/>
          <w:lang w:val="en-US" w:eastAsia="zh-CN" w:bidi="ar-SA"/>
        </w:rPr>
        <w:drawing>
          <wp:inline distT="0" distB="0" distL="0" distR="0">
            <wp:extent cx="5410200" cy="7965440"/>
            <wp:effectExtent l="0" t="0" r="0" b="16510"/>
            <wp:docPr id="17" name="图片 14" descr="C:/Users/mayn/AppData/Local/Temp/picturecompress_20211118100829/output_32.pngoutput_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4" descr="C:/Users/mayn/AppData/Local/Temp/picturecompress_20211118100829/output_32.pngoutput_32"/>
                    <pic:cNvPicPr>
                      <a:picLocks noChangeAspect="1" noChangeArrowheads="1"/>
                    </pic:cNvPicPr>
                  </pic:nvPicPr>
                  <pic:blipFill>
                    <a:blip r:embed="rId25"/>
                    <a:srcRect/>
                    <a:stretch>
                      <a:fillRect/>
                    </a:stretch>
                  </pic:blipFill>
                  <pic:spPr>
                    <a:xfrm>
                      <a:off x="0" y="0"/>
                      <a:ext cx="5410200" cy="7965440"/>
                    </a:xfrm>
                    <a:prstGeom prst="rect">
                      <a:avLst/>
                    </a:prstGeom>
                    <a:noFill/>
                    <a:ln w="9525">
                      <a:noFill/>
                      <a:miter lim="800000"/>
                      <a:headEnd/>
                      <a:tailEnd/>
                    </a:ln>
                  </pic:spPr>
                </pic:pic>
              </a:graphicData>
            </a:graphic>
          </wp:inline>
        </w:drawing>
      </w:r>
      <w:r>
        <w:rPr>
          <w:rFonts w:ascii="宋体" w:hAnsi="宋体" w:eastAsia="宋体"/>
          <w:color w:val="auto"/>
          <w:spacing w:val="20"/>
          <w:sz w:val="28"/>
          <w:szCs w:val="28"/>
          <w:lang w:eastAsia="zh-CN"/>
        </w:rPr>
        <w:t xml:space="preserve"> </w:t>
      </w:r>
    </w:p>
    <w:p>
      <w:pPr>
        <w:rPr>
          <w:rFonts w:ascii="宋体" w:hAnsi="宋体" w:eastAsia="宋体"/>
          <w:color w:val="auto"/>
          <w:spacing w:val="20"/>
          <w:sz w:val="28"/>
          <w:szCs w:val="28"/>
          <w:lang w:eastAsia="zh-CN"/>
        </w:rPr>
      </w:pPr>
      <w:r>
        <w:rPr>
          <w:rFonts w:ascii="宋体" w:hAnsi="宋体" w:eastAsia="宋体"/>
          <w:color w:val="auto"/>
          <w:spacing w:val="20"/>
          <w:sz w:val="28"/>
          <w:szCs w:val="28"/>
          <w:lang w:val="en-US" w:eastAsia="zh-CN" w:bidi="ar-SA"/>
        </w:rPr>
        <w:drawing>
          <wp:inline distT="0" distB="0" distL="0" distR="0">
            <wp:extent cx="5505450" cy="7947025"/>
            <wp:effectExtent l="19050" t="0" r="0" b="0"/>
            <wp:docPr id="18" name="图片 15" descr="C:/Users/mayn/AppData/Local/Temp/picturecompress_20211118100829/output_33.pngoutput_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5" descr="C:/Users/mayn/AppData/Local/Temp/picturecompress_20211118100829/output_33.pngoutput_33"/>
                    <pic:cNvPicPr>
                      <a:picLocks noChangeAspect="1" noChangeArrowheads="1"/>
                    </pic:cNvPicPr>
                  </pic:nvPicPr>
                  <pic:blipFill>
                    <a:blip r:embed="rId26"/>
                    <a:srcRect/>
                    <a:stretch>
                      <a:fillRect/>
                    </a:stretch>
                  </pic:blipFill>
                  <pic:spPr>
                    <a:xfrm>
                      <a:off x="0" y="0"/>
                      <a:ext cx="5505450" cy="7947025"/>
                    </a:xfrm>
                    <a:prstGeom prst="rect">
                      <a:avLst/>
                    </a:prstGeom>
                    <a:noFill/>
                    <a:ln w="9525">
                      <a:noFill/>
                      <a:miter lim="800000"/>
                      <a:headEnd/>
                      <a:tailEnd/>
                    </a:ln>
                  </pic:spPr>
                </pic:pic>
              </a:graphicData>
            </a:graphic>
          </wp:inline>
        </w:drawing>
      </w:r>
      <w:r>
        <w:rPr>
          <w:rFonts w:ascii="宋体" w:hAnsi="宋体" w:eastAsia="宋体"/>
          <w:color w:val="auto"/>
          <w:spacing w:val="20"/>
          <w:sz w:val="28"/>
          <w:szCs w:val="28"/>
          <w:lang w:eastAsia="zh-CN"/>
        </w:rPr>
        <w:t xml:space="preserve"> </w:t>
      </w:r>
      <w:r>
        <w:rPr>
          <w:rFonts w:ascii="宋体" w:hAnsi="宋体" w:eastAsia="宋体"/>
          <w:color w:val="auto"/>
          <w:spacing w:val="20"/>
          <w:sz w:val="28"/>
          <w:szCs w:val="28"/>
          <w:lang w:eastAsia="zh-CN"/>
        </w:rPr>
        <w:br w:type="page"/>
      </w:r>
    </w:p>
    <w:p>
      <w:pPr>
        <w:spacing w:line="560" w:lineRule="exact"/>
        <w:ind w:firstLine="454" w:firstLineChars="142"/>
        <w:rPr>
          <w:rFonts w:ascii="宋体" w:hAnsi="宋体" w:eastAsia="宋体"/>
          <w:color w:val="auto"/>
          <w:spacing w:val="20"/>
          <w:sz w:val="28"/>
          <w:szCs w:val="28"/>
          <w:lang w:eastAsia="zh-CN"/>
        </w:rPr>
      </w:pPr>
      <w:r>
        <w:rPr>
          <w:rFonts w:hint="eastAsia" w:ascii="宋体" w:hAnsi="宋体" w:eastAsia="宋体"/>
          <w:color w:val="auto"/>
          <w:spacing w:val="20"/>
          <w:sz w:val="28"/>
          <w:szCs w:val="28"/>
          <w:lang w:eastAsia="zh-CN"/>
        </w:rPr>
        <w:t>7.</w:t>
      </w:r>
      <w:r>
        <w:rPr>
          <w:rFonts w:ascii="宋体" w:hAnsi="宋体" w:eastAsia="宋体"/>
          <w:color w:val="auto"/>
          <w:spacing w:val="20"/>
          <w:sz w:val="28"/>
          <w:szCs w:val="28"/>
        </w:rPr>
        <w:t>主要负责人、安全管理人员任命书</w:t>
      </w:r>
    </w:p>
    <w:p>
      <w:pPr>
        <w:rPr>
          <w:rFonts w:ascii="宋体" w:hAnsi="宋体" w:eastAsia="宋体"/>
          <w:color w:val="auto"/>
          <w:spacing w:val="20"/>
          <w:sz w:val="28"/>
          <w:szCs w:val="28"/>
          <w:lang w:eastAsia="zh-CN"/>
        </w:rPr>
      </w:pPr>
      <w:r>
        <w:rPr>
          <w:rFonts w:ascii="宋体" w:hAnsi="宋体" w:eastAsia="宋体"/>
          <w:color w:val="auto"/>
          <w:spacing w:val="20"/>
          <w:sz w:val="28"/>
          <w:szCs w:val="28"/>
          <w:lang w:val="en-US" w:eastAsia="zh-CN" w:bidi="ar-SA"/>
        </w:rPr>
        <w:drawing>
          <wp:inline distT="0" distB="0" distL="0" distR="0">
            <wp:extent cx="4543425" cy="8076565"/>
            <wp:effectExtent l="0" t="0" r="9525" b="635"/>
            <wp:docPr id="20" name="图片 16" descr="C:/Users/mayn/AppData/Local/Temp/picturecompress_20211118100829/output_34.jpgoutput_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6" descr="C:/Users/mayn/AppData/Local/Temp/picturecompress_20211118100829/output_34.jpgoutput_34"/>
                    <pic:cNvPicPr>
                      <a:picLocks noChangeAspect="1" noChangeArrowheads="1"/>
                    </pic:cNvPicPr>
                  </pic:nvPicPr>
                  <pic:blipFill>
                    <a:blip r:embed="rId27"/>
                    <a:srcRect/>
                    <a:stretch>
                      <a:fillRect/>
                    </a:stretch>
                  </pic:blipFill>
                  <pic:spPr>
                    <a:xfrm>
                      <a:off x="0" y="0"/>
                      <a:ext cx="4543425" cy="8076565"/>
                    </a:xfrm>
                    <a:prstGeom prst="rect">
                      <a:avLst/>
                    </a:prstGeom>
                    <a:noFill/>
                    <a:ln w="9525">
                      <a:noFill/>
                      <a:miter lim="800000"/>
                      <a:headEnd/>
                      <a:tailEnd/>
                    </a:ln>
                  </pic:spPr>
                </pic:pic>
              </a:graphicData>
            </a:graphic>
          </wp:inline>
        </w:drawing>
      </w:r>
      <w:r>
        <w:rPr>
          <w:rFonts w:ascii="宋体" w:hAnsi="宋体" w:eastAsia="宋体"/>
          <w:color w:val="auto"/>
          <w:spacing w:val="20"/>
          <w:sz w:val="28"/>
          <w:szCs w:val="28"/>
          <w:lang w:eastAsia="zh-CN"/>
        </w:rPr>
        <w:t xml:space="preserve"> </w:t>
      </w:r>
    </w:p>
    <w:p>
      <w:pPr>
        <w:rPr>
          <w:rFonts w:ascii="宋体" w:hAnsi="宋体" w:eastAsia="宋体"/>
          <w:color w:val="auto"/>
          <w:spacing w:val="20"/>
          <w:sz w:val="28"/>
          <w:szCs w:val="28"/>
          <w:lang w:eastAsia="zh-CN"/>
        </w:rPr>
      </w:pPr>
      <w:r>
        <w:rPr>
          <w:rFonts w:ascii="宋体" w:hAnsi="宋体" w:eastAsia="宋体"/>
          <w:color w:val="auto"/>
          <w:spacing w:val="20"/>
          <w:sz w:val="28"/>
          <w:szCs w:val="28"/>
          <w:lang w:val="en-US" w:eastAsia="zh-CN" w:bidi="ar-SA"/>
        </w:rPr>
        <w:drawing>
          <wp:inline distT="0" distB="0" distL="0" distR="0">
            <wp:extent cx="4759960" cy="8462010"/>
            <wp:effectExtent l="0" t="0" r="2540" b="15240"/>
            <wp:docPr id="21" name="图片 17" descr="C:/Users/mayn/AppData/Local/Temp/picturecompress_20211118100829/output_35.jpgoutput_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7" descr="C:/Users/mayn/AppData/Local/Temp/picturecompress_20211118100829/output_35.jpgoutput_35"/>
                    <pic:cNvPicPr>
                      <a:picLocks noChangeAspect="1" noChangeArrowheads="1"/>
                    </pic:cNvPicPr>
                  </pic:nvPicPr>
                  <pic:blipFill>
                    <a:blip r:embed="rId28"/>
                    <a:srcRect/>
                    <a:stretch>
                      <a:fillRect/>
                    </a:stretch>
                  </pic:blipFill>
                  <pic:spPr>
                    <a:xfrm>
                      <a:off x="0" y="0"/>
                      <a:ext cx="4759960" cy="8462010"/>
                    </a:xfrm>
                    <a:prstGeom prst="rect">
                      <a:avLst/>
                    </a:prstGeom>
                    <a:noFill/>
                    <a:ln w="9525">
                      <a:noFill/>
                      <a:miter lim="800000"/>
                      <a:headEnd/>
                      <a:tailEnd/>
                    </a:ln>
                  </pic:spPr>
                </pic:pic>
              </a:graphicData>
            </a:graphic>
          </wp:inline>
        </w:drawing>
      </w:r>
      <w:r>
        <w:rPr>
          <w:rFonts w:ascii="宋体" w:hAnsi="宋体" w:eastAsia="宋体"/>
          <w:color w:val="auto"/>
          <w:spacing w:val="20"/>
          <w:sz w:val="28"/>
          <w:szCs w:val="28"/>
          <w:lang w:eastAsia="zh-CN"/>
        </w:rPr>
        <w:t xml:space="preserve"> </w:t>
      </w:r>
      <w:r>
        <w:rPr>
          <w:rFonts w:ascii="宋体" w:hAnsi="宋体" w:eastAsia="宋体"/>
          <w:color w:val="auto"/>
          <w:spacing w:val="20"/>
          <w:sz w:val="28"/>
          <w:szCs w:val="28"/>
          <w:lang w:eastAsia="zh-CN"/>
        </w:rPr>
        <w:br w:type="page"/>
      </w:r>
    </w:p>
    <w:p>
      <w:pPr>
        <w:spacing w:line="560" w:lineRule="exact"/>
        <w:ind w:firstLine="454" w:firstLineChars="142"/>
        <w:rPr>
          <w:rFonts w:ascii="宋体" w:hAnsi="宋体" w:eastAsia="宋体"/>
          <w:color w:val="auto"/>
          <w:spacing w:val="20"/>
          <w:sz w:val="28"/>
          <w:szCs w:val="28"/>
          <w:lang w:eastAsia="zh-CN"/>
        </w:rPr>
      </w:pPr>
      <w:r>
        <w:rPr>
          <w:rFonts w:hint="eastAsia" w:ascii="宋体" w:hAnsi="宋体" w:eastAsia="宋体"/>
          <w:color w:val="auto"/>
          <w:spacing w:val="20"/>
          <w:sz w:val="28"/>
          <w:szCs w:val="28"/>
          <w:lang w:eastAsia="zh-CN"/>
        </w:rPr>
        <w:t>8.</w:t>
      </w:r>
      <w:r>
        <w:rPr>
          <w:rFonts w:ascii="宋体" w:hAnsi="宋体" w:eastAsia="宋体"/>
          <w:color w:val="auto"/>
          <w:spacing w:val="20"/>
          <w:sz w:val="28"/>
          <w:szCs w:val="28"/>
        </w:rPr>
        <w:t>主要负责人、安全管理人员</w:t>
      </w:r>
      <w:r>
        <w:rPr>
          <w:rFonts w:hint="eastAsia" w:ascii="宋体" w:hAnsi="宋体" w:eastAsia="宋体"/>
          <w:color w:val="auto"/>
          <w:spacing w:val="20"/>
          <w:sz w:val="28"/>
          <w:szCs w:val="28"/>
          <w:lang w:eastAsia="zh-CN"/>
        </w:rPr>
        <w:t>、注册安全工程师及相关</w:t>
      </w:r>
      <w:r>
        <w:rPr>
          <w:rFonts w:ascii="宋体" w:hAnsi="宋体" w:eastAsia="宋体"/>
          <w:color w:val="auto"/>
          <w:spacing w:val="20"/>
          <w:sz w:val="28"/>
          <w:szCs w:val="28"/>
        </w:rPr>
        <w:t>资格证书及学历证书</w:t>
      </w:r>
    </w:p>
    <w:p>
      <w:pPr>
        <w:spacing w:line="560" w:lineRule="exact"/>
        <w:ind w:firstLine="454" w:firstLineChars="142"/>
        <w:rPr>
          <w:rFonts w:ascii="宋体" w:hAnsi="宋体" w:eastAsia="宋体"/>
          <w:color w:val="auto"/>
          <w:spacing w:val="20"/>
          <w:sz w:val="28"/>
          <w:szCs w:val="28"/>
          <w:lang w:eastAsia="zh-CN"/>
        </w:rPr>
      </w:pPr>
      <w:r>
        <w:rPr>
          <w:rFonts w:hint="eastAsia" w:ascii="宋体" w:hAnsi="宋体" w:eastAsia="宋体"/>
          <w:color w:val="auto"/>
          <w:spacing w:val="20"/>
          <w:sz w:val="28"/>
          <w:szCs w:val="28"/>
          <w:lang w:eastAsia="zh-CN"/>
        </w:rPr>
        <w:t>1）主要负责人</w:t>
      </w:r>
    </w:p>
    <w:p>
      <w:pPr>
        <w:rPr>
          <w:rFonts w:ascii="宋体" w:hAnsi="宋体" w:eastAsia="宋体"/>
          <w:color w:val="auto"/>
          <w:spacing w:val="20"/>
          <w:sz w:val="28"/>
          <w:szCs w:val="28"/>
          <w:lang w:eastAsia="zh-CN"/>
        </w:rPr>
      </w:pPr>
      <w:r>
        <w:rPr>
          <w:rFonts w:hint="eastAsia" w:ascii="宋体" w:hAnsi="宋体" w:eastAsia="宋体"/>
          <w:color w:val="auto"/>
          <w:spacing w:val="20"/>
          <w:sz w:val="28"/>
          <w:szCs w:val="28"/>
          <w:lang w:val="en-US" w:eastAsia="zh-CN" w:bidi="ar-SA"/>
        </w:rPr>
        <w:drawing>
          <wp:inline distT="0" distB="0" distL="0" distR="0">
            <wp:extent cx="5534025" cy="1791335"/>
            <wp:effectExtent l="0" t="0" r="9525" b="18415"/>
            <wp:docPr id="23" name="图片 18" descr="C:/Users/mayn/AppData/Local/Temp/picturecompress_20211118100829/output_36.jpgoutput_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8" descr="C:/Users/mayn/AppData/Local/Temp/picturecompress_20211118100829/output_36.jpgoutput_36"/>
                    <pic:cNvPicPr>
                      <a:picLocks noChangeAspect="1" noChangeArrowheads="1"/>
                    </pic:cNvPicPr>
                  </pic:nvPicPr>
                  <pic:blipFill>
                    <a:blip r:embed="rId29"/>
                    <a:srcRect/>
                    <a:stretch>
                      <a:fillRect/>
                    </a:stretch>
                  </pic:blipFill>
                  <pic:spPr>
                    <a:xfrm>
                      <a:off x="0" y="0"/>
                      <a:ext cx="5534025" cy="1791335"/>
                    </a:xfrm>
                    <a:prstGeom prst="rect">
                      <a:avLst/>
                    </a:prstGeom>
                    <a:noFill/>
                    <a:ln w="9525">
                      <a:noFill/>
                      <a:miter lim="800000"/>
                      <a:headEnd/>
                      <a:tailEnd/>
                    </a:ln>
                  </pic:spPr>
                </pic:pic>
              </a:graphicData>
            </a:graphic>
          </wp:inline>
        </w:drawing>
      </w:r>
      <w:r>
        <w:rPr>
          <w:rFonts w:ascii="宋体" w:hAnsi="宋体" w:eastAsia="宋体"/>
          <w:color w:val="auto"/>
          <w:spacing w:val="20"/>
          <w:sz w:val="28"/>
          <w:szCs w:val="28"/>
        </w:rPr>
        <w:t xml:space="preserve"> </w:t>
      </w:r>
    </w:p>
    <w:p>
      <w:pPr>
        <w:rPr>
          <w:rFonts w:ascii="宋体" w:hAnsi="宋体" w:eastAsia="宋体"/>
          <w:color w:val="auto"/>
          <w:spacing w:val="20"/>
          <w:sz w:val="28"/>
          <w:szCs w:val="28"/>
          <w:lang w:eastAsia="zh-CN"/>
        </w:rPr>
      </w:pPr>
    </w:p>
    <w:p>
      <w:pPr>
        <w:rPr>
          <w:rFonts w:ascii="宋体" w:hAnsi="宋体" w:eastAsia="宋体"/>
          <w:color w:val="auto"/>
          <w:spacing w:val="20"/>
          <w:sz w:val="28"/>
          <w:szCs w:val="28"/>
          <w:lang w:eastAsia="zh-CN"/>
        </w:rPr>
      </w:pPr>
      <w:r>
        <w:rPr>
          <w:rFonts w:ascii="宋体" w:hAnsi="宋体" w:eastAsia="宋体"/>
          <w:color w:val="auto"/>
          <w:spacing w:val="20"/>
          <w:sz w:val="28"/>
          <w:szCs w:val="28"/>
          <w:lang w:val="en-US" w:eastAsia="zh-CN" w:bidi="ar-SA"/>
        </w:rPr>
        <w:drawing>
          <wp:inline distT="0" distB="0" distL="0" distR="0">
            <wp:extent cx="5828030" cy="4321810"/>
            <wp:effectExtent l="0" t="0" r="1270" b="2540"/>
            <wp:docPr id="24" name="图片 21" descr="C:/Users/mayn/AppData/Local/Temp/picturecompress_20211118100829/output_37.jpgoutput_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1" descr="C:/Users/mayn/AppData/Local/Temp/picturecompress_20211118100829/output_37.jpgoutput_37"/>
                    <pic:cNvPicPr>
                      <a:picLocks noChangeAspect="1" noChangeArrowheads="1"/>
                    </pic:cNvPicPr>
                  </pic:nvPicPr>
                  <pic:blipFill>
                    <a:blip r:embed="rId30"/>
                    <a:srcRect/>
                    <a:stretch>
                      <a:fillRect/>
                    </a:stretch>
                  </pic:blipFill>
                  <pic:spPr>
                    <a:xfrm>
                      <a:off x="0" y="0"/>
                      <a:ext cx="5828030" cy="4321810"/>
                    </a:xfrm>
                    <a:prstGeom prst="rect">
                      <a:avLst/>
                    </a:prstGeom>
                    <a:noFill/>
                    <a:ln w="9525">
                      <a:noFill/>
                      <a:miter lim="800000"/>
                      <a:headEnd/>
                      <a:tailEnd/>
                    </a:ln>
                  </pic:spPr>
                </pic:pic>
              </a:graphicData>
            </a:graphic>
          </wp:inline>
        </w:drawing>
      </w:r>
    </w:p>
    <w:p>
      <w:pPr>
        <w:rPr>
          <w:rFonts w:ascii="宋体" w:hAnsi="宋体" w:eastAsia="宋体"/>
          <w:color w:val="auto"/>
          <w:spacing w:val="20"/>
          <w:sz w:val="28"/>
          <w:szCs w:val="28"/>
          <w:lang w:eastAsia="zh-CN"/>
        </w:rPr>
      </w:pPr>
    </w:p>
    <w:p>
      <w:pPr>
        <w:rPr>
          <w:rFonts w:ascii="宋体" w:hAnsi="宋体" w:eastAsia="宋体"/>
          <w:color w:val="auto"/>
          <w:spacing w:val="20"/>
          <w:sz w:val="28"/>
          <w:szCs w:val="28"/>
          <w:lang w:eastAsia="zh-CN"/>
        </w:rPr>
      </w:pPr>
    </w:p>
    <w:p>
      <w:pPr>
        <w:rPr>
          <w:rFonts w:ascii="宋体" w:hAnsi="宋体" w:eastAsia="宋体"/>
          <w:color w:val="auto"/>
          <w:spacing w:val="20"/>
          <w:sz w:val="28"/>
          <w:szCs w:val="28"/>
          <w:lang w:eastAsia="zh-CN"/>
        </w:rPr>
      </w:pPr>
    </w:p>
    <w:p>
      <w:pPr>
        <w:rPr>
          <w:rFonts w:ascii="宋体" w:hAnsi="宋体" w:eastAsia="宋体"/>
          <w:color w:val="auto"/>
          <w:spacing w:val="20"/>
          <w:sz w:val="28"/>
          <w:szCs w:val="28"/>
          <w:lang w:eastAsia="zh-CN"/>
        </w:rPr>
      </w:pPr>
    </w:p>
    <w:p>
      <w:pPr>
        <w:rPr>
          <w:rFonts w:ascii="宋体" w:hAnsi="宋体" w:eastAsia="宋体"/>
          <w:color w:val="auto"/>
          <w:spacing w:val="20"/>
          <w:sz w:val="28"/>
          <w:szCs w:val="28"/>
          <w:lang w:eastAsia="zh-CN"/>
        </w:rPr>
      </w:pPr>
    </w:p>
    <w:p>
      <w:pPr>
        <w:rPr>
          <w:rFonts w:ascii="宋体" w:hAnsi="宋体" w:eastAsia="宋体"/>
          <w:color w:val="auto"/>
          <w:spacing w:val="20"/>
          <w:sz w:val="28"/>
          <w:szCs w:val="28"/>
          <w:lang w:eastAsia="zh-CN"/>
        </w:rPr>
      </w:pPr>
    </w:p>
    <w:p>
      <w:pPr>
        <w:rPr>
          <w:rFonts w:ascii="宋体" w:hAnsi="宋体" w:eastAsia="宋体"/>
          <w:color w:val="auto"/>
          <w:spacing w:val="20"/>
          <w:sz w:val="28"/>
          <w:szCs w:val="28"/>
          <w:lang w:eastAsia="zh-CN"/>
        </w:rPr>
      </w:pPr>
    </w:p>
    <w:p>
      <w:pPr>
        <w:rPr>
          <w:rFonts w:ascii="宋体" w:hAnsi="宋体" w:eastAsia="宋体"/>
          <w:color w:val="auto"/>
          <w:spacing w:val="20"/>
          <w:sz w:val="28"/>
          <w:szCs w:val="28"/>
          <w:lang w:eastAsia="zh-CN"/>
        </w:rPr>
      </w:pPr>
      <w:r>
        <w:rPr>
          <w:rFonts w:hint="eastAsia" w:ascii="宋体" w:hAnsi="宋体" w:eastAsia="宋体"/>
          <w:color w:val="auto"/>
          <w:spacing w:val="20"/>
          <w:sz w:val="28"/>
          <w:szCs w:val="28"/>
          <w:lang w:eastAsia="zh-CN"/>
        </w:rPr>
        <w:t>2）安全管理人员</w:t>
      </w:r>
    </w:p>
    <w:p>
      <w:pPr>
        <w:rPr>
          <w:rFonts w:ascii="宋体" w:hAnsi="宋体" w:eastAsia="宋体"/>
          <w:color w:val="auto"/>
          <w:spacing w:val="20"/>
          <w:sz w:val="28"/>
          <w:szCs w:val="28"/>
          <w:lang w:eastAsia="zh-CN"/>
        </w:rPr>
      </w:pPr>
      <w:r>
        <w:rPr>
          <w:rFonts w:ascii="宋体" w:hAnsi="宋体" w:eastAsia="宋体"/>
          <w:color w:val="auto"/>
          <w:spacing w:val="20"/>
          <w:sz w:val="28"/>
          <w:szCs w:val="28"/>
          <w:lang w:val="en-US" w:eastAsia="zh-CN" w:bidi="ar-SA"/>
        </w:rPr>
        <w:drawing>
          <wp:inline distT="0" distB="0" distL="0" distR="0">
            <wp:extent cx="5788025" cy="2133600"/>
            <wp:effectExtent l="0" t="0" r="3175" b="0"/>
            <wp:docPr id="25" name="图片 22" descr="C:/Users/mayn/AppData/Local/Temp/picturecompress_20211118100829/output_38.jpgoutput_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2" descr="C:/Users/mayn/AppData/Local/Temp/picturecompress_20211118100829/output_38.jpgoutput_38"/>
                    <pic:cNvPicPr>
                      <a:picLocks noChangeAspect="1" noChangeArrowheads="1"/>
                    </pic:cNvPicPr>
                  </pic:nvPicPr>
                  <pic:blipFill>
                    <a:blip r:embed="rId31"/>
                    <a:srcRect/>
                    <a:stretch>
                      <a:fillRect/>
                    </a:stretch>
                  </pic:blipFill>
                  <pic:spPr>
                    <a:xfrm>
                      <a:off x="0" y="0"/>
                      <a:ext cx="5788025" cy="2133600"/>
                    </a:xfrm>
                    <a:prstGeom prst="rect">
                      <a:avLst/>
                    </a:prstGeom>
                    <a:noFill/>
                    <a:ln w="9525">
                      <a:noFill/>
                      <a:miter lim="800000"/>
                      <a:headEnd/>
                      <a:tailEnd/>
                    </a:ln>
                  </pic:spPr>
                </pic:pic>
              </a:graphicData>
            </a:graphic>
          </wp:inline>
        </w:drawing>
      </w:r>
      <w:r>
        <w:rPr>
          <w:rFonts w:ascii="宋体" w:hAnsi="宋体" w:eastAsia="宋体"/>
          <w:color w:val="auto"/>
          <w:spacing w:val="20"/>
          <w:sz w:val="28"/>
          <w:szCs w:val="28"/>
          <w:lang w:eastAsia="zh-CN"/>
        </w:rPr>
        <w:t xml:space="preserve"> </w:t>
      </w:r>
    </w:p>
    <w:p>
      <w:pPr>
        <w:rPr>
          <w:rFonts w:ascii="宋体" w:hAnsi="宋体" w:eastAsia="宋体"/>
          <w:color w:val="auto"/>
          <w:spacing w:val="20"/>
          <w:sz w:val="28"/>
          <w:szCs w:val="28"/>
          <w:lang w:eastAsia="zh-CN"/>
        </w:rPr>
      </w:pPr>
      <w:r>
        <w:rPr>
          <w:rFonts w:ascii="宋体" w:hAnsi="宋体" w:eastAsia="宋体"/>
          <w:color w:val="auto"/>
          <w:spacing w:val="20"/>
          <w:sz w:val="28"/>
          <w:szCs w:val="28"/>
          <w:lang w:val="en-US" w:eastAsia="zh-CN" w:bidi="ar-SA"/>
        </w:rPr>
        <w:drawing>
          <wp:inline distT="0" distB="0" distL="0" distR="0">
            <wp:extent cx="5822315" cy="4498975"/>
            <wp:effectExtent l="0" t="0" r="6985" b="15875"/>
            <wp:docPr id="26" name="图片 23" descr="C:/Users/mayn/AppData/Local/Temp/picturecompress_20211118100829/output_39.pngoutput_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3" descr="C:/Users/mayn/AppData/Local/Temp/picturecompress_20211118100829/output_39.pngoutput_39"/>
                    <pic:cNvPicPr>
                      <a:picLocks noChangeAspect="1" noChangeArrowheads="1"/>
                    </pic:cNvPicPr>
                  </pic:nvPicPr>
                  <pic:blipFill>
                    <a:blip r:embed="rId32"/>
                    <a:srcRect/>
                    <a:stretch>
                      <a:fillRect/>
                    </a:stretch>
                  </pic:blipFill>
                  <pic:spPr>
                    <a:xfrm>
                      <a:off x="0" y="0"/>
                      <a:ext cx="5822315" cy="4498975"/>
                    </a:xfrm>
                    <a:prstGeom prst="rect">
                      <a:avLst/>
                    </a:prstGeom>
                    <a:noFill/>
                    <a:ln w="9525">
                      <a:noFill/>
                      <a:miter lim="800000"/>
                      <a:headEnd/>
                      <a:tailEnd/>
                    </a:ln>
                  </pic:spPr>
                </pic:pic>
              </a:graphicData>
            </a:graphic>
          </wp:inline>
        </w:drawing>
      </w:r>
    </w:p>
    <w:p>
      <w:pPr>
        <w:rPr>
          <w:rFonts w:ascii="宋体" w:hAnsi="宋体" w:eastAsia="宋体"/>
          <w:color w:val="auto"/>
          <w:spacing w:val="20"/>
          <w:sz w:val="28"/>
          <w:szCs w:val="28"/>
          <w:lang w:eastAsia="zh-CN"/>
        </w:rPr>
      </w:pPr>
    </w:p>
    <w:p>
      <w:pPr>
        <w:rPr>
          <w:rFonts w:ascii="宋体" w:hAnsi="宋体" w:eastAsia="宋体"/>
          <w:color w:val="auto"/>
          <w:spacing w:val="20"/>
          <w:sz w:val="28"/>
          <w:szCs w:val="28"/>
          <w:lang w:eastAsia="zh-CN"/>
        </w:rPr>
      </w:pPr>
    </w:p>
    <w:p>
      <w:pPr>
        <w:rPr>
          <w:rFonts w:ascii="宋体" w:hAnsi="宋体" w:eastAsia="宋体"/>
          <w:color w:val="auto"/>
          <w:spacing w:val="20"/>
          <w:sz w:val="28"/>
          <w:szCs w:val="28"/>
          <w:lang w:eastAsia="zh-CN"/>
        </w:rPr>
      </w:pPr>
    </w:p>
    <w:p>
      <w:pPr>
        <w:rPr>
          <w:rFonts w:ascii="宋体" w:hAnsi="宋体" w:eastAsia="宋体"/>
          <w:color w:val="auto"/>
          <w:spacing w:val="20"/>
          <w:sz w:val="28"/>
          <w:szCs w:val="28"/>
          <w:lang w:eastAsia="zh-CN"/>
        </w:rPr>
      </w:pPr>
      <w:r>
        <w:rPr>
          <w:rFonts w:ascii="宋体" w:hAnsi="宋体" w:eastAsia="宋体"/>
          <w:color w:val="auto"/>
          <w:spacing w:val="20"/>
          <w:sz w:val="28"/>
          <w:szCs w:val="28"/>
          <w:lang w:val="en-US" w:eastAsia="zh-CN" w:bidi="ar-SA"/>
        </w:rPr>
        <w:drawing>
          <wp:inline distT="0" distB="0" distL="0" distR="0">
            <wp:extent cx="6096000" cy="5175250"/>
            <wp:effectExtent l="0" t="0" r="0" b="6350"/>
            <wp:docPr id="27" name="图片 24" descr="C:/Users/mayn/AppData/Local/Temp/picturecompress_20211118100829/output_40.pngoutput_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4" descr="C:/Users/mayn/AppData/Local/Temp/picturecompress_20211118100829/output_40.pngoutput_40"/>
                    <pic:cNvPicPr>
                      <a:picLocks noChangeAspect="1" noChangeArrowheads="1"/>
                    </pic:cNvPicPr>
                  </pic:nvPicPr>
                  <pic:blipFill>
                    <a:blip r:embed="rId33"/>
                    <a:srcRect/>
                    <a:stretch>
                      <a:fillRect/>
                    </a:stretch>
                  </pic:blipFill>
                  <pic:spPr>
                    <a:xfrm>
                      <a:off x="0" y="0"/>
                      <a:ext cx="6096000" cy="5175250"/>
                    </a:xfrm>
                    <a:prstGeom prst="rect">
                      <a:avLst/>
                    </a:prstGeom>
                    <a:noFill/>
                    <a:ln w="9525">
                      <a:noFill/>
                      <a:miter lim="800000"/>
                      <a:headEnd/>
                      <a:tailEnd/>
                    </a:ln>
                  </pic:spPr>
                </pic:pic>
              </a:graphicData>
            </a:graphic>
          </wp:inline>
        </w:drawing>
      </w:r>
    </w:p>
    <w:p>
      <w:pPr>
        <w:rPr>
          <w:rFonts w:ascii="宋体" w:hAnsi="宋体" w:eastAsia="宋体"/>
          <w:color w:val="auto"/>
          <w:spacing w:val="20"/>
          <w:sz w:val="28"/>
          <w:szCs w:val="28"/>
          <w:lang w:eastAsia="zh-CN"/>
        </w:rPr>
      </w:pPr>
    </w:p>
    <w:p>
      <w:pPr>
        <w:rPr>
          <w:rFonts w:ascii="宋体" w:hAnsi="宋体" w:eastAsia="宋体"/>
          <w:color w:val="auto"/>
          <w:spacing w:val="20"/>
          <w:sz w:val="28"/>
          <w:szCs w:val="28"/>
          <w:lang w:eastAsia="zh-CN"/>
        </w:rPr>
      </w:pPr>
    </w:p>
    <w:p>
      <w:pPr>
        <w:rPr>
          <w:rFonts w:ascii="宋体" w:hAnsi="宋体" w:eastAsia="宋体"/>
          <w:color w:val="auto"/>
          <w:spacing w:val="20"/>
          <w:sz w:val="28"/>
          <w:szCs w:val="28"/>
          <w:lang w:eastAsia="zh-CN"/>
        </w:rPr>
      </w:pPr>
    </w:p>
    <w:p>
      <w:pPr>
        <w:rPr>
          <w:rFonts w:ascii="宋体" w:hAnsi="宋体" w:eastAsia="宋体"/>
          <w:color w:val="auto"/>
          <w:spacing w:val="20"/>
          <w:sz w:val="28"/>
          <w:szCs w:val="28"/>
          <w:lang w:eastAsia="zh-CN"/>
        </w:rPr>
      </w:pPr>
    </w:p>
    <w:p>
      <w:pPr>
        <w:rPr>
          <w:rFonts w:ascii="宋体" w:hAnsi="宋体" w:eastAsia="宋体"/>
          <w:color w:val="auto"/>
          <w:spacing w:val="20"/>
          <w:sz w:val="28"/>
          <w:szCs w:val="28"/>
          <w:lang w:eastAsia="zh-CN"/>
        </w:rPr>
      </w:pPr>
    </w:p>
    <w:p>
      <w:pPr>
        <w:rPr>
          <w:rFonts w:ascii="宋体" w:hAnsi="宋体" w:eastAsia="宋体"/>
          <w:color w:val="auto"/>
          <w:spacing w:val="20"/>
          <w:sz w:val="28"/>
          <w:szCs w:val="28"/>
          <w:lang w:eastAsia="zh-CN"/>
        </w:rPr>
      </w:pPr>
    </w:p>
    <w:p>
      <w:pPr>
        <w:rPr>
          <w:rFonts w:ascii="宋体" w:hAnsi="宋体" w:eastAsia="宋体"/>
          <w:color w:val="auto"/>
          <w:spacing w:val="20"/>
          <w:sz w:val="28"/>
          <w:szCs w:val="28"/>
          <w:lang w:eastAsia="zh-CN"/>
        </w:rPr>
      </w:pPr>
    </w:p>
    <w:p>
      <w:pPr>
        <w:rPr>
          <w:rFonts w:ascii="宋体" w:hAnsi="宋体" w:eastAsia="宋体"/>
          <w:color w:val="auto"/>
          <w:spacing w:val="20"/>
          <w:sz w:val="28"/>
          <w:szCs w:val="28"/>
          <w:lang w:eastAsia="zh-CN"/>
        </w:rPr>
      </w:pPr>
    </w:p>
    <w:p>
      <w:pPr>
        <w:rPr>
          <w:rFonts w:ascii="宋体" w:hAnsi="宋体" w:eastAsia="宋体"/>
          <w:color w:val="auto"/>
          <w:spacing w:val="20"/>
          <w:sz w:val="28"/>
          <w:szCs w:val="28"/>
          <w:lang w:eastAsia="zh-CN"/>
        </w:rPr>
      </w:pPr>
    </w:p>
    <w:p>
      <w:pPr>
        <w:rPr>
          <w:rFonts w:ascii="宋体" w:hAnsi="宋体" w:eastAsia="宋体"/>
          <w:color w:val="auto"/>
          <w:spacing w:val="20"/>
          <w:sz w:val="28"/>
          <w:szCs w:val="28"/>
          <w:lang w:eastAsia="zh-CN"/>
        </w:rPr>
      </w:pPr>
    </w:p>
    <w:p>
      <w:pPr>
        <w:rPr>
          <w:rFonts w:ascii="宋体" w:hAnsi="宋体" w:eastAsia="宋体"/>
          <w:color w:val="auto"/>
          <w:spacing w:val="20"/>
          <w:sz w:val="28"/>
          <w:szCs w:val="28"/>
          <w:lang w:eastAsia="zh-CN"/>
        </w:rPr>
      </w:pPr>
    </w:p>
    <w:p>
      <w:pPr>
        <w:rPr>
          <w:rFonts w:ascii="宋体" w:hAnsi="宋体" w:eastAsia="宋体"/>
          <w:color w:val="auto"/>
          <w:spacing w:val="20"/>
          <w:sz w:val="28"/>
          <w:szCs w:val="28"/>
          <w:lang w:eastAsia="zh-CN"/>
        </w:rPr>
      </w:pPr>
    </w:p>
    <w:p>
      <w:pPr>
        <w:rPr>
          <w:rFonts w:ascii="宋体" w:hAnsi="宋体" w:eastAsia="宋体"/>
          <w:color w:val="auto"/>
          <w:spacing w:val="20"/>
          <w:sz w:val="28"/>
          <w:szCs w:val="28"/>
          <w:lang w:eastAsia="zh-CN"/>
        </w:rPr>
      </w:pPr>
    </w:p>
    <w:p>
      <w:pPr>
        <w:rPr>
          <w:rFonts w:ascii="宋体" w:hAnsi="宋体" w:eastAsia="宋体"/>
          <w:color w:val="auto"/>
          <w:spacing w:val="20"/>
          <w:sz w:val="28"/>
          <w:szCs w:val="28"/>
          <w:lang w:eastAsia="zh-CN"/>
        </w:rPr>
      </w:pPr>
    </w:p>
    <w:p>
      <w:pPr>
        <w:rPr>
          <w:rFonts w:ascii="宋体" w:hAnsi="宋体" w:eastAsia="宋体"/>
          <w:color w:val="auto"/>
          <w:spacing w:val="20"/>
          <w:sz w:val="28"/>
          <w:szCs w:val="28"/>
          <w:lang w:eastAsia="zh-CN"/>
        </w:rPr>
      </w:pPr>
    </w:p>
    <w:p>
      <w:pPr>
        <w:rPr>
          <w:rFonts w:ascii="宋体" w:hAnsi="宋体" w:eastAsia="宋体"/>
          <w:color w:val="auto"/>
          <w:spacing w:val="20"/>
          <w:sz w:val="28"/>
          <w:szCs w:val="28"/>
          <w:lang w:eastAsia="zh-CN"/>
        </w:rPr>
      </w:pPr>
    </w:p>
    <w:p>
      <w:pPr>
        <w:rPr>
          <w:rFonts w:ascii="宋体" w:hAnsi="宋体" w:eastAsia="宋体"/>
          <w:color w:val="auto"/>
          <w:spacing w:val="20"/>
          <w:sz w:val="28"/>
          <w:szCs w:val="28"/>
          <w:lang w:eastAsia="zh-CN"/>
        </w:rPr>
      </w:pPr>
      <w:r>
        <w:rPr>
          <w:rFonts w:hint="eastAsia" w:ascii="宋体" w:hAnsi="宋体" w:eastAsia="宋体"/>
          <w:color w:val="auto"/>
          <w:spacing w:val="20"/>
          <w:sz w:val="28"/>
          <w:szCs w:val="28"/>
          <w:lang w:eastAsia="zh-CN"/>
        </w:rPr>
        <w:t>3）注册安全工程师</w:t>
      </w:r>
    </w:p>
    <w:p>
      <w:pPr>
        <w:rPr>
          <w:rFonts w:ascii="宋体" w:hAnsi="宋体" w:eastAsia="宋体"/>
          <w:color w:val="auto"/>
          <w:spacing w:val="20"/>
          <w:sz w:val="28"/>
          <w:szCs w:val="28"/>
          <w:lang w:eastAsia="zh-CN"/>
        </w:rPr>
      </w:pPr>
      <w:r>
        <w:rPr>
          <w:rFonts w:ascii="宋体" w:hAnsi="宋体" w:eastAsia="宋体"/>
          <w:color w:val="auto"/>
          <w:spacing w:val="20"/>
          <w:sz w:val="28"/>
          <w:szCs w:val="28"/>
          <w:lang w:val="en-US" w:eastAsia="zh-CN" w:bidi="ar-SA"/>
        </w:rPr>
        <w:drawing>
          <wp:inline distT="0" distB="0" distL="0" distR="0">
            <wp:extent cx="5196205" cy="8183245"/>
            <wp:effectExtent l="0" t="0" r="4445" b="8255"/>
            <wp:docPr id="28" name="图片 25" descr="C:/Users/mayn/AppData/Local/Temp/picturecompress_20211118100829/output_41.jpgoutput_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5" descr="C:/Users/mayn/AppData/Local/Temp/picturecompress_20211118100829/output_41.jpgoutput_41"/>
                    <pic:cNvPicPr>
                      <a:picLocks noChangeAspect="1" noChangeArrowheads="1"/>
                    </pic:cNvPicPr>
                  </pic:nvPicPr>
                  <pic:blipFill>
                    <a:blip r:embed="rId34"/>
                    <a:srcRect/>
                    <a:stretch>
                      <a:fillRect/>
                    </a:stretch>
                  </pic:blipFill>
                  <pic:spPr>
                    <a:xfrm>
                      <a:off x="0" y="0"/>
                      <a:ext cx="5196205" cy="8183245"/>
                    </a:xfrm>
                    <a:prstGeom prst="rect">
                      <a:avLst/>
                    </a:prstGeom>
                    <a:noFill/>
                    <a:ln w="9525">
                      <a:noFill/>
                      <a:miter lim="800000"/>
                      <a:headEnd/>
                      <a:tailEnd/>
                    </a:ln>
                  </pic:spPr>
                </pic:pic>
              </a:graphicData>
            </a:graphic>
          </wp:inline>
        </w:drawing>
      </w:r>
      <w:r>
        <w:rPr>
          <w:rFonts w:ascii="宋体" w:hAnsi="宋体" w:eastAsia="宋体"/>
          <w:color w:val="auto"/>
          <w:spacing w:val="20"/>
          <w:sz w:val="28"/>
          <w:szCs w:val="28"/>
          <w:lang w:eastAsia="zh-CN"/>
        </w:rPr>
        <w:t xml:space="preserve"> </w:t>
      </w:r>
    </w:p>
    <w:p>
      <w:pPr>
        <w:rPr>
          <w:rFonts w:ascii="宋体" w:hAnsi="宋体" w:eastAsia="宋体"/>
          <w:color w:val="auto"/>
          <w:spacing w:val="20"/>
          <w:sz w:val="28"/>
          <w:szCs w:val="28"/>
          <w:lang w:eastAsia="zh-CN"/>
        </w:rPr>
      </w:pPr>
      <w:r>
        <w:rPr>
          <w:rFonts w:ascii="宋体" w:hAnsi="宋体" w:eastAsia="宋体"/>
          <w:color w:val="auto"/>
          <w:spacing w:val="20"/>
          <w:sz w:val="28"/>
          <w:szCs w:val="28"/>
          <w:lang w:val="en-US" w:eastAsia="zh-CN" w:bidi="ar-SA"/>
        </w:rPr>
        <w:drawing>
          <wp:inline distT="0" distB="0" distL="0" distR="0">
            <wp:extent cx="5598160" cy="7948295"/>
            <wp:effectExtent l="0" t="0" r="2540" b="14605"/>
            <wp:docPr id="29" name="图片 26" descr="C:/Users/mayn/AppData/Local/Temp/picturecompress_20211118100829/output_42.jpgoutput_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6" descr="C:/Users/mayn/AppData/Local/Temp/picturecompress_20211118100829/output_42.jpgoutput_42"/>
                    <pic:cNvPicPr>
                      <a:picLocks noChangeAspect="1" noChangeArrowheads="1"/>
                    </pic:cNvPicPr>
                  </pic:nvPicPr>
                  <pic:blipFill>
                    <a:blip r:embed="rId35"/>
                    <a:srcRect/>
                    <a:stretch>
                      <a:fillRect/>
                    </a:stretch>
                  </pic:blipFill>
                  <pic:spPr>
                    <a:xfrm>
                      <a:off x="0" y="0"/>
                      <a:ext cx="5598160" cy="7948295"/>
                    </a:xfrm>
                    <a:prstGeom prst="rect">
                      <a:avLst/>
                    </a:prstGeom>
                    <a:noFill/>
                    <a:ln w="9525">
                      <a:noFill/>
                      <a:miter lim="800000"/>
                      <a:headEnd/>
                      <a:tailEnd/>
                    </a:ln>
                  </pic:spPr>
                </pic:pic>
              </a:graphicData>
            </a:graphic>
          </wp:inline>
        </w:drawing>
      </w:r>
      <w:r>
        <w:rPr>
          <w:rFonts w:ascii="宋体" w:hAnsi="宋体" w:eastAsia="宋体"/>
          <w:color w:val="auto"/>
          <w:spacing w:val="20"/>
          <w:sz w:val="28"/>
          <w:szCs w:val="28"/>
          <w:lang w:eastAsia="zh-CN"/>
        </w:rPr>
        <w:t xml:space="preserve"> </w:t>
      </w:r>
    </w:p>
    <w:p>
      <w:pPr>
        <w:rPr>
          <w:rFonts w:ascii="宋体" w:hAnsi="宋体" w:eastAsia="宋体"/>
          <w:color w:val="auto"/>
          <w:spacing w:val="20"/>
          <w:sz w:val="28"/>
          <w:szCs w:val="28"/>
          <w:lang w:eastAsia="zh-CN"/>
        </w:rPr>
      </w:pPr>
      <w:r>
        <w:rPr>
          <w:rFonts w:ascii="宋体" w:hAnsi="宋体" w:eastAsia="宋体"/>
          <w:color w:val="auto"/>
          <w:spacing w:val="20"/>
          <w:sz w:val="28"/>
          <w:szCs w:val="28"/>
          <w:lang w:val="en-US" w:eastAsia="zh-CN" w:bidi="ar-SA"/>
        </w:rPr>
        <w:drawing>
          <wp:inline distT="0" distB="0" distL="0" distR="0">
            <wp:extent cx="5762625" cy="4225925"/>
            <wp:effectExtent l="0" t="0" r="9525" b="3175"/>
            <wp:docPr id="30" name="图片 27" descr="C:/Users/mayn/AppData/Local/Temp/picturecompress_20211118100829/output_43.jpgoutput_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27" descr="C:/Users/mayn/AppData/Local/Temp/picturecompress_20211118100829/output_43.jpgoutput_43"/>
                    <pic:cNvPicPr>
                      <a:picLocks noChangeAspect="1" noChangeArrowheads="1"/>
                    </pic:cNvPicPr>
                  </pic:nvPicPr>
                  <pic:blipFill>
                    <a:blip r:embed="rId36"/>
                    <a:srcRect/>
                    <a:stretch>
                      <a:fillRect/>
                    </a:stretch>
                  </pic:blipFill>
                  <pic:spPr>
                    <a:xfrm>
                      <a:off x="0" y="0"/>
                      <a:ext cx="5762625" cy="4229092"/>
                    </a:xfrm>
                    <a:prstGeom prst="rect">
                      <a:avLst/>
                    </a:prstGeom>
                    <a:noFill/>
                    <a:ln w="9525">
                      <a:noFill/>
                      <a:miter lim="800000"/>
                      <a:headEnd/>
                      <a:tailEnd/>
                    </a:ln>
                  </pic:spPr>
                </pic:pic>
              </a:graphicData>
            </a:graphic>
          </wp:inline>
        </w:drawing>
      </w:r>
      <w:r>
        <w:rPr>
          <w:rFonts w:ascii="宋体" w:hAnsi="宋体" w:eastAsia="宋体"/>
          <w:color w:val="auto"/>
          <w:spacing w:val="20"/>
          <w:sz w:val="28"/>
          <w:szCs w:val="28"/>
          <w:lang w:eastAsia="zh-CN"/>
        </w:rPr>
        <w:t xml:space="preserve"> </w:t>
      </w:r>
      <w:r>
        <w:rPr>
          <w:rFonts w:ascii="宋体" w:hAnsi="宋体" w:eastAsia="宋体"/>
          <w:color w:val="auto"/>
          <w:spacing w:val="20"/>
          <w:sz w:val="28"/>
          <w:szCs w:val="28"/>
          <w:lang w:val="en-US" w:eastAsia="zh-CN" w:bidi="ar-SA"/>
        </w:rPr>
        <w:drawing>
          <wp:inline distT="0" distB="0" distL="0" distR="0">
            <wp:extent cx="5628005" cy="7957185"/>
            <wp:effectExtent l="0" t="0" r="10795" b="5715"/>
            <wp:docPr id="576" name="图片 29" descr="C:/Users/mayn/AppData/Local/Temp/picturecompress_20211118100829/output_44.jpgoutput_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6" name="图片 29" descr="C:/Users/mayn/AppData/Local/Temp/picturecompress_20211118100829/output_44.jpgoutput_44"/>
                    <pic:cNvPicPr>
                      <a:picLocks noChangeAspect="1" noChangeArrowheads="1"/>
                    </pic:cNvPicPr>
                  </pic:nvPicPr>
                  <pic:blipFill>
                    <a:blip r:embed="rId37"/>
                    <a:srcRect/>
                    <a:stretch>
                      <a:fillRect/>
                    </a:stretch>
                  </pic:blipFill>
                  <pic:spPr>
                    <a:xfrm>
                      <a:off x="0" y="0"/>
                      <a:ext cx="5628005" cy="7962313"/>
                    </a:xfrm>
                    <a:prstGeom prst="rect">
                      <a:avLst/>
                    </a:prstGeom>
                    <a:noFill/>
                    <a:ln w="9525">
                      <a:noFill/>
                      <a:miter lim="800000"/>
                      <a:headEnd/>
                      <a:tailEnd/>
                    </a:ln>
                  </pic:spPr>
                </pic:pic>
              </a:graphicData>
            </a:graphic>
          </wp:inline>
        </w:drawing>
      </w:r>
      <w:r>
        <w:rPr>
          <w:rFonts w:ascii="宋体" w:hAnsi="宋体" w:eastAsia="宋体"/>
          <w:color w:val="auto"/>
          <w:spacing w:val="20"/>
          <w:sz w:val="28"/>
          <w:szCs w:val="28"/>
          <w:lang w:eastAsia="zh-CN"/>
        </w:rPr>
        <w:t xml:space="preserve"> </w:t>
      </w:r>
    </w:p>
    <w:p>
      <w:pPr>
        <w:rPr>
          <w:rFonts w:ascii="宋体" w:hAnsi="宋体" w:eastAsia="宋体"/>
          <w:color w:val="auto"/>
          <w:spacing w:val="20"/>
          <w:sz w:val="28"/>
          <w:szCs w:val="28"/>
          <w:lang w:eastAsia="zh-CN"/>
        </w:rPr>
      </w:pPr>
      <w:r>
        <w:rPr>
          <w:rFonts w:ascii="宋体" w:hAnsi="宋体" w:eastAsia="宋体"/>
          <w:color w:val="auto"/>
          <w:spacing w:val="20"/>
          <w:sz w:val="28"/>
          <w:szCs w:val="28"/>
          <w:lang w:val="en-US" w:eastAsia="zh-CN" w:bidi="ar-SA"/>
        </w:rPr>
        <w:drawing>
          <wp:inline distT="0" distB="0" distL="0" distR="0">
            <wp:extent cx="5607050" cy="7927340"/>
            <wp:effectExtent l="0" t="0" r="12700" b="16510"/>
            <wp:docPr id="577" name="图片 30" descr="C:/Users/mayn/AppData/Local/Temp/picturecompress_20211118100829/output_45.jpgoutput_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7" name="图片 30" descr="C:/Users/mayn/AppData/Local/Temp/picturecompress_20211118100829/output_45.jpgoutput_45"/>
                    <pic:cNvPicPr>
                      <a:picLocks noChangeAspect="1" noChangeArrowheads="1"/>
                    </pic:cNvPicPr>
                  </pic:nvPicPr>
                  <pic:blipFill>
                    <a:blip r:embed="rId38"/>
                    <a:srcRect/>
                    <a:stretch>
                      <a:fillRect/>
                    </a:stretch>
                  </pic:blipFill>
                  <pic:spPr>
                    <a:xfrm>
                      <a:off x="0" y="0"/>
                      <a:ext cx="5607050" cy="7935062"/>
                    </a:xfrm>
                    <a:prstGeom prst="rect">
                      <a:avLst/>
                    </a:prstGeom>
                    <a:noFill/>
                    <a:ln w="9525">
                      <a:noFill/>
                      <a:miter lim="800000"/>
                      <a:headEnd/>
                      <a:tailEnd/>
                    </a:ln>
                  </pic:spPr>
                </pic:pic>
              </a:graphicData>
            </a:graphic>
          </wp:inline>
        </w:drawing>
      </w:r>
      <w:r>
        <w:rPr>
          <w:rFonts w:ascii="宋体" w:hAnsi="宋体" w:eastAsia="宋体"/>
          <w:color w:val="auto"/>
          <w:spacing w:val="20"/>
          <w:sz w:val="28"/>
          <w:szCs w:val="28"/>
          <w:lang w:eastAsia="zh-CN"/>
        </w:rPr>
        <w:t xml:space="preserve"> </w:t>
      </w:r>
      <w:r>
        <w:rPr>
          <w:rFonts w:ascii="宋体" w:hAnsi="宋体" w:eastAsia="宋体"/>
          <w:color w:val="auto"/>
          <w:spacing w:val="20"/>
          <w:sz w:val="28"/>
          <w:szCs w:val="28"/>
          <w:lang w:val="en-US" w:eastAsia="zh-CN" w:bidi="ar-SA"/>
        </w:rPr>
        <w:drawing>
          <wp:inline distT="0" distB="0" distL="0" distR="0">
            <wp:extent cx="5481955" cy="7753985"/>
            <wp:effectExtent l="0" t="0" r="4445" b="18415"/>
            <wp:docPr id="578" name="图片 31" descr="C:/Users/mayn/AppData/Local/Temp/picturecompress_20211118100829/output_46.jpgoutput_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8" name="图片 31" descr="C:/Users/mayn/AppData/Local/Temp/picturecompress_20211118100829/output_46.jpgoutput_46"/>
                    <pic:cNvPicPr>
                      <a:picLocks noChangeAspect="1" noChangeArrowheads="1"/>
                    </pic:cNvPicPr>
                  </pic:nvPicPr>
                  <pic:blipFill>
                    <a:blip r:embed="rId39"/>
                    <a:srcRect/>
                    <a:stretch>
                      <a:fillRect/>
                    </a:stretch>
                  </pic:blipFill>
                  <pic:spPr>
                    <a:xfrm>
                      <a:off x="0" y="0"/>
                      <a:ext cx="5481955" cy="7757423"/>
                    </a:xfrm>
                    <a:prstGeom prst="rect">
                      <a:avLst/>
                    </a:prstGeom>
                    <a:noFill/>
                    <a:ln w="9525">
                      <a:noFill/>
                      <a:miter lim="800000"/>
                      <a:headEnd/>
                      <a:tailEnd/>
                    </a:ln>
                  </pic:spPr>
                </pic:pic>
              </a:graphicData>
            </a:graphic>
          </wp:inline>
        </w:drawing>
      </w:r>
      <w:r>
        <w:rPr>
          <w:rFonts w:ascii="宋体" w:hAnsi="宋体" w:eastAsia="宋体"/>
          <w:color w:val="auto"/>
          <w:spacing w:val="20"/>
          <w:sz w:val="28"/>
          <w:szCs w:val="28"/>
          <w:lang w:eastAsia="zh-CN"/>
        </w:rPr>
        <w:t xml:space="preserve"> </w:t>
      </w:r>
      <w:r>
        <w:rPr>
          <w:rFonts w:ascii="宋体" w:hAnsi="宋体" w:eastAsia="宋体"/>
          <w:color w:val="auto"/>
          <w:spacing w:val="20"/>
          <w:sz w:val="28"/>
          <w:szCs w:val="28"/>
          <w:lang w:val="en-US" w:eastAsia="zh-CN" w:bidi="ar-SA"/>
        </w:rPr>
        <w:drawing>
          <wp:inline distT="0" distB="0" distL="0" distR="0">
            <wp:extent cx="5698490" cy="8059420"/>
            <wp:effectExtent l="0" t="0" r="16510" b="17780"/>
            <wp:docPr id="32" name="图片 32" descr="C:/Users/mayn/AppData/Local/Temp/picturecompress_20211118100829/output_47.jpgoutput_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C:/Users/mayn/AppData/Local/Temp/picturecompress_20211118100829/output_47.jpgoutput_47"/>
                    <pic:cNvPicPr>
                      <a:picLocks noChangeAspect="1" noChangeArrowheads="1"/>
                    </pic:cNvPicPr>
                  </pic:nvPicPr>
                  <pic:blipFill>
                    <a:blip r:embed="rId40"/>
                    <a:srcRect/>
                    <a:stretch>
                      <a:fillRect/>
                    </a:stretch>
                  </pic:blipFill>
                  <pic:spPr>
                    <a:xfrm>
                      <a:off x="0" y="0"/>
                      <a:ext cx="5698490" cy="8062791"/>
                    </a:xfrm>
                    <a:prstGeom prst="rect">
                      <a:avLst/>
                    </a:prstGeom>
                    <a:noFill/>
                    <a:ln w="9525">
                      <a:noFill/>
                      <a:miter lim="800000"/>
                      <a:headEnd/>
                      <a:tailEnd/>
                    </a:ln>
                  </pic:spPr>
                </pic:pic>
              </a:graphicData>
            </a:graphic>
          </wp:inline>
        </w:drawing>
      </w:r>
      <w:r>
        <w:rPr>
          <w:rFonts w:ascii="宋体" w:hAnsi="宋体" w:eastAsia="宋体"/>
          <w:color w:val="auto"/>
          <w:spacing w:val="20"/>
          <w:sz w:val="28"/>
          <w:szCs w:val="28"/>
          <w:lang w:eastAsia="zh-CN"/>
        </w:rPr>
        <w:t xml:space="preserve"> </w:t>
      </w:r>
      <w:r>
        <w:rPr>
          <w:rFonts w:ascii="宋体" w:hAnsi="宋体" w:eastAsia="宋体"/>
          <w:color w:val="auto"/>
          <w:spacing w:val="20"/>
          <w:sz w:val="28"/>
          <w:szCs w:val="28"/>
          <w:lang w:val="en-US" w:eastAsia="zh-CN" w:bidi="ar-SA"/>
        </w:rPr>
        <w:drawing>
          <wp:inline distT="0" distB="0" distL="0" distR="0">
            <wp:extent cx="5822950" cy="8235315"/>
            <wp:effectExtent l="0" t="0" r="6350" b="13335"/>
            <wp:docPr id="33" name="图片 33" descr="C:/Users/mayn/AppData/Local/Temp/picturecompress_20211118100829/output_48.jpgoutput_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C:/Users/mayn/AppData/Local/Temp/picturecompress_20211118100829/output_48.jpgoutput_48"/>
                    <pic:cNvPicPr>
                      <a:picLocks noChangeAspect="1" noChangeArrowheads="1"/>
                    </pic:cNvPicPr>
                  </pic:nvPicPr>
                  <pic:blipFill>
                    <a:blip r:embed="rId41"/>
                    <a:srcRect/>
                    <a:stretch>
                      <a:fillRect/>
                    </a:stretch>
                  </pic:blipFill>
                  <pic:spPr>
                    <a:xfrm>
                      <a:off x="0" y="0"/>
                      <a:ext cx="5822950" cy="8238365"/>
                    </a:xfrm>
                    <a:prstGeom prst="rect">
                      <a:avLst/>
                    </a:prstGeom>
                    <a:noFill/>
                    <a:ln w="9525">
                      <a:noFill/>
                      <a:miter lim="800000"/>
                      <a:headEnd/>
                      <a:tailEnd/>
                    </a:ln>
                  </pic:spPr>
                </pic:pic>
              </a:graphicData>
            </a:graphic>
          </wp:inline>
        </w:drawing>
      </w:r>
      <w:r>
        <w:rPr>
          <w:rFonts w:ascii="宋体" w:hAnsi="宋体" w:eastAsia="宋体"/>
          <w:color w:val="auto"/>
          <w:spacing w:val="20"/>
          <w:sz w:val="28"/>
          <w:szCs w:val="28"/>
          <w:lang w:eastAsia="zh-CN"/>
        </w:rPr>
        <w:t xml:space="preserve"> </w:t>
      </w:r>
      <w:r>
        <w:rPr>
          <w:rFonts w:ascii="宋体" w:hAnsi="宋体" w:eastAsia="宋体"/>
          <w:color w:val="auto"/>
          <w:spacing w:val="20"/>
          <w:sz w:val="28"/>
          <w:szCs w:val="28"/>
          <w:lang w:val="en-US" w:eastAsia="zh-CN" w:bidi="ar-SA"/>
        </w:rPr>
        <w:drawing>
          <wp:inline distT="0" distB="0" distL="0" distR="0">
            <wp:extent cx="5881370" cy="8314055"/>
            <wp:effectExtent l="0" t="0" r="5080" b="10795"/>
            <wp:docPr id="34" name="图片 34" descr="C:/Users/mayn/AppData/Local/Temp/picturecompress_20211118100829/output_49.jpgoutput_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C:/Users/mayn/AppData/Local/Temp/picturecompress_20211118100829/output_49.jpgoutput_49"/>
                    <pic:cNvPicPr>
                      <a:picLocks noChangeAspect="1" noChangeArrowheads="1"/>
                    </pic:cNvPicPr>
                  </pic:nvPicPr>
                  <pic:blipFill>
                    <a:blip r:embed="rId42"/>
                    <a:srcRect/>
                    <a:stretch>
                      <a:fillRect/>
                    </a:stretch>
                  </pic:blipFill>
                  <pic:spPr>
                    <a:xfrm>
                      <a:off x="0" y="0"/>
                      <a:ext cx="5881370" cy="8313879"/>
                    </a:xfrm>
                    <a:prstGeom prst="rect">
                      <a:avLst/>
                    </a:prstGeom>
                    <a:noFill/>
                    <a:ln w="9525">
                      <a:noFill/>
                      <a:miter lim="800000"/>
                      <a:headEnd/>
                      <a:tailEnd/>
                    </a:ln>
                  </pic:spPr>
                </pic:pic>
              </a:graphicData>
            </a:graphic>
          </wp:inline>
        </w:drawing>
      </w:r>
      <w:r>
        <w:rPr>
          <w:rFonts w:ascii="宋体" w:hAnsi="宋体" w:eastAsia="宋体"/>
          <w:color w:val="auto"/>
          <w:spacing w:val="20"/>
          <w:sz w:val="28"/>
          <w:szCs w:val="28"/>
          <w:lang w:eastAsia="zh-CN"/>
        </w:rPr>
        <w:t xml:space="preserve"> </w:t>
      </w:r>
      <w:r>
        <w:rPr>
          <w:rFonts w:ascii="宋体" w:hAnsi="宋体" w:eastAsia="宋体"/>
          <w:color w:val="auto"/>
          <w:spacing w:val="20"/>
          <w:sz w:val="28"/>
          <w:szCs w:val="28"/>
          <w:lang w:val="en-US" w:eastAsia="zh-CN" w:bidi="ar-SA"/>
        </w:rPr>
        <w:drawing>
          <wp:inline distT="0" distB="0" distL="0" distR="0">
            <wp:extent cx="5735955" cy="8112760"/>
            <wp:effectExtent l="0" t="0" r="17145" b="2540"/>
            <wp:docPr id="35" name="图片 35" descr="C:/Users/mayn/AppData/Local/Temp/picturecompress_20211118100829/output_50.jpgoutput_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C:/Users/mayn/AppData/Local/Temp/picturecompress_20211118100829/output_50.jpgoutput_50"/>
                    <pic:cNvPicPr>
                      <a:picLocks noChangeAspect="1" noChangeArrowheads="1"/>
                    </pic:cNvPicPr>
                  </pic:nvPicPr>
                  <pic:blipFill>
                    <a:blip r:embed="rId43"/>
                    <a:srcRect/>
                    <a:stretch>
                      <a:fillRect/>
                    </a:stretch>
                  </pic:blipFill>
                  <pic:spPr>
                    <a:xfrm>
                      <a:off x="0" y="0"/>
                      <a:ext cx="5735955" cy="8115771"/>
                    </a:xfrm>
                    <a:prstGeom prst="rect">
                      <a:avLst/>
                    </a:prstGeom>
                    <a:noFill/>
                    <a:ln w="9525">
                      <a:noFill/>
                      <a:miter lim="800000"/>
                      <a:headEnd/>
                      <a:tailEnd/>
                    </a:ln>
                  </pic:spPr>
                </pic:pic>
              </a:graphicData>
            </a:graphic>
          </wp:inline>
        </w:drawing>
      </w:r>
      <w:r>
        <w:rPr>
          <w:rFonts w:ascii="宋体" w:hAnsi="宋体" w:eastAsia="宋体"/>
          <w:color w:val="auto"/>
          <w:spacing w:val="20"/>
          <w:sz w:val="28"/>
          <w:szCs w:val="28"/>
          <w:lang w:eastAsia="zh-CN"/>
        </w:rPr>
        <w:t xml:space="preserve"> </w:t>
      </w:r>
      <w:r>
        <w:rPr>
          <w:rFonts w:ascii="宋体" w:hAnsi="宋体" w:eastAsia="宋体"/>
          <w:color w:val="auto"/>
          <w:spacing w:val="20"/>
          <w:sz w:val="28"/>
          <w:szCs w:val="28"/>
          <w:lang w:val="en-US" w:eastAsia="zh-CN" w:bidi="ar-SA"/>
        </w:rPr>
        <w:drawing>
          <wp:inline distT="0" distB="0" distL="0" distR="0">
            <wp:extent cx="5399405" cy="7631430"/>
            <wp:effectExtent l="0" t="0" r="10795" b="7620"/>
            <wp:docPr id="36" name="图片 36" descr="C:/Users/mayn/AppData/Local/Temp/picturecompress_20211118100829/output_51.jpgoutput_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C:/Users/mayn/AppData/Local/Temp/picturecompress_20211118100829/output_51.jpgoutput_51"/>
                    <pic:cNvPicPr>
                      <a:picLocks noChangeAspect="1" noChangeArrowheads="1"/>
                    </pic:cNvPicPr>
                  </pic:nvPicPr>
                  <pic:blipFill>
                    <a:blip r:embed="rId44"/>
                    <a:srcRect/>
                    <a:stretch>
                      <a:fillRect/>
                    </a:stretch>
                  </pic:blipFill>
                  <pic:spPr>
                    <a:xfrm>
                      <a:off x="0" y="0"/>
                      <a:ext cx="5399405" cy="7634829"/>
                    </a:xfrm>
                    <a:prstGeom prst="rect">
                      <a:avLst/>
                    </a:prstGeom>
                    <a:noFill/>
                    <a:ln w="9525">
                      <a:noFill/>
                      <a:miter lim="800000"/>
                      <a:headEnd/>
                      <a:tailEnd/>
                    </a:ln>
                  </pic:spPr>
                </pic:pic>
              </a:graphicData>
            </a:graphic>
          </wp:inline>
        </w:drawing>
      </w:r>
      <w:r>
        <w:rPr>
          <w:rFonts w:ascii="宋体" w:hAnsi="宋体" w:eastAsia="宋体"/>
          <w:color w:val="auto"/>
          <w:spacing w:val="20"/>
          <w:sz w:val="28"/>
          <w:szCs w:val="28"/>
          <w:lang w:eastAsia="zh-CN"/>
        </w:rPr>
        <w:t xml:space="preserve"> </w:t>
      </w:r>
      <w:r>
        <w:rPr>
          <w:rFonts w:ascii="宋体" w:hAnsi="宋体" w:eastAsia="宋体"/>
          <w:color w:val="auto"/>
          <w:spacing w:val="20"/>
          <w:sz w:val="28"/>
          <w:szCs w:val="28"/>
          <w:lang w:eastAsia="zh-CN"/>
        </w:rPr>
        <w:br w:type="page"/>
      </w:r>
    </w:p>
    <w:p>
      <w:pPr>
        <w:spacing w:line="560" w:lineRule="exact"/>
        <w:rPr>
          <w:rFonts w:ascii="宋体" w:hAnsi="宋体" w:eastAsia="宋体"/>
          <w:color w:val="auto"/>
          <w:spacing w:val="20"/>
          <w:sz w:val="28"/>
          <w:szCs w:val="28"/>
          <w:lang w:eastAsia="zh-CN"/>
        </w:rPr>
      </w:pPr>
      <w:r>
        <w:rPr>
          <w:rFonts w:hint="eastAsia" w:ascii="宋体" w:hAnsi="宋体" w:eastAsia="宋体"/>
          <w:color w:val="auto"/>
          <w:spacing w:val="20"/>
          <w:sz w:val="28"/>
          <w:szCs w:val="28"/>
          <w:lang w:eastAsia="zh-CN"/>
        </w:rPr>
        <w:t>9.</w:t>
      </w:r>
      <w:r>
        <w:rPr>
          <w:rFonts w:ascii="宋体" w:hAnsi="宋体" w:eastAsia="宋体"/>
          <w:color w:val="auto"/>
          <w:spacing w:val="20"/>
          <w:sz w:val="28"/>
          <w:szCs w:val="28"/>
        </w:rPr>
        <w:t>应急预案备案证明</w:t>
      </w:r>
    </w:p>
    <w:p>
      <w:pPr>
        <w:rPr>
          <w:rFonts w:ascii="宋体" w:hAnsi="宋体" w:eastAsia="宋体"/>
          <w:color w:val="auto"/>
          <w:spacing w:val="20"/>
          <w:sz w:val="28"/>
          <w:szCs w:val="28"/>
          <w:lang w:eastAsia="zh-CN"/>
        </w:rPr>
        <w:sectPr>
          <w:pgSz w:w="11900" w:h="16840"/>
          <w:pgMar w:top="1418" w:right="1134" w:bottom="1134" w:left="1588" w:header="993" w:footer="454" w:gutter="0"/>
          <w:cols w:space="720" w:num="1"/>
          <w:docGrid w:linePitch="360" w:charSpace="0"/>
        </w:sectPr>
      </w:pPr>
      <w:r>
        <w:rPr>
          <w:rFonts w:ascii="宋体" w:hAnsi="宋体" w:eastAsia="宋体"/>
          <w:color w:val="auto"/>
          <w:spacing w:val="20"/>
          <w:sz w:val="28"/>
          <w:szCs w:val="28"/>
          <w:lang w:val="en-US" w:eastAsia="zh-CN" w:bidi="ar-SA"/>
        </w:rPr>
        <w:drawing>
          <wp:inline distT="0" distB="0" distL="0" distR="0">
            <wp:extent cx="5657850" cy="7786370"/>
            <wp:effectExtent l="0" t="0" r="0" b="5080"/>
            <wp:docPr id="31" name="图片 28" descr="C:/Users/mayn/AppData/Local/Temp/picturecompress_20211118100829/output_52.pngoutput_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28" descr="C:/Users/mayn/AppData/Local/Temp/picturecompress_20211118100829/output_52.pngoutput_52"/>
                    <pic:cNvPicPr>
                      <a:picLocks noChangeAspect="1" noChangeArrowheads="1"/>
                    </pic:cNvPicPr>
                  </pic:nvPicPr>
                  <pic:blipFill>
                    <a:blip r:embed="rId45"/>
                    <a:srcRect/>
                    <a:stretch>
                      <a:fillRect/>
                    </a:stretch>
                  </pic:blipFill>
                  <pic:spPr>
                    <a:xfrm>
                      <a:off x="0" y="0"/>
                      <a:ext cx="5657850" cy="7786370"/>
                    </a:xfrm>
                    <a:prstGeom prst="rect">
                      <a:avLst/>
                    </a:prstGeom>
                    <a:noFill/>
                    <a:ln w="9525">
                      <a:noFill/>
                      <a:miter lim="800000"/>
                      <a:headEnd/>
                      <a:tailEnd/>
                    </a:ln>
                  </pic:spPr>
                </pic:pic>
              </a:graphicData>
            </a:graphic>
          </wp:inline>
        </w:drawing>
      </w:r>
      <w:r>
        <w:rPr>
          <w:rFonts w:ascii="宋体" w:hAnsi="宋体" w:eastAsia="宋体"/>
          <w:color w:val="auto"/>
          <w:spacing w:val="20"/>
          <w:sz w:val="28"/>
          <w:szCs w:val="28"/>
          <w:lang w:eastAsia="zh-CN"/>
        </w:rPr>
        <w:t xml:space="preserve"> </w:t>
      </w:r>
    </w:p>
    <w:p>
      <w:pPr>
        <w:rPr>
          <w:rFonts w:ascii="宋体" w:hAnsi="宋体" w:eastAsia="宋体"/>
          <w:color w:val="auto"/>
          <w:spacing w:val="20"/>
          <w:sz w:val="28"/>
          <w:szCs w:val="28"/>
          <w:lang w:eastAsia="zh-CN"/>
        </w:rPr>
      </w:pPr>
      <w:r>
        <w:rPr>
          <w:rFonts w:hint="eastAsia" w:ascii="宋体" w:hAnsi="宋体" w:eastAsia="宋体"/>
          <w:color w:val="auto"/>
          <w:spacing w:val="20"/>
          <w:sz w:val="28"/>
          <w:szCs w:val="28"/>
          <w:lang w:eastAsia="zh-CN"/>
        </w:rPr>
        <w:t>10.</w:t>
      </w:r>
      <w:r>
        <w:rPr>
          <w:rFonts w:ascii="宋体" w:hAnsi="宋体" w:eastAsia="宋体"/>
          <w:color w:val="auto"/>
          <w:spacing w:val="20"/>
          <w:sz w:val="28"/>
          <w:szCs w:val="28"/>
        </w:rPr>
        <w:t>工伤保险缴费证明</w:t>
      </w:r>
    </w:p>
    <w:p>
      <w:pPr>
        <w:spacing w:line="560" w:lineRule="exact"/>
        <w:rPr>
          <w:rFonts w:ascii="宋体" w:hAnsi="宋体" w:eastAsia="宋体"/>
          <w:color w:val="auto"/>
          <w:spacing w:val="20"/>
          <w:sz w:val="28"/>
          <w:szCs w:val="28"/>
          <w:lang w:eastAsia="zh-CN"/>
        </w:rPr>
      </w:pPr>
      <w:r>
        <w:rPr>
          <w:rFonts w:hint="eastAsia" w:ascii="宋体" w:hAnsi="宋体" w:eastAsia="宋体"/>
          <w:color w:val="auto"/>
          <w:spacing w:val="20"/>
          <w:sz w:val="28"/>
          <w:szCs w:val="28"/>
          <w:lang w:val="en-US" w:eastAsia="zh-CN" w:bidi="ar-SA"/>
        </w:rPr>
        <w:drawing>
          <wp:anchor distT="0" distB="0" distL="114300" distR="114300" simplePos="0" relativeHeight="251671552" behindDoc="0" locked="0" layoutInCell="1" allowOverlap="1">
            <wp:simplePos x="0" y="0"/>
            <wp:positionH relativeFrom="column">
              <wp:posOffset>931545</wp:posOffset>
            </wp:positionH>
            <wp:positionV relativeFrom="paragraph">
              <wp:posOffset>15875</wp:posOffset>
            </wp:positionV>
            <wp:extent cx="7170420" cy="5377815"/>
            <wp:effectExtent l="0" t="0" r="11430" b="13335"/>
            <wp:wrapSquare wrapText="bothSides"/>
            <wp:docPr id="41" name="图片 41" descr="C:/Users/mayn/AppData/Local/Temp/picturecompress_20211118100829/output_9.jpgoutput_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C:/Users/mayn/AppData/Local/Temp/picturecompress_20211118100829/output_9.jpgoutput_9"/>
                    <pic:cNvPicPr>
                      <a:picLocks noChangeAspect="1" noChangeArrowheads="1"/>
                    </pic:cNvPicPr>
                  </pic:nvPicPr>
                  <pic:blipFill>
                    <a:blip r:embed="rId46"/>
                    <a:srcRect/>
                    <a:stretch>
                      <a:fillRect/>
                    </a:stretch>
                  </pic:blipFill>
                  <pic:spPr>
                    <a:xfrm>
                      <a:off x="0" y="0"/>
                      <a:ext cx="7170420" cy="5377815"/>
                    </a:xfrm>
                    <a:prstGeom prst="rect">
                      <a:avLst/>
                    </a:prstGeom>
                    <a:noFill/>
                    <a:ln w="9525">
                      <a:noFill/>
                      <a:miter lim="800000"/>
                      <a:headEnd/>
                      <a:tailEnd/>
                    </a:ln>
                  </pic:spPr>
                </pic:pic>
              </a:graphicData>
            </a:graphic>
          </wp:anchor>
        </w:drawing>
      </w:r>
    </w:p>
    <w:p>
      <w:pPr>
        <w:spacing w:line="560" w:lineRule="exact"/>
        <w:rPr>
          <w:rFonts w:ascii="宋体" w:hAnsi="宋体" w:eastAsia="宋体"/>
          <w:color w:val="auto"/>
          <w:spacing w:val="20"/>
          <w:sz w:val="28"/>
          <w:szCs w:val="28"/>
          <w:lang w:eastAsia="zh-CN"/>
        </w:rPr>
      </w:pPr>
    </w:p>
    <w:p>
      <w:pPr>
        <w:spacing w:line="560" w:lineRule="exact"/>
        <w:rPr>
          <w:rFonts w:ascii="宋体" w:hAnsi="宋体" w:eastAsia="宋体"/>
          <w:color w:val="auto"/>
          <w:spacing w:val="20"/>
          <w:sz w:val="28"/>
          <w:szCs w:val="28"/>
          <w:lang w:eastAsia="zh-CN"/>
        </w:rPr>
      </w:pPr>
    </w:p>
    <w:p>
      <w:pPr>
        <w:spacing w:line="560" w:lineRule="exact"/>
        <w:rPr>
          <w:rFonts w:ascii="宋体" w:hAnsi="宋体" w:eastAsia="宋体"/>
          <w:color w:val="auto"/>
          <w:spacing w:val="20"/>
          <w:sz w:val="28"/>
          <w:szCs w:val="28"/>
          <w:lang w:eastAsia="zh-CN"/>
        </w:rPr>
      </w:pPr>
    </w:p>
    <w:p>
      <w:pPr>
        <w:spacing w:line="560" w:lineRule="exact"/>
        <w:rPr>
          <w:rFonts w:ascii="宋体" w:hAnsi="宋体" w:eastAsia="宋体"/>
          <w:color w:val="auto"/>
          <w:spacing w:val="20"/>
          <w:sz w:val="28"/>
          <w:szCs w:val="28"/>
          <w:lang w:eastAsia="zh-CN"/>
        </w:rPr>
      </w:pPr>
    </w:p>
    <w:p>
      <w:pPr>
        <w:spacing w:line="560" w:lineRule="exact"/>
        <w:rPr>
          <w:rFonts w:ascii="宋体" w:hAnsi="宋体" w:eastAsia="宋体"/>
          <w:color w:val="auto"/>
          <w:spacing w:val="20"/>
          <w:sz w:val="28"/>
          <w:szCs w:val="28"/>
          <w:lang w:eastAsia="zh-CN"/>
        </w:rPr>
      </w:pPr>
    </w:p>
    <w:p>
      <w:pPr>
        <w:spacing w:line="560" w:lineRule="exact"/>
        <w:rPr>
          <w:rFonts w:ascii="宋体" w:hAnsi="宋体" w:eastAsia="宋体"/>
          <w:color w:val="auto"/>
          <w:spacing w:val="20"/>
          <w:sz w:val="28"/>
          <w:szCs w:val="28"/>
          <w:lang w:eastAsia="zh-CN"/>
        </w:rPr>
      </w:pPr>
    </w:p>
    <w:p>
      <w:pPr>
        <w:spacing w:line="560" w:lineRule="exact"/>
        <w:rPr>
          <w:rFonts w:ascii="宋体" w:hAnsi="宋体" w:eastAsia="宋体"/>
          <w:color w:val="auto"/>
          <w:spacing w:val="20"/>
          <w:sz w:val="28"/>
          <w:szCs w:val="28"/>
          <w:lang w:eastAsia="zh-CN"/>
        </w:rPr>
      </w:pPr>
    </w:p>
    <w:p>
      <w:pPr>
        <w:spacing w:line="560" w:lineRule="exact"/>
        <w:rPr>
          <w:rFonts w:ascii="宋体" w:hAnsi="宋体" w:eastAsia="宋体"/>
          <w:color w:val="auto"/>
          <w:spacing w:val="20"/>
          <w:sz w:val="28"/>
          <w:szCs w:val="28"/>
          <w:lang w:eastAsia="zh-CN"/>
        </w:rPr>
      </w:pPr>
    </w:p>
    <w:p>
      <w:pPr>
        <w:spacing w:line="560" w:lineRule="exact"/>
        <w:rPr>
          <w:rFonts w:ascii="宋体" w:hAnsi="宋体" w:eastAsia="宋体"/>
          <w:color w:val="auto"/>
          <w:spacing w:val="20"/>
          <w:sz w:val="28"/>
          <w:szCs w:val="28"/>
          <w:lang w:eastAsia="zh-CN"/>
        </w:rPr>
      </w:pPr>
    </w:p>
    <w:p>
      <w:pPr>
        <w:spacing w:line="560" w:lineRule="exact"/>
        <w:rPr>
          <w:rFonts w:ascii="宋体" w:hAnsi="宋体" w:eastAsia="宋体"/>
          <w:color w:val="auto"/>
          <w:spacing w:val="20"/>
          <w:sz w:val="28"/>
          <w:szCs w:val="28"/>
          <w:lang w:eastAsia="zh-CN"/>
        </w:rPr>
      </w:pPr>
    </w:p>
    <w:p>
      <w:pPr>
        <w:spacing w:line="560" w:lineRule="exact"/>
        <w:rPr>
          <w:rFonts w:ascii="宋体" w:hAnsi="宋体" w:eastAsia="宋体"/>
          <w:color w:val="auto"/>
          <w:spacing w:val="20"/>
          <w:sz w:val="28"/>
          <w:szCs w:val="28"/>
          <w:lang w:eastAsia="zh-CN"/>
        </w:rPr>
      </w:pPr>
    </w:p>
    <w:p>
      <w:pPr>
        <w:spacing w:line="560" w:lineRule="exact"/>
        <w:rPr>
          <w:rFonts w:ascii="宋体" w:hAnsi="宋体" w:eastAsia="宋体"/>
          <w:color w:val="auto"/>
          <w:spacing w:val="20"/>
          <w:sz w:val="28"/>
          <w:szCs w:val="28"/>
          <w:lang w:eastAsia="zh-CN"/>
        </w:rPr>
      </w:pPr>
    </w:p>
    <w:p>
      <w:pPr>
        <w:spacing w:line="560" w:lineRule="exact"/>
        <w:rPr>
          <w:rFonts w:ascii="宋体" w:hAnsi="宋体" w:eastAsia="宋体"/>
          <w:color w:val="auto"/>
          <w:spacing w:val="20"/>
          <w:sz w:val="28"/>
          <w:szCs w:val="28"/>
          <w:lang w:eastAsia="zh-CN"/>
        </w:rPr>
      </w:pPr>
    </w:p>
    <w:p>
      <w:pPr>
        <w:spacing w:line="560" w:lineRule="exact"/>
        <w:rPr>
          <w:rFonts w:ascii="宋体" w:hAnsi="宋体" w:eastAsia="宋体"/>
          <w:color w:val="auto"/>
          <w:spacing w:val="20"/>
          <w:sz w:val="28"/>
          <w:szCs w:val="28"/>
          <w:lang w:eastAsia="zh-CN"/>
        </w:rPr>
      </w:pPr>
    </w:p>
    <w:p>
      <w:pPr>
        <w:spacing w:line="560" w:lineRule="exact"/>
        <w:rPr>
          <w:rFonts w:ascii="宋体" w:hAnsi="宋体" w:eastAsia="宋体"/>
          <w:color w:val="auto"/>
          <w:spacing w:val="20"/>
          <w:sz w:val="28"/>
          <w:szCs w:val="28"/>
          <w:lang w:eastAsia="zh-CN"/>
        </w:rPr>
      </w:pPr>
      <w:r>
        <w:rPr>
          <w:rFonts w:ascii="宋体" w:hAnsi="宋体" w:eastAsia="宋体"/>
          <w:color w:val="auto"/>
          <w:spacing w:val="20"/>
          <w:sz w:val="28"/>
          <w:szCs w:val="28"/>
          <w:lang w:val="en-US" w:eastAsia="zh-CN" w:bidi="ar-SA"/>
        </w:rPr>
        <w:drawing>
          <wp:anchor distT="0" distB="0" distL="114300" distR="114300" simplePos="0" relativeHeight="251672576" behindDoc="0" locked="0" layoutInCell="1" allowOverlap="1">
            <wp:simplePos x="0" y="0"/>
            <wp:positionH relativeFrom="column">
              <wp:posOffset>1220470</wp:posOffset>
            </wp:positionH>
            <wp:positionV relativeFrom="paragraph">
              <wp:posOffset>126365</wp:posOffset>
            </wp:positionV>
            <wp:extent cx="7161530" cy="5370830"/>
            <wp:effectExtent l="0" t="0" r="1270" b="1270"/>
            <wp:wrapSquare wrapText="bothSides"/>
            <wp:docPr id="42" name="图片 42" descr="C:/Users/mayn/AppData/Local/Temp/picturecompress_20211118100829/output_10.jpgoutput_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descr="C:/Users/mayn/AppData/Local/Temp/picturecompress_20211118100829/output_10.jpgoutput_10"/>
                    <pic:cNvPicPr>
                      <a:picLocks noChangeAspect="1" noChangeArrowheads="1"/>
                    </pic:cNvPicPr>
                  </pic:nvPicPr>
                  <pic:blipFill>
                    <a:blip r:embed="rId47"/>
                    <a:srcRect/>
                    <a:stretch>
                      <a:fillRect/>
                    </a:stretch>
                  </pic:blipFill>
                  <pic:spPr>
                    <a:xfrm rot="10800000">
                      <a:off x="0" y="0"/>
                      <a:ext cx="7161530" cy="5370830"/>
                    </a:xfrm>
                    <a:prstGeom prst="rect">
                      <a:avLst/>
                    </a:prstGeom>
                    <a:noFill/>
                    <a:ln w="9525">
                      <a:noFill/>
                      <a:miter lim="800000"/>
                      <a:headEnd/>
                      <a:tailEnd/>
                    </a:ln>
                  </pic:spPr>
                </pic:pic>
              </a:graphicData>
            </a:graphic>
          </wp:anchor>
        </w:drawing>
      </w:r>
    </w:p>
    <w:p>
      <w:pPr>
        <w:spacing w:line="560" w:lineRule="exact"/>
        <w:rPr>
          <w:rFonts w:ascii="宋体" w:hAnsi="宋体" w:eastAsia="宋体"/>
          <w:color w:val="auto"/>
          <w:spacing w:val="20"/>
          <w:sz w:val="28"/>
          <w:szCs w:val="28"/>
          <w:lang w:eastAsia="zh-CN"/>
        </w:rPr>
      </w:pPr>
    </w:p>
    <w:p>
      <w:pPr>
        <w:spacing w:line="560" w:lineRule="exact"/>
        <w:rPr>
          <w:rFonts w:ascii="宋体" w:hAnsi="宋体" w:eastAsia="宋体"/>
          <w:color w:val="auto"/>
          <w:spacing w:val="20"/>
          <w:sz w:val="28"/>
          <w:szCs w:val="28"/>
          <w:lang w:eastAsia="zh-CN"/>
        </w:rPr>
      </w:pPr>
    </w:p>
    <w:p>
      <w:pPr>
        <w:spacing w:line="560" w:lineRule="exact"/>
        <w:rPr>
          <w:rFonts w:ascii="宋体" w:hAnsi="宋体" w:eastAsia="宋体"/>
          <w:color w:val="auto"/>
          <w:spacing w:val="20"/>
          <w:sz w:val="28"/>
          <w:szCs w:val="28"/>
          <w:lang w:eastAsia="zh-CN"/>
        </w:rPr>
      </w:pPr>
    </w:p>
    <w:p>
      <w:pPr>
        <w:spacing w:line="560" w:lineRule="exact"/>
        <w:rPr>
          <w:rFonts w:ascii="宋体" w:hAnsi="宋体" w:eastAsia="宋体"/>
          <w:color w:val="auto"/>
          <w:spacing w:val="20"/>
          <w:sz w:val="28"/>
          <w:szCs w:val="28"/>
          <w:lang w:eastAsia="zh-CN"/>
        </w:rPr>
      </w:pPr>
    </w:p>
    <w:p>
      <w:pPr>
        <w:spacing w:line="560" w:lineRule="exact"/>
        <w:rPr>
          <w:rFonts w:ascii="宋体" w:hAnsi="宋体" w:eastAsia="宋体"/>
          <w:color w:val="auto"/>
          <w:spacing w:val="20"/>
          <w:sz w:val="28"/>
          <w:szCs w:val="28"/>
          <w:lang w:eastAsia="zh-CN"/>
        </w:rPr>
      </w:pPr>
    </w:p>
    <w:p>
      <w:pPr>
        <w:spacing w:line="560" w:lineRule="exact"/>
        <w:rPr>
          <w:rFonts w:ascii="宋体" w:hAnsi="宋体" w:eastAsia="宋体"/>
          <w:color w:val="auto"/>
          <w:spacing w:val="20"/>
          <w:sz w:val="28"/>
          <w:szCs w:val="28"/>
          <w:lang w:eastAsia="zh-CN"/>
        </w:rPr>
      </w:pPr>
    </w:p>
    <w:p>
      <w:pPr>
        <w:spacing w:line="560" w:lineRule="exact"/>
        <w:rPr>
          <w:rFonts w:ascii="宋体" w:hAnsi="宋体" w:eastAsia="宋体"/>
          <w:color w:val="auto"/>
          <w:spacing w:val="20"/>
          <w:sz w:val="28"/>
          <w:szCs w:val="28"/>
          <w:lang w:eastAsia="zh-CN"/>
        </w:rPr>
      </w:pPr>
    </w:p>
    <w:p>
      <w:pPr>
        <w:spacing w:line="560" w:lineRule="exact"/>
        <w:rPr>
          <w:rFonts w:ascii="宋体" w:hAnsi="宋体" w:eastAsia="宋体"/>
          <w:color w:val="auto"/>
          <w:spacing w:val="20"/>
          <w:sz w:val="28"/>
          <w:szCs w:val="28"/>
          <w:lang w:eastAsia="zh-CN"/>
        </w:rPr>
      </w:pPr>
    </w:p>
    <w:p>
      <w:pPr>
        <w:spacing w:line="560" w:lineRule="exact"/>
        <w:rPr>
          <w:rFonts w:ascii="宋体" w:hAnsi="宋体" w:eastAsia="宋体"/>
          <w:color w:val="auto"/>
          <w:spacing w:val="20"/>
          <w:sz w:val="28"/>
          <w:szCs w:val="28"/>
          <w:lang w:eastAsia="zh-CN"/>
        </w:rPr>
      </w:pPr>
    </w:p>
    <w:p>
      <w:pPr>
        <w:spacing w:line="560" w:lineRule="exact"/>
        <w:rPr>
          <w:rFonts w:ascii="宋体" w:hAnsi="宋体" w:eastAsia="宋体"/>
          <w:color w:val="auto"/>
          <w:spacing w:val="20"/>
          <w:sz w:val="28"/>
          <w:szCs w:val="28"/>
          <w:lang w:eastAsia="zh-CN"/>
        </w:rPr>
      </w:pPr>
    </w:p>
    <w:p>
      <w:pPr>
        <w:spacing w:line="560" w:lineRule="exact"/>
        <w:rPr>
          <w:rFonts w:ascii="宋体" w:hAnsi="宋体" w:eastAsia="宋体"/>
          <w:color w:val="auto"/>
          <w:spacing w:val="20"/>
          <w:sz w:val="28"/>
          <w:szCs w:val="28"/>
          <w:lang w:eastAsia="zh-CN"/>
        </w:rPr>
      </w:pPr>
    </w:p>
    <w:p>
      <w:pPr>
        <w:spacing w:line="560" w:lineRule="exact"/>
        <w:rPr>
          <w:rFonts w:ascii="宋体" w:hAnsi="宋体" w:eastAsia="宋体"/>
          <w:color w:val="auto"/>
          <w:spacing w:val="20"/>
          <w:sz w:val="28"/>
          <w:szCs w:val="28"/>
          <w:lang w:eastAsia="zh-CN"/>
        </w:rPr>
      </w:pPr>
    </w:p>
    <w:p>
      <w:pPr>
        <w:spacing w:line="560" w:lineRule="exact"/>
        <w:rPr>
          <w:rFonts w:ascii="宋体" w:hAnsi="宋体" w:eastAsia="宋体"/>
          <w:color w:val="auto"/>
          <w:spacing w:val="20"/>
          <w:sz w:val="28"/>
          <w:szCs w:val="28"/>
          <w:lang w:eastAsia="zh-CN"/>
        </w:rPr>
      </w:pPr>
    </w:p>
    <w:p>
      <w:pPr>
        <w:spacing w:line="560" w:lineRule="exact"/>
        <w:rPr>
          <w:rFonts w:ascii="宋体" w:hAnsi="宋体" w:eastAsia="宋体"/>
          <w:color w:val="auto"/>
          <w:spacing w:val="20"/>
          <w:sz w:val="28"/>
          <w:szCs w:val="28"/>
          <w:lang w:eastAsia="zh-CN"/>
        </w:rPr>
      </w:pPr>
    </w:p>
    <w:p>
      <w:pPr>
        <w:spacing w:line="560" w:lineRule="exact"/>
        <w:rPr>
          <w:rFonts w:ascii="宋体" w:hAnsi="宋体" w:eastAsia="宋体"/>
          <w:color w:val="auto"/>
          <w:spacing w:val="20"/>
          <w:sz w:val="28"/>
          <w:szCs w:val="28"/>
          <w:lang w:eastAsia="zh-CN"/>
        </w:rPr>
      </w:pPr>
    </w:p>
    <w:p>
      <w:pPr>
        <w:rPr>
          <w:rFonts w:ascii="宋体" w:hAnsi="宋体" w:eastAsia="宋体"/>
          <w:color w:val="auto"/>
          <w:spacing w:val="20"/>
          <w:sz w:val="21"/>
          <w:szCs w:val="21"/>
          <w:lang w:eastAsia="zh-CN"/>
        </w:rPr>
      </w:pPr>
    </w:p>
    <w:sectPr>
      <w:pgSz w:w="11900" w:h="16840"/>
      <w:pgMar w:top="1418" w:right="1134" w:bottom="1134" w:left="1588" w:header="964" w:footer="454"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endnote>
  <w:endnote w:type="continuationSeparator" w:id="1">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JhengHei Light">
    <w:panose1 w:val="020B0304030504040204"/>
    <w:charset w:val="88"/>
    <w:family w:val="swiss"/>
    <w:pitch w:val="default"/>
    <w:sig w:usb0="800002A7" w:usb1="28CF4400" w:usb2="00000016" w:usb3="00000000" w:csb0="00100009" w:csb1="00000000"/>
  </w:font>
  <w:font w:name="等线">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Constantia">
    <w:panose1 w:val="02030602050306030303"/>
    <w:charset w:val="00"/>
    <w:family w:val="roman"/>
    <w:pitch w:val="default"/>
    <w:sig w:usb0="A00002EF" w:usb1="4000204B" w:usb2="00000000" w:usb3="00000000" w:csb0="2000019F" w:csb1="00000000"/>
  </w:font>
  <w:font w:name="Arial Narrow">
    <w:panose1 w:val="020B0606020202030204"/>
    <w:charset w:val="00"/>
    <w:family w:val="swiss"/>
    <w:pitch w:val="default"/>
    <w:sig w:usb0="00000287" w:usb1="00000800" w:usb2="00000000" w:usb3="00000000" w:csb0="2000009F" w:csb1="DFD70000"/>
  </w:font>
  <w:font w:name="Bookman Old Style">
    <w:panose1 w:val="02050604050505020204"/>
    <w:charset w:val="00"/>
    <w:family w:val="roman"/>
    <w:pitch w:val="default"/>
    <w:sig w:usb0="00000287" w:usb1="00000000" w:usb2="00000000" w:usb3="00000000" w:csb0="2000009F" w:csb1="DFD70000"/>
  </w:font>
  <w:font w:name="Lucida Sans Unicode">
    <w:panose1 w:val="020B0602030504020204"/>
    <w:charset w:val="00"/>
    <w:family w:val="swiss"/>
    <w:pitch w:val="default"/>
    <w:sig w:usb0="80001AFF" w:usb1="0000396B" w:usb2="00000000" w:usb3="00000000" w:csb0="200000BF" w:csb1="D7F70000"/>
  </w:font>
  <w:font w:name="Garamond">
    <w:panose1 w:val="02020404030301010803"/>
    <w:charset w:val="00"/>
    <w:family w:val="roman"/>
    <w:pitch w:val="default"/>
    <w:sig w:usb0="00000287" w:usb1="00000000" w:usb2="00000000" w:usb3="00000000" w:csb0="0000009F" w:csb1="DFD70000"/>
  </w:font>
  <w:font w:name="Candara">
    <w:panose1 w:val="020E0502030303020204"/>
    <w:charset w:val="00"/>
    <w:family w:val="swiss"/>
    <w:pitch w:val="default"/>
    <w:sig w:usb0="A00002EF" w:usb1="4000A44B" w:usb2="00000000" w:usb3="00000000" w:csb0="2000019F" w:csb1="00000000"/>
  </w:font>
  <w:font w:name="等线 Light">
    <w:panose1 w:val="02010600030101010101"/>
    <w:charset w:val="86"/>
    <w:family w:val="auto"/>
    <w:pitch w:val="default"/>
    <w:sig w:usb0="A00002BF" w:usb1="38CF7CFA" w:usb2="00000016" w:usb3="00000000" w:csb0="0004000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汉鼎简特宋">
    <w:altName w:val="宋体"/>
    <w:panose1 w:val="00000000000000000000"/>
    <w:charset w:val="86"/>
    <w:family w:val="modern"/>
    <w:pitch w:val="default"/>
    <w:sig w:usb0="00000000" w:usb1="00000000" w:usb2="00000010" w:usb3="00000000" w:csb0="00040000" w:csb1="00000000"/>
  </w:font>
  <w:font w:name="Cambria">
    <w:panose1 w:val="02040503050406030204"/>
    <w:charset w:val="00"/>
    <w:family w:val="roman"/>
    <w:pitch w:val="default"/>
    <w:sig w:usb0="E00006FF" w:usb1="420024FF" w:usb2="02000000" w:usb3="00000000" w:csb0="2000019F" w:csb1="00000000"/>
  </w:font>
  <w:font w:name="ˎ̥">
    <w:altName w:val="Times New Roman"/>
    <w:panose1 w:val="00000000000000000000"/>
    <w:charset w:val="00"/>
    <w:family w:val="roman"/>
    <w:pitch w:val="default"/>
    <w:sig w:usb0="00000000" w:usb1="00000000" w:usb2="00000000" w:usb3="00000000" w:csb0="00040001" w:csb1="00000000"/>
  </w:font>
  <w:font w:name="Tahoma">
    <w:panose1 w:val="020B0604030504040204"/>
    <w:charset w:val="00"/>
    <w:family w:val="swiss"/>
    <w:pitch w:val="default"/>
    <w:sig w:usb0="E1002EFF" w:usb1="C000605B" w:usb2="00000029" w:usb3="00000000" w:csb0="200101FF" w:csb1="20280000"/>
  </w:font>
  <w:font w:name="PMingLiU">
    <w:panose1 w:val="02020500000000000000"/>
    <w:charset w:val="88"/>
    <w:family w:val="roman"/>
    <w:pitch w:val="default"/>
    <w:sig w:usb0="A00002FF" w:usb1="28CFFCFA" w:usb2="00000016" w:usb3="00000000" w:csb0="00100001" w:csb1="00000000"/>
  </w:font>
  <w:font w:name="微软雅黑">
    <w:panose1 w:val="020B0503020204020204"/>
    <w:charset w:val="86"/>
    <w:family w:val="swiss"/>
    <w:pitch w:val="default"/>
    <w:sig w:usb0="80000287" w:usb1="2ACF3C50" w:usb2="00000016" w:usb3="00000000" w:csb0="0004001F" w:csb1="00000000"/>
  </w:font>
  <w:font w:name="Segoe UI Symbol">
    <w:panose1 w:val="020B0502040204020203"/>
    <w:charset w:val="00"/>
    <w:family w:val="swiss"/>
    <w:pitch w:val="default"/>
    <w:sig w:usb0="800001E3" w:usb1="1200FFEF" w:usb2="00040000" w:usb3="04000000" w:csb0="00000001" w:csb1="40000000"/>
  </w:font>
  <w:font w:name="MS Mincho">
    <w:panose1 w:val="02020609040205080304"/>
    <w:charset w:val="80"/>
    <w:family w:val="modern"/>
    <w:pitch w:val="default"/>
    <w:sig w:usb0="E00002FF" w:usb1="6AC7FDFB" w:usb2="00000012" w:usb3="00000000" w:csb0="4002009F" w:csb1="DFD7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rPr>
        <w:rFonts w:ascii="宋体" w:hAnsi="宋体" w:eastAsia="PMingLiU"/>
      </w:rPr>
    </w:pPr>
    <w:r>
      <w:rPr>
        <w:rFonts w:ascii="宋体" w:hAnsi="宋体" w:eastAsia="宋体"/>
      </w:rPr>
      <w:fldChar w:fldCharType="begin"/>
    </w:r>
    <w:r>
      <w:rPr>
        <w:rFonts w:ascii="宋体" w:hAnsi="宋体" w:eastAsia="宋体"/>
      </w:rPr>
      <w:instrText xml:space="preserve">PAGE   \* MERGEFORMAT</w:instrText>
    </w:r>
    <w:r>
      <w:rPr>
        <w:rFonts w:ascii="宋体" w:hAnsi="宋体" w:eastAsia="宋体"/>
      </w:rPr>
      <w:fldChar w:fldCharType="separate"/>
    </w:r>
    <w:r>
      <w:rPr>
        <w:rFonts w:ascii="宋体" w:hAnsi="宋体" w:eastAsia="宋体"/>
        <w:lang w:val="zh-CN" w:eastAsia="zh-CN"/>
      </w:rPr>
      <w:t>249</w:t>
    </w:r>
    <w:r>
      <w:rPr>
        <w:rFonts w:ascii="宋体" w:hAnsi="宋体" w:eastAsia="宋体"/>
      </w:rPr>
      <w:fldChar w:fldCharType="end"/>
    </w:r>
  </w:p>
  <w:p>
    <w:pPr>
      <w:pStyle w:val="29"/>
      <w:ind w:right="360"/>
      <w:rPr>
        <w:rFonts w:ascii="宋体" w:hAnsi="宋体" w:eastAsia="宋体"/>
        <w:lang w:eastAsia="zh-CN"/>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footnote>
  <w:footnote w:type="continuationSeparator" w:id="1">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rPr>
        <w:rFonts w:ascii="宋体" w:hAnsi="宋体" w:eastAsia="宋体"/>
      </w:rPr>
    </w:pPr>
    <w:r>
      <w:rPr>
        <w:rFonts w:hint="eastAsia" w:ascii="宋体" w:hAnsi="宋体" w:eastAsia="宋体"/>
        <w:color w:val="auto"/>
        <w:lang w:eastAsia="zh-CN"/>
      </w:rPr>
      <w:t>东莞市华龙实业</w:t>
    </w:r>
    <w:r>
      <w:rPr>
        <w:rFonts w:ascii="宋体" w:hAnsi="宋体" w:eastAsia="宋体"/>
        <w:color w:val="auto"/>
      </w:rPr>
      <w:t>有限公司安全评价报告</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FB"/>
    <w:multiLevelType w:val="multilevel"/>
    <w:tmpl w:val="FFFFFFFB"/>
    <w:lvl w:ilvl="0" w:tentative="0">
      <w:start w:val="1"/>
      <w:numFmt w:val="decimal"/>
      <w:lvlText w:val="%1."/>
      <w:legacy w:legacy="1" w:legacySpace="144" w:legacyIndent="0"/>
      <w:lvlJc w:val="left"/>
      <w:pPr>
        <w:ind w:left="0" w:firstLine="0"/>
      </w:pPr>
    </w:lvl>
    <w:lvl w:ilvl="1" w:tentative="0">
      <w:start w:val="1"/>
      <w:numFmt w:val="decimal"/>
      <w:lvlText w:val="%1.%2"/>
      <w:legacy w:legacy="1" w:legacySpace="144" w:legacyIndent="0"/>
      <w:lvlJc w:val="left"/>
      <w:pPr>
        <w:ind w:left="0" w:firstLine="0"/>
      </w:pPr>
    </w:lvl>
    <w:lvl w:ilvl="2" w:tentative="0">
      <w:start w:val="1"/>
      <w:numFmt w:val="decimal"/>
      <w:lvlText w:val="%1.%2.%3"/>
      <w:legacy w:legacy="1" w:legacySpace="144" w:legacyIndent="0"/>
      <w:lvlJc w:val="left"/>
      <w:pPr>
        <w:ind w:left="0" w:firstLine="0"/>
      </w:pPr>
    </w:lvl>
    <w:lvl w:ilvl="3" w:tentative="0">
      <w:start w:val="1"/>
      <w:numFmt w:val="decimal"/>
      <w:lvlText w:val="%1.%2.%3.%4"/>
      <w:legacy w:legacy="1" w:legacySpace="144" w:legacyIndent="0"/>
      <w:lvlJc w:val="left"/>
      <w:pPr>
        <w:ind w:left="0" w:firstLine="0"/>
      </w:pPr>
    </w:lvl>
    <w:lvl w:ilvl="4" w:tentative="0">
      <w:start w:val="1"/>
      <w:numFmt w:val="decimal"/>
      <w:lvlText w:val="%1.%2.%3.%4.%5"/>
      <w:legacy w:legacy="1" w:legacySpace="144" w:legacyIndent="0"/>
      <w:lvlJc w:val="left"/>
      <w:pPr>
        <w:ind w:left="0" w:firstLine="0"/>
      </w:pPr>
    </w:lvl>
    <w:lvl w:ilvl="5" w:tentative="0">
      <w:start w:val="1"/>
      <w:numFmt w:val="decimal"/>
      <w:pStyle w:val="8"/>
      <w:lvlText w:val="%1.%2.%3.%4.%5.%6"/>
      <w:legacy w:legacy="1" w:legacySpace="144" w:legacyIndent="0"/>
      <w:lvlJc w:val="left"/>
      <w:pPr>
        <w:ind w:left="0" w:firstLine="0"/>
      </w:pPr>
    </w:lvl>
    <w:lvl w:ilvl="6" w:tentative="0">
      <w:start w:val="1"/>
      <w:numFmt w:val="decimal"/>
      <w:lvlText w:val="%1.%2.%3.%4.%5.%6.%7"/>
      <w:legacy w:legacy="1" w:legacySpace="144" w:legacyIndent="0"/>
      <w:lvlJc w:val="left"/>
      <w:pPr>
        <w:ind w:left="0" w:firstLine="0"/>
      </w:pPr>
    </w:lvl>
    <w:lvl w:ilvl="7" w:tentative="0">
      <w:start w:val="1"/>
      <w:numFmt w:val="decimal"/>
      <w:pStyle w:val="10"/>
      <w:lvlText w:val="%1.%2.%3.%4.%5.%6.%7.%8"/>
      <w:legacy w:legacy="1" w:legacySpace="144" w:legacyIndent="0"/>
      <w:lvlJc w:val="left"/>
      <w:pPr>
        <w:ind w:left="0" w:firstLine="0"/>
      </w:pPr>
    </w:lvl>
    <w:lvl w:ilvl="8" w:tentative="0">
      <w:start w:val="1"/>
      <w:numFmt w:val="decimal"/>
      <w:pStyle w:val="11"/>
      <w:lvlText w:val="%1.%2.%3.%4.%5.%6.%7.%8.%9"/>
      <w:legacy w:legacy="1" w:legacySpace="144" w:legacyIndent="0"/>
      <w:lvlJc w:val="left"/>
      <w:pPr>
        <w:ind w:left="0" w:firstLine="0"/>
      </w:pPr>
    </w:lvl>
  </w:abstractNum>
  <w:abstractNum w:abstractNumId="1">
    <w:nsid w:val="315E2367"/>
    <w:multiLevelType w:val="multilevel"/>
    <w:tmpl w:val="315E2367"/>
    <w:lvl w:ilvl="0" w:tentative="0">
      <w:start w:val="1"/>
      <w:numFmt w:val="decimal"/>
      <w:lvlText w:val="%1"/>
      <w:lvlJc w:val="left"/>
      <w:pPr>
        <w:tabs>
          <w:tab w:val="left" w:pos="432"/>
        </w:tabs>
        <w:ind w:left="432" w:hanging="432"/>
      </w:pPr>
    </w:lvl>
    <w:lvl w:ilvl="1" w:tentative="0">
      <w:start w:val="1"/>
      <w:numFmt w:val="decimal"/>
      <w:lvlText w:val="%1.%2"/>
      <w:lvlJc w:val="left"/>
      <w:pPr>
        <w:tabs>
          <w:tab w:val="left" w:pos="576"/>
        </w:tabs>
        <w:ind w:left="576" w:hanging="576"/>
      </w:pPr>
    </w:lvl>
    <w:lvl w:ilvl="2" w:tentative="0">
      <w:start w:val="1"/>
      <w:numFmt w:val="decimal"/>
      <w:lvlText w:val="%1.%2.%3"/>
      <w:lvlJc w:val="left"/>
      <w:pPr>
        <w:tabs>
          <w:tab w:val="left" w:pos="1080"/>
        </w:tabs>
        <w:ind w:left="360" w:firstLine="0"/>
      </w:pPr>
    </w:lvl>
    <w:lvl w:ilvl="3" w:tentative="0">
      <w:start w:val="1"/>
      <w:numFmt w:val="decimal"/>
      <w:pStyle w:val="6"/>
      <w:lvlText w:val="%1.%2.%3.%4"/>
      <w:lvlJc w:val="left"/>
      <w:pPr>
        <w:tabs>
          <w:tab w:val="left" w:pos="864"/>
        </w:tabs>
        <w:ind w:left="864" w:hanging="864"/>
      </w:pPr>
    </w:lvl>
    <w:lvl w:ilvl="4" w:tentative="0">
      <w:start w:val="1"/>
      <w:numFmt w:val="decimal"/>
      <w:pStyle w:val="7"/>
      <w:lvlText w:val="%1.%2.%3.%4.%5"/>
      <w:lvlJc w:val="left"/>
      <w:pPr>
        <w:tabs>
          <w:tab w:val="left" w:pos="1008"/>
        </w:tabs>
        <w:ind w:left="1008" w:hanging="1008"/>
      </w:pPr>
    </w:lvl>
    <w:lvl w:ilvl="5" w:tentative="0">
      <w:start w:val="1"/>
      <w:numFmt w:val="decimal"/>
      <w:lvlText w:val="%1.%2.%3.%4.%5.%6"/>
      <w:lvlJc w:val="left"/>
      <w:pPr>
        <w:tabs>
          <w:tab w:val="left" w:pos="1152"/>
        </w:tabs>
        <w:ind w:left="1152" w:hanging="1152"/>
      </w:pPr>
    </w:lvl>
    <w:lvl w:ilvl="6" w:tentative="0">
      <w:start w:val="1"/>
      <w:numFmt w:val="decimal"/>
      <w:pStyle w:val="9"/>
      <w:lvlText w:val="%1.%2.%3.%4.%5.%6.%7"/>
      <w:lvlJc w:val="left"/>
      <w:pPr>
        <w:tabs>
          <w:tab w:val="left" w:pos="1296"/>
        </w:tabs>
        <w:ind w:left="1296" w:hanging="1296"/>
      </w:pPr>
    </w:lvl>
    <w:lvl w:ilvl="7" w:tentative="0">
      <w:start w:val="1"/>
      <w:numFmt w:val="decimal"/>
      <w:lvlText w:val="%1.%2.%3.%4.%5.%6.%7.%8"/>
      <w:lvlJc w:val="left"/>
      <w:pPr>
        <w:tabs>
          <w:tab w:val="left" w:pos="1440"/>
        </w:tabs>
        <w:ind w:left="1440" w:hanging="1440"/>
      </w:pPr>
    </w:lvl>
    <w:lvl w:ilvl="8" w:tentative="0">
      <w:start w:val="1"/>
      <w:numFmt w:val="decimal"/>
      <w:lvlText w:val="%1.%2.%3.%4.%5.%6.%7.%8.%9"/>
      <w:lvlJc w:val="left"/>
      <w:pPr>
        <w:tabs>
          <w:tab w:val="left" w:pos="1584"/>
        </w:tabs>
        <w:ind w:left="1584" w:hanging="1584"/>
      </w:pPr>
    </w:lvl>
  </w:abstractNum>
  <w:abstractNum w:abstractNumId="2">
    <w:nsid w:val="5D3F086B"/>
    <w:multiLevelType w:val="multilevel"/>
    <w:tmpl w:val="5D3F086B"/>
    <w:lvl w:ilvl="0" w:tentative="0">
      <w:start w:val="1"/>
      <w:numFmt w:val="decimal"/>
      <w:pStyle w:val="375"/>
      <w:lvlText w:val="(%1)"/>
      <w:lvlJc w:val="left"/>
      <w:pPr>
        <w:tabs>
          <w:tab w:val="left" w:pos="465"/>
        </w:tabs>
        <w:ind w:left="465" w:hanging="465"/>
      </w:pPr>
    </w:lvl>
    <w:lvl w:ilvl="1" w:tentative="0">
      <w:start w:val="1"/>
      <w:numFmt w:val="upperLetter"/>
      <w:lvlText w:val="%2."/>
      <w:lvlJc w:val="left"/>
      <w:pPr>
        <w:tabs>
          <w:tab w:val="left" w:pos="780"/>
        </w:tabs>
        <w:ind w:left="780" w:hanging="360"/>
      </w:pPr>
    </w:lvl>
    <w:lvl w:ilvl="2" w:tentative="0">
      <w:start w:val="1"/>
      <w:numFmt w:val="decimalEnclosedCircle"/>
      <w:lvlText w:val="%3"/>
      <w:lvlJc w:val="left"/>
      <w:pPr>
        <w:tabs>
          <w:tab w:val="left" w:pos="1200"/>
        </w:tabs>
        <w:ind w:left="1200" w:hanging="360"/>
      </w:pPr>
    </w:lvl>
    <w:lvl w:ilvl="3" w:tentative="0">
      <w:start w:val="1"/>
      <w:numFmt w:val="decimal"/>
      <w:lvlText w:val="（%4）"/>
      <w:lvlJc w:val="left"/>
      <w:pPr>
        <w:tabs>
          <w:tab w:val="left" w:pos="2115"/>
        </w:tabs>
        <w:ind w:left="2115" w:hanging="855"/>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bordersDoNotSurroundHeader w:val="0"/>
  <w:bordersDoNotSurroundFooter w:val="0"/>
  <w:hideSpellingErrors/>
  <w:hideGrammaticalErrors/>
  <w:documentProtection w:enforcement="0"/>
  <w:defaultTabStop w:val="420"/>
  <w:drawingGridHorizontalSpacing w:val="120"/>
  <w:drawingGridVerticalSpacing w:val="181"/>
  <w:displayHorizontalDrawingGridEvery w:val="1"/>
  <w:displayVerticalDrawingGridEvery w:val="1"/>
  <w:noPunctuationKerning w:val="1"/>
  <w:characterSpacingControl w:val="compressPunctuation"/>
  <w:footnotePr>
    <w:footnote w:id="0"/>
    <w:footnote w:id="1"/>
  </w:footnotePr>
  <w:endnotePr>
    <w:endnote w:id="0"/>
    <w:endnote w:id="1"/>
  </w:endnotePr>
  <w:compat>
    <w:doNotExpandShiftReturn/>
    <w:doNotWrapTextWithPunct/>
    <w:doNotUseEastAsianBreakRules/>
    <w:useFELayout/>
    <w:doNotUseIndentAsNumberingTabStop/>
    <w:useAltKinsokuLineBreakRules/>
    <w:compatSetting w:name="compatibilityMode" w:uri="http://schemas.microsoft.com/office/word" w:val="12"/>
  </w:compat>
  <w:rsids>
    <w:rsidRoot w:val="00C061EE"/>
    <w:rsid w:val="00001813"/>
    <w:rsid w:val="00001FFE"/>
    <w:rsid w:val="00004F68"/>
    <w:rsid w:val="000053BD"/>
    <w:rsid w:val="00014350"/>
    <w:rsid w:val="000169EC"/>
    <w:rsid w:val="00021433"/>
    <w:rsid w:val="000260B1"/>
    <w:rsid w:val="00026A92"/>
    <w:rsid w:val="0003490E"/>
    <w:rsid w:val="00034BA1"/>
    <w:rsid w:val="00035519"/>
    <w:rsid w:val="000355D7"/>
    <w:rsid w:val="00035636"/>
    <w:rsid w:val="000408A5"/>
    <w:rsid w:val="00041795"/>
    <w:rsid w:val="00042F97"/>
    <w:rsid w:val="000434FA"/>
    <w:rsid w:val="00061A4A"/>
    <w:rsid w:val="0006344F"/>
    <w:rsid w:val="000639DB"/>
    <w:rsid w:val="00075CCA"/>
    <w:rsid w:val="00076CA1"/>
    <w:rsid w:val="00086E5E"/>
    <w:rsid w:val="00092EEF"/>
    <w:rsid w:val="00095624"/>
    <w:rsid w:val="00096A2A"/>
    <w:rsid w:val="000A2BA5"/>
    <w:rsid w:val="000C6A70"/>
    <w:rsid w:val="000D46A6"/>
    <w:rsid w:val="000D5D20"/>
    <w:rsid w:val="000E1220"/>
    <w:rsid w:val="000E20D8"/>
    <w:rsid w:val="000E4E2A"/>
    <w:rsid w:val="00101D58"/>
    <w:rsid w:val="00103BD9"/>
    <w:rsid w:val="00105778"/>
    <w:rsid w:val="00107588"/>
    <w:rsid w:val="001109C0"/>
    <w:rsid w:val="0011583A"/>
    <w:rsid w:val="00134233"/>
    <w:rsid w:val="00137678"/>
    <w:rsid w:val="0014086B"/>
    <w:rsid w:val="00142D15"/>
    <w:rsid w:val="00143965"/>
    <w:rsid w:val="00145CEF"/>
    <w:rsid w:val="0015093B"/>
    <w:rsid w:val="00157F52"/>
    <w:rsid w:val="001750BB"/>
    <w:rsid w:val="00175D09"/>
    <w:rsid w:val="0017627D"/>
    <w:rsid w:val="001802B3"/>
    <w:rsid w:val="00181E3A"/>
    <w:rsid w:val="0018365E"/>
    <w:rsid w:val="0018606C"/>
    <w:rsid w:val="00187963"/>
    <w:rsid w:val="001931FE"/>
    <w:rsid w:val="001936F1"/>
    <w:rsid w:val="001A1BF6"/>
    <w:rsid w:val="001A1E6A"/>
    <w:rsid w:val="001B40A1"/>
    <w:rsid w:val="001C08EA"/>
    <w:rsid w:val="001C25E0"/>
    <w:rsid w:val="001D2672"/>
    <w:rsid w:val="001D2B57"/>
    <w:rsid w:val="001D4817"/>
    <w:rsid w:val="001D5A54"/>
    <w:rsid w:val="001D626A"/>
    <w:rsid w:val="001E1C41"/>
    <w:rsid w:val="001E2FF5"/>
    <w:rsid w:val="001F2ADD"/>
    <w:rsid w:val="001F4A78"/>
    <w:rsid w:val="001F62D2"/>
    <w:rsid w:val="00203847"/>
    <w:rsid w:val="002062BD"/>
    <w:rsid w:val="00223C8F"/>
    <w:rsid w:val="002314F0"/>
    <w:rsid w:val="00236591"/>
    <w:rsid w:val="00236F9D"/>
    <w:rsid w:val="00254018"/>
    <w:rsid w:val="00254DCF"/>
    <w:rsid w:val="002554A8"/>
    <w:rsid w:val="00255869"/>
    <w:rsid w:val="00255E4B"/>
    <w:rsid w:val="0025743C"/>
    <w:rsid w:val="00267B86"/>
    <w:rsid w:val="0027040E"/>
    <w:rsid w:val="0027611F"/>
    <w:rsid w:val="0028254A"/>
    <w:rsid w:val="0028361C"/>
    <w:rsid w:val="00284F6B"/>
    <w:rsid w:val="002860E0"/>
    <w:rsid w:val="00294B73"/>
    <w:rsid w:val="00296A58"/>
    <w:rsid w:val="002A14A1"/>
    <w:rsid w:val="002B71A8"/>
    <w:rsid w:val="002C084B"/>
    <w:rsid w:val="002C2E1D"/>
    <w:rsid w:val="002C640C"/>
    <w:rsid w:val="002D56A8"/>
    <w:rsid w:val="002D6EF2"/>
    <w:rsid w:val="002E1D3A"/>
    <w:rsid w:val="002E4687"/>
    <w:rsid w:val="002E48A9"/>
    <w:rsid w:val="002E6F0A"/>
    <w:rsid w:val="002E7419"/>
    <w:rsid w:val="002F07D1"/>
    <w:rsid w:val="002F0F7B"/>
    <w:rsid w:val="002F1618"/>
    <w:rsid w:val="002F226D"/>
    <w:rsid w:val="002F4700"/>
    <w:rsid w:val="002F58FF"/>
    <w:rsid w:val="003048CF"/>
    <w:rsid w:val="00306ED5"/>
    <w:rsid w:val="003117CA"/>
    <w:rsid w:val="003129C3"/>
    <w:rsid w:val="003133EB"/>
    <w:rsid w:val="003140A5"/>
    <w:rsid w:val="003141FF"/>
    <w:rsid w:val="0031530A"/>
    <w:rsid w:val="00317910"/>
    <w:rsid w:val="00322193"/>
    <w:rsid w:val="0032363C"/>
    <w:rsid w:val="003276F1"/>
    <w:rsid w:val="0033086A"/>
    <w:rsid w:val="0033376D"/>
    <w:rsid w:val="00340E1E"/>
    <w:rsid w:val="00345B46"/>
    <w:rsid w:val="003664AB"/>
    <w:rsid w:val="003709D4"/>
    <w:rsid w:val="00372967"/>
    <w:rsid w:val="00376AB5"/>
    <w:rsid w:val="00377362"/>
    <w:rsid w:val="003812AD"/>
    <w:rsid w:val="00381420"/>
    <w:rsid w:val="00381B79"/>
    <w:rsid w:val="00382506"/>
    <w:rsid w:val="00382817"/>
    <w:rsid w:val="0039149F"/>
    <w:rsid w:val="00391978"/>
    <w:rsid w:val="00394F05"/>
    <w:rsid w:val="003967AE"/>
    <w:rsid w:val="003A434E"/>
    <w:rsid w:val="003A546F"/>
    <w:rsid w:val="003A6DFB"/>
    <w:rsid w:val="003B670A"/>
    <w:rsid w:val="003B68C5"/>
    <w:rsid w:val="003C05BF"/>
    <w:rsid w:val="003C0E68"/>
    <w:rsid w:val="003C28B8"/>
    <w:rsid w:val="003C5B8F"/>
    <w:rsid w:val="003D0323"/>
    <w:rsid w:val="003D1DAA"/>
    <w:rsid w:val="003D1E83"/>
    <w:rsid w:val="003D3615"/>
    <w:rsid w:val="003D36F1"/>
    <w:rsid w:val="003D7185"/>
    <w:rsid w:val="003E0BFA"/>
    <w:rsid w:val="003E7A3C"/>
    <w:rsid w:val="003E7CB9"/>
    <w:rsid w:val="003F7F76"/>
    <w:rsid w:val="0040327A"/>
    <w:rsid w:val="00410FE2"/>
    <w:rsid w:val="00413E6D"/>
    <w:rsid w:val="00422ACB"/>
    <w:rsid w:val="00425B30"/>
    <w:rsid w:val="00426FA4"/>
    <w:rsid w:val="0043507F"/>
    <w:rsid w:val="004442E7"/>
    <w:rsid w:val="00445644"/>
    <w:rsid w:val="00450C41"/>
    <w:rsid w:val="00452333"/>
    <w:rsid w:val="004538B3"/>
    <w:rsid w:val="004551E9"/>
    <w:rsid w:val="00457CB9"/>
    <w:rsid w:val="00457DC6"/>
    <w:rsid w:val="004625D0"/>
    <w:rsid w:val="00464E26"/>
    <w:rsid w:val="00466093"/>
    <w:rsid w:val="00471BA8"/>
    <w:rsid w:val="0047519A"/>
    <w:rsid w:val="00476961"/>
    <w:rsid w:val="0047759B"/>
    <w:rsid w:val="0048036D"/>
    <w:rsid w:val="00480CE0"/>
    <w:rsid w:val="004826EA"/>
    <w:rsid w:val="004902AB"/>
    <w:rsid w:val="00491F3C"/>
    <w:rsid w:val="00493880"/>
    <w:rsid w:val="00493C07"/>
    <w:rsid w:val="00495AA3"/>
    <w:rsid w:val="00496FFD"/>
    <w:rsid w:val="004A0749"/>
    <w:rsid w:val="004A0770"/>
    <w:rsid w:val="004A105F"/>
    <w:rsid w:val="004A387B"/>
    <w:rsid w:val="004B0906"/>
    <w:rsid w:val="004B2C1D"/>
    <w:rsid w:val="004B3691"/>
    <w:rsid w:val="004B4039"/>
    <w:rsid w:val="004B672B"/>
    <w:rsid w:val="004B73A2"/>
    <w:rsid w:val="004C17FF"/>
    <w:rsid w:val="004C2FEE"/>
    <w:rsid w:val="004D4533"/>
    <w:rsid w:val="004E6E18"/>
    <w:rsid w:val="004E700F"/>
    <w:rsid w:val="004F03A8"/>
    <w:rsid w:val="004F0550"/>
    <w:rsid w:val="004F22B8"/>
    <w:rsid w:val="004F5F8D"/>
    <w:rsid w:val="004F7F1D"/>
    <w:rsid w:val="00501114"/>
    <w:rsid w:val="00502081"/>
    <w:rsid w:val="00502CA3"/>
    <w:rsid w:val="0050412E"/>
    <w:rsid w:val="005047C4"/>
    <w:rsid w:val="00507076"/>
    <w:rsid w:val="0051116B"/>
    <w:rsid w:val="005155B5"/>
    <w:rsid w:val="0052136F"/>
    <w:rsid w:val="00524708"/>
    <w:rsid w:val="005340BC"/>
    <w:rsid w:val="00541A17"/>
    <w:rsid w:val="005568E6"/>
    <w:rsid w:val="0056004F"/>
    <w:rsid w:val="005619E4"/>
    <w:rsid w:val="00565C8C"/>
    <w:rsid w:val="005701F8"/>
    <w:rsid w:val="00570CD9"/>
    <w:rsid w:val="005728A0"/>
    <w:rsid w:val="005737BF"/>
    <w:rsid w:val="0057573E"/>
    <w:rsid w:val="00580A84"/>
    <w:rsid w:val="00583DA0"/>
    <w:rsid w:val="0058444F"/>
    <w:rsid w:val="005859CA"/>
    <w:rsid w:val="00586EC8"/>
    <w:rsid w:val="00590454"/>
    <w:rsid w:val="005913ED"/>
    <w:rsid w:val="00591B58"/>
    <w:rsid w:val="005A0AC1"/>
    <w:rsid w:val="005A1F7F"/>
    <w:rsid w:val="005A6312"/>
    <w:rsid w:val="005B4E12"/>
    <w:rsid w:val="005B7E11"/>
    <w:rsid w:val="005C53D0"/>
    <w:rsid w:val="005D3DF3"/>
    <w:rsid w:val="005E0A66"/>
    <w:rsid w:val="005E3DE7"/>
    <w:rsid w:val="005E4372"/>
    <w:rsid w:val="005E5DF9"/>
    <w:rsid w:val="005E796B"/>
    <w:rsid w:val="005F02D2"/>
    <w:rsid w:val="0060516A"/>
    <w:rsid w:val="006057D3"/>
    <w:rsid w:val="00605B1C"/>
    <w:rsid w:val="00624CD6"/>
    <w:rsid w:val="00625528"/>
    <w:rsid w:val="0062659B"/>
    <w:rsid w:val="006312B9"/>
    <w:rsid w:val="00632FF2"/>
    <w:rsid w:val="006335DB"/>
    <w:rsid w:val="00635169"/>
    <w:rsid w:val="0064156B"/>
    <w:rsid w:val="00651207"/>
    <w:rsid w:val="006601D8"/>
    <w:rsid w:val="006628D0"/>
    <w:rsid w:val="00666FFD"/>
    <w:rsid w:val="00670ED5"/>
    <w:rsid w:val="00673ED4"/>
    <w:rsid w:val="006740BE"/>
    <w:rsid w:val="00682772"/>
    <w:rsid w:val="00684730"/>
    <w:rsid w:val="006866E2"/>
    <w:rsid w:val="00693EE6"/>
    <w:rsid w:val="00694648"/>
    <w:rsid w:val="0069682E"/>
    <w:rsid w:val="006A03FB"/>
    <w:rsid w:val="006A1CAA"/>
    <w:rsid w:val="006A2B71"/>
    <w:rsid w:val="006C024F"/>
    <w:rsid w:val="006C0445"/>
    <w:rsid w:val="006C32C3"/>
    <w:rsid w:val="006C5190"/>
    <w:rsid w:val="006C6733"/>
    <w:rsid w:val="006D2ECE"/>
    <w:rsid w:val="006D3387"/>
    <w:rsid w:val="006D3EA5"/>
    <w:rsid w:val="006D6159"/>
    <w:rsid w:val="006E1F55"/>
    <w:rsid w:val="006F582F"/>
    <w:rsid w:val="006F634C"/>
    <w:rsid w:val="007001C9"/>
    <w:rsid w:val="00700DAF"/>
    <w:rsid w:val="00701130"/>
    <w:rsid w:val="00704D0E"/>
    <w:rsid w:val="007056C7"/>
    <w:rsid w:val="00712547"/>
    <w:rsid w:val="00712DEF"/>
    <w:rsid w:val="00713329"/>
    <w:rsid w:val="00716799"/>
    <w:rsid w:val="00716826"/>
    <w:rsid w:val="007170F1"/>
    <w:rsid w:val="007234B9"/>
    <w:rsid w:val="00725271"/>
    <w:rsid w:val="00732602"/>
    <w:rsid w:val="00733464"/>
    <w:rsid w:val="00734159"/>
    <w:rsid w:val="00735448"/>
    <w:rsid w:val="00751AE2"/>
    <w:rsid w:val="007549E2"/>
    <w:rsid w:val="00755AE5"/>
    <w:rsid w:val="0076040F"/>
    <w:rsid w:val="00763FA9"/>
    <w:rsid w:val="0076642A"/>
    <w:rsid w:val="0077554D"/>
    <w:rsid w:val="00775907"/>
    <w:rsid w:val="007873A1"/>
    <w:rsid w:val="00787444"/>
    <w:rsid w:val="0079261D"/>
    <w:rsid w:val="00795E26"/>
    <w:rsid w:val="007A24D0"/>
    <w:rsid w:val="007A3AEE"/>
    <w:rsid w:val="007A5F5A"/>
    <w:rsid w:val="007B1FFF"/>
    <w:rsid w:val="007B20DD"/>
    <w:rsid w:val="007B73E0"/>
    <w:rsid w:val="007C5D01"/>
    <w:rsid w:val="007C6199"/>
    <w:rsid w:val="007D2A74"/>
    <w:rsid w:val="007D669A"/>
    <w:rsid w:val="007D6C44"/>
    <w:rsid w:val="007E06A2"/>
    <w:rsid w:val="007F0573"/>
    <w:rsid w:val="007F06AA"/>
    <w:rsid w:val="007F39AC"/>
    <w:rsid w:val="007F45D0"/>
    <w:rsid w:val="00803B7A"/>
    <w:rsid w:val="00803BDF"/>
    <w:rsid w:val="008050C0"/>
    <w:rsid w:val="008075FC"/>
    <w:rsid w:val="00807997"/>
    <w:rsid w:val="00811BA3"/>
    <w:rsid w:val="00812C75"/>
    <w:rsid w:val="00813911"/>
    <w:rsid w:val="00813FB8"/>
    <w:rsid w:val="008155EC"/>
    <w:rsid w:val="00821DB1"/>
    <w:rsid w:val="008356DD"/>
    <w:rsid w:val="00840C3D"/>
    <w:rsid w:val="00844C00"/>
    <w:rsid w:val="00845BB9"/>
    <w:rsid w:val="0085225D"/>
    <w:rsid w:val="0085621E"/>
    <w:rsid w:val="00866218"/>
    <w:rsid w:val="008674D5"/>
    <w:rsid w:val="0086765D"/>
    <w:rsid w:val="00876EC0"/>
    <w:rsid w:val="008845FB"/>
    <w:rsid w:val="008A3271"/>
    <w:rsid w:val="008A7E8D"/>
    <w:rsid w:val="008C50B3"/>
    <w:rsid w:val="008C7114"/>
    <w:rsid w:val="008D0D62"/>
    <w:rsid w:val="008D10BE"/>
    <w:rsid w:val="008D56CE"/>
    <w:rsid w:val="008D5D00"/>
    <w:rsid w:val="008D608F"/>
    <w:rsid w:val="008D6800"/>
    <w:rsid w:val="008E00A0"/>
    <w:rsid w:val="008E06B7"/>
    <w:rsid w:val="008E1050"/>
    <w:rsid w:val="008F0891"/>
    <w:rsid w:val="008F60FD"/>
    <w:rsid w:val="00903C21"/>
    <w:rsid w:val="00911792"/>
    <w:rsid w:val="00912D48"/>
    <w:rsid w:val="00916BB5"/>
    <w:rsid w:val="009235E4"/>
    <w:rsid w:val="009258A1"/>
    <w:rsid w:val="00934F16"/>
    <w:rsid w:val="0094043C"/>
    <w:rsid w:val="00952F7A"/>
    <w:rsid w:val="009536BF"/>
    <w:rsid w:val="00953EAD"/>
    <w:rsid w:val="00955405"/>
    <w:rsid w:val="00963004"/>
    <w:rsid w:val="00967079"/>
    <w:rsid w:val="009724F0"/>
    <w:rsid w:val="009814BF"/>
    <w:rsid w:val="00993925"/>
    <w:rsid w:val="00996C81"/>
    <w:rsid w:val="0099791C"/>
    <w:rsid w:val="009A3924"/>
    <w:rsid w:val="009A54CD"/>
    <w:rsid w:val="009A5C91"/>
    <w:rsid w:val="009B21AC"/>
    <w:rsid w:val="009B35F6"/>
    <w:rsid w:val="009C011D"/>
    <w:rsid w:val="009C52BF"/>
    <w:rsid w:val="009C722D"/>
    <w:rsid w:val="009C77A4"/>
    <w:rsid w:val="009D3E97"/>
    <w:rsid w:val="009D421E"/>
    <w:rsid w:val="009D50D0"/>
    <w:rsid w:val="009D5946"/>
    <w:rsid w:val="009E4DA9"/>
    <w:rsid w:val="009E5F96"/>
    <w:rsid w:val="009F0AAB"/>
    <w:rsid w:val="009F57CE"/>
    <w:rsid w:val="00A04201"/>
    <w:rsid w:val="00A04750"/>
    <w:rsid w:val="00A051E8"/>
    <w:rsid w:val="00A07823"/>
    <w:rsid w:val="00A123CC"/>
    <w:rsid w:val="00A1503C"/>
    <w:rsid w:val="00A23F62"/>
    <w:rsid w:val="00A32254"/>
    <w:rsid w:val="00A33774"/>
    <w:rsid w:val="00A43A12"/>
    <w:rsid w:val="00A443EF"/>
    <w:rsid w:val="00A505B2"/>
    <w:rsid w:val="00A51B65"/>
    <w:rsid w:val="00A53CCE"/>
    <w:rsid w:val="00A60577"/>
    <w:rsid w:val="00A61F2F"/>
    <w:rsid w:val="00A65ACA"/>
    <w:rsid w:val="00A7132C"/>
    <w:rsid w:val="00A7169B"/>
    <w:rsid w:val="00A717F2"/>
    <w:rsid w:val="00A731BC"/>
    <w:rsid w:val="00A74746"/>
    <w:rsid w:val="00A761D0"/>
    <w:rsid w:val="00A8653A"/>
    <w:rsid w:val="00A87406"/>
    <w:rsid w:val="00A94711"/>
    <w:rsid w:val="00A967FB"/>
    <w:rsid w:val="00A96D44"/>
    <w:rsid w:val="00AA1143"/>
    <w:rsid w:val="00AA3F87"/>
    <w:rsid w:val="00AA6129"/>
    <w:rsid w:val="00AB68C1"/>
    <w:rsid w:val="00AC0A81"/>
    <w:rsid w:val="00AC0C9C"/>
    <w:rsid w:val="00AC52B9"/>
    <w:rsid w:val="00AC5E2D"/>
    <w:rsid w:val="00AC5EDA"/>
    <w:rsid w:val="00AD28F8"/>
    <w:rsid w:val="00AE0595"/>
    <w:rsid w:val="00AE3D6E"/>
    <w:rsid w:val="00AF0F59"/>
    <w:rsid w:val="00AF7961"/>
    <w:rsid w:val="00B05BDB"/>
    <w:rsid w:val="00B07A05"/>
    <w:rsid w:val="00B11FD8"/>
    <w:rsid w:val="00B1448F"/>
    <w:rsid w:val="00B175AB"/>
    <w:rsid w:val="00B2305A"/>
    <w:rsid w:val="00B25A22"/>
    <w:rsid w:val="00B26AC8"/>
    <w:rsid w:val="00B2722B"/>
    <w:rsid w:val="00B45281"/>
    <w:rsid w:val="00B47CB7"/>
    <w:rsid w:val="00B52090"/>
    <w:rsid w:val="00B57E22"/>
    <w:rsid w:val="00B604A3"/>
    <w:rsid w:val="00B72DEF"/>
    <w:rsid w:val="00B76099"/>
    <w:rsid w:val="00B84F69"/>
    <w:rsid w:val="00B9083E"/>
    <w:rsid w:val="00B94B70"/>
    <w:rsid w:val="00B96C4B"/>
    <w:rsid w:val="00BB2222"/>
    <w:rsid w:val="00BB550D"/>
    <w:rsid w:val="00BB7E79"/>
    <w:rsid w:val="00BC759D"/>
    <w:rsid w:val="00BD0549"/>
    <w:rsid w:val="00BD5728"/>
    <w:rsid w:val="00BD5E5B"/>
    <w:rsid w:val="00BE0DEE"/>
    <w:rsid w:val="00BF307A"/>
    <w:rsid w:val="00BF7511"/>
    <w:rsid w:val="00C01D86"/>
    <w:rsid w:val="00C061EE"/>
    <w:rsid w:val="00C141E3"/>
    <w:rsid w:val="00C17192"/>
    <w:rsid w:val="00C24845"/>
    <w:rsid w:val="00C279F5"/>
    <w:rsid w:val="00C34A5E"/>
    <w:rsid w:val="00C36298"/>
    <w:rsid w:val="00C37FD7"/>
    <w:rsid w:val="00C407D1"/>
    <w:rsid w:val="00C43600"/>
    <w:rsid w:val="00C448FE"/>
    <w:rsid w:val="00C46B39"/>
    <w:rsid w:val="00C4745C"/>
    <w:rsid w:val="00C50C0C"/>
    <w:rsid w:val="00C5553A"/>
    <w:rsid w:val="00C652BA"/>
    <w:rsid w:val="00C66CBE"/>
    <w:rsid w:val="00C7076C"/>
    <w:rsid w:val="00C710FC"/>
    <w:rsid w:val="00C71CA4"/>
    <w:rsid w:val="00C76680"/>
    <w:rsid w:val="00C81A96"/>
    <w:rsid w:val="00C94C63"/>
    <w:rsid w:val="00CA2B93"/>
    <w:rsid w:val="00CA2DD6"/>
    <w:rsid w:val="00CA493E"/>
    <w:rsid w:val="00CA4C2C"/>
    <w:rsid w:val="00CA4E4A"/>
    <w:rsid w:val="00CA7372"/>
    <w:rsid w:val="00CC0B1F"/>
    <w:rsid w:val="00CC24B8"/>
    <w:rsid w:val="00CC3B37"/>
    <w:rsid w:val="00CC6F7A"/>
    <w:rsid w:val="00CD0982"/>
    <w:rsid w:val="00CD1B4D"/>
    <w:rsid w:val="00CD7BE5"/>
    <w:rsid w:val="00CE1540"/>
    <w:rsid w:val="00CE7865"/>
    <w:rsid w:val="00CE79FB"/>
    <w:rsid w:val="00CF3D1B"/>
    <w:rsid w:val="00CF4FFE"/>
    <w:rsid w:val="00D127D6"/>
    <w:rsid w:val="00D13000"/>
    <w:rsid w:val="00D14BEA"/>
    <w:rsid w:val="00D159CA"/>
    <w:rsid w:val="00D16DE7"/>
    <w:rsid w:val="00D30F71"/>
    <w:rsid w:val="00D31F65"/>
    <w:rsid w:val="00D33234"/>
    <w:rsid w:val="00D3652C"/>
    <w:rsid w:val="00D46FBD"/>
    <w:rsid w:val="00D538F7"/>
    <w:rsid w:val="00D60951"/>
    <w:rsid w:val="00D618C5"/>
    <w:rsid w:val="00D6199E"/>
    <w:rsid w:val="00D61B68"/>
    <w:rsid w:val="00D659EF"/>
    <w:rsid w:val="00D704BB"/>
    <w:rsid w:val="00D72F54"/>
    <w:rsid w:val="00D74448"/>
    <w:rsid w:val="00D861D7"/>
    <w:rsid w:val="00D8639F"/>
    <w:rsid w:val="00D91A9C"/>
    <w:rsid w:val="00D938CD"/>
    <w:rsid w:val="00D96B9E"/>
    <w:rsid w:val="00D97487"/>
    <w:rsid w:val="00DA12E6"/>
    <w:rsid w:val="00DA1A27"/>
    <w:rsid w:val="00DA23A1"/>
    <w:rsid w:val="00DA4022"/>
    <w:rsid w:val="00DB04C0"/>
    <w:rsid w:val="00DB715A"/>
    <w:rsid w:val="00DC3329"/>
    <w:rsid w:val="00DC3C2E"/>
    <w:rsid w:val="00DC4049"/>
    <w:rsid w:val="00DC42D3"/>
    <w:rsid w:val="00DC5042"/>
    <w:rsid w:val="00DC5F98"/>
    <w:rsid w:val="00DD0F96"/>
    <w:rsid w:val="00DD530E"/>
    <w:rsid w:val="00DE702A"/>
    <w:rsid w:val="00DF0922"/>
    <w:rsid w:val="00DF33A6"/>
    <w:rsid w:val="00E01E9C"/>
    <w:rsid w:val="00E039A2"/>
    <w:rsid w:val="00E04425"/>
    <w:rsid w:val="00E06735"/>
    <w:rsid w:val="00E06EE5"/>
    <w:rsid w:val="00E14B31"/>
    <w:rsid w:val="00E155C3"/>
    <w:rsid w:val="00E15AFD"/>
    <w:rsid w:val="00E22D56"/>
    <w:rsid w:val="00E26549"/>
    <w:rsid w:val="00E345D3"/>
    <w:rsid w:val="00E4319A"/>
    <w:rsid w:val="00E43C19"/>
    <w:rsid w:val="00E51407"/>
    <w:rsid w:val="00E525D0"/>
    <w:rsid w:val="00E53ECC"/>
    <w:rsid w:val="00E5488F"/>
    <w:rsid w:val="00E556D6"/>
    <w:rsid w:val="00E604A6"/>
    <w:rsid w:val="00E6074C"/>
    <w:rsid w:val="00E6257B"/>
    <w:rsid w:val="00E63ADB"/>
    <w:rsid w:val="00E6571B"/>
    <w:rsid w:val="00E72111"/>
    <w:rsid w:val="00E72135"/>
    <w:rsid w:val="00E74B9E"/>
    <w:rsid w:val="00E80C72"/>
    <w:rsid w:val="00E93243"/>
    <w:rsid w:val="00EA63AE"/>
    <w:rsid w:val="00EB0E1A"/>
    <w:rsid w:val="00EC2386"/>
    <w:rsid w:val="00ED7F95"/>
    <w:rsid w:val="00EE2ADB"/>
    <w:rsid w:val="00EE354C"/>
    <w:rsid w:val="00EE54AE"/>
    <w:rsid w:val="00EF32B8"/>
    <w:rsid w:val="00F00A76"/>
    <w:rsid w:val="00F010F8"/>
    <w:rsid w:val="00F02756"/>
    <w:rsid w:val="00F07341"/>
    <w:rsid w:val="00F076BB"/>
    <w:rsid w:val="00F1017C"/>
    <w:rsid w:val="00F11E6D"/>
    <w:rsid w:val="00F20855"/>
    <w:rsid w:val="00F20F95"/>
    <w:rsid w:val="00F267AC"/>
    <w:rsid w:val="00F30F83"/>
    <w:rsid w:val="00F314AC"/>
    <w:rsid w:val="00F31DBA"/>
    <w:rsid w:val="00F42C66"/>
    <w:rsid w:val="00F432C3"/>
    <w:rsid w:val="00F44865"/>
    <w:rsid w:val="00F47907"/>
    <w:rsid w:val="00F47CE8"/>
    <w:rsid w:val="00F51A19"/>
    <w:rsid w:val="00F57EFB"/>
    <w:rsid w:val="00F66CA2"/>
    <w:rsid w:val="00F66F37"/>
    <w:rsid w:val="00F73182"/>
    <w:rsid w:val="00F741CE"/>
    <w:rsid w:val="00F75632"/>
    <w:rsid w:val="00F76DCC"/>
    <w:rsid w:val="00F8130C"/>
    <w:rsid w:val="00F81D8E"/>
    <w:rsid w:val="00F90073"/>
    <w:rsid w:val="00F91E86"/>
    <w:rsid w:val="00F96BEE"/>
    <w:rsid w:val="00F973A9"/>
    <w:rsid w:val="00FB5670"/>
    <w:rsid w:val="00FB7553"/>
    <w:rsid w:val="00FC7645"/>
    <w:rsid w:val="00FD19ED"/>
    <w:rsid w:val="00FD41B0"/>
    <w:rsid w:val="00FD6BF5"/>
    <w:rsid w:val="00FE4269"/>
    <w:rsid w:val="00FE4C88"/>
    <w:rsid w:val="00FF31B5"/>
    <w:rsid w:val="00FF51DA"/>
    <w:rsid w:val="03124A6A"/>
    <w:rsid w:val="031F02C7"/>
    <w:rsid w:val="1C33608A"/>
    <w:rsid w:val="2EA05406"/>
    <w:rsid w:val="31914B97"/>
    <w:rsid w:val="3E3F5D87"/>
    <w:rsid w:val="3E6F3F4B"/>
    <w:rsid w:val="3FB51462"/>
    <w:rsid w:val="41D73C55"/>
    <w:rsid w:val="45D2711F"/>
    <w:rsid w:val="460337DA"/>
    <w:rsid w:val="47E84465"/>
    <w:rsid w:val="4EAD52ED"/>
    <w:rsid w:val="541D0E63"/>
    <w:rsid w:val="5ADD431C"/>
    <w:rsid w:val="5E2B7735"/>
    <w:rsid w:val="632F69D1"/>
    <w:rsid w:val="68113148"/>
    <w:rsid w:val="6B3D7440"/>
    <w:rsid w:val="6D4E4842"/>
    <w:rsid w:val="71054C97"/>
    <w:rsid w:val="78923E2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iPriority="0" w:semiHidden="0" w:name="toc 5"/>
    <w:lsdException w:qFormat="1" w:uiPriority="0" w:semiHidden="0" w:name="toc 6"/>
    <w:lsdException w:qFormat="1" w:uiPriority="0" w:semiHidden="0" w:name="toc 7"/>
    <w:lsdException w:qFormat="1" w:uiPriority="0" w:semiHidden="0" w:name="toc 8"/>
    <w:lsdException w:qFormat="1" w:uiPriority="0" w:semiHidden="0" w:name="toc 9"/>
    <w:lsdException w:qFormat="1" w:unhideWhenUsed="0" w:uiPriority="0" w:semiHidden="0" w:name="Normal Indent"/>
    <w:lsdException w:uiPriority="99" w:name="footnote text"/>
    <w:lsdException w:qFormat="1" w:unhideWhenUsed="0" w:uiPriority="99"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qFormat="1" w:unhideWhenUsed="0" w:uiPriority="0" w:semiHidden="0" w:name="List Bullet"/>
    <w:lsdException w:uiPriority="99" w:name="List Number"/>
    <w:lsdException w:qFormat="1" w:unhideWhenUsed="0" w:uiPriority="0" w:semiHidden="0"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0" w:semiHidden="0" w:name="Date"/>
    <w:lsdException w:uiPriority="99"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qFormat="1" w:unhideWhenUsed="0" w:uiPriority="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qFormat="1" w:unhideWhenUsed="0" w:uiPriority="0" w:semiHidden="0"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0"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pPr>
    <w:rPr>
      <w:rFonts w:ascii="Microsoft JhengHei Light" w:hAnsi="Microsoft JhengHei Light" w:eastAsia="Microsoft JhengHei Light" w:cs="Microsoft JhengHei Light"/>
      <w:color w:val="000000"/>
      <w:sz w:val="24"/>
      <w:szCs w:val="24"/>
      <w:lang w:val="zh-TW" w:eastAsia="zh-TW" w:bidi="zh-TW"/>
    </w:rPr>
  </w:style>
  <w:style w:type="paragraph" w:styleId="3">
    <w:name w:val="heading 1"/>
    <w:basedOn w:val="1"/>
    <w:next w:val="1"/>
    <w:link w:val="54"/>
    <w:qFormat/>
    <w:uiPriority w:val="0"/>
    <w:pPr>
      <w:keepNext/>
      <w:keepLines/>
      <w:adjustRightInd w:val="0"/>
      <w:spacing w:afterLines="50" w:line="560" w:lineRule="exact"/>
      <w:jc w:val="center"/>
      <w:outlineLvl w:val="0"/>
    </w:pPr>
    <w:rPr>
      <w:rFonts w:ascii="黑体" w:hAnsi="Times New Roman" w:eastAsia="黑体" w:cs="Times New Roman"/>
      <w:snapToGrid w:val="0"/>
      <w:color w:val="auto"/>
      <w:sz w:val="32"/>
      <w:szCs w:val="32"/>
      <w:lang w:val="en-US" w:eastAsia="zh-CN" w:bidi="ar-SA"/>
    </w:rPr>
  </w:style>
  <w:style w:type="paragraph" w:styleId="4">
    <w:name w:val="heading 2"/>
    <w:basedOn w:val="1"/>
    <w:next w:val="1"/>
    <w:link w:val="55"/>
    <w:qFormat/>
    <w:uiPriority w:val="0"/>
    <w:pPr>
      <w:keepNext/>
      <w:keepLines/>
      <w:spacing w:before="260" w:after="260" w:line="415" w:lineRule="auto"/>
      <w:jc w:val="both"/>
      <w:outlineLvl w:val="1"/>
    </w:pPr>
    <w:rPr>
      <w:rFonts w:ascii="Arial" w:hAnsi="Arial" w:eastAsia="黑体" w:cs="Times New Roman"/>
      <w:b/>
      <w:bCs/>
      <w:color w:val="auto"/>
      <w:kern w:val="2"/>
      <w:sz w:val="32"/>
      <w:szCs w:val="32"/>
      <w:lang w:bidi="ar-SA"/>
    </w:rPr>
  </w:style>
  <w:style w:type="paragraph" w:styleId="5">
    <w:name w:val="heading 3"/>
    <w:basedOn w:val="1"/>
    <w:next w:val="1"/>
    <w:link w:val="56"/>
    <w:qFormat/>
    <w:uiPriority w:val="0"/>
    <w:pPr>
      <w:keepNext/>
      <w:keepLines/>
      <w:spacing w:before="260" w:after="260" w:line="416" w:lineRule="auto"/>
      <w:jc w:val="both"/>
      <w:outlineLvl w:val="2"/>
    </w:pPr>
    <w:rPr>
      <w:rFonts w:ascii="Times New Roman" w:hAnsi="Times New Roman" w:eastAsia="宋体" w:cs="Times New Roman"/>
      <w:b/>
      <w:bCs/>
      <w:color w:val="auto"/>
      <w:kern w:val="2"/>
      <w:sz w:val="32"/>
      <w:szCs w:val="32"/>
      <w:lang w:val="en-US" w:eastAsia="zh-CN" w:bidi="ar-SA"/>
    </w:rPr>
  </w:style>
  <w:style w:type="paragraph" w:styleId="6">
    <w:name w:val="heading 4"/>
    <w:basedOn w:val="1"/>
    <w:next w:val="1"/>
    <w:link w:val="57"/>
    <w:qFormat/>
    <w:uiPriority w:val="0"/>
    <w:pPr>
      <w:keepNext/>
      <w:keepLines/>
      <w:numPr>
        <w:ilvl w:val="3"/>
        <w:numId w:val="1"/>
      </w:numPr>
      <w:spacing w:before="120" w:after="120" w:line="720" w:lineRule="exact"/>
      <w:jc w:val="both"/>
      <w:outlineLvl w:val="3"/>
    </w:pPr>
    <w:rPr>
      <w:rFonts w:ascii="Arial" w:hAnsi="Arial" w:eastAsia="黑体" w:cs="Times New Roman"/>
      <w:color w:val="auto"/>
      <w:kern w:val="2"/>
      <w:sz w:val="28"/>
      <w:szCs w:val="20"/>
      <w:lang w:val="en-US" w:eastAsia="zh-CN" w:bidi="ar-SA"/>
    </w:rPr>
  </w:style>
  <w:style w:type="paragraph" w:styleId="7">
    <w:name w:val="heading 5"/>
    <w:basedOn w:val="1"/>
    <w:next w:val="1"/>
    <w:link w:val="58"/>
    <w:qFormat/>
    <w:uiPriority w:val="0"/>
    <w:pPr>
      <w:keepNext/>
      <w:keepLines/>
      <w:numPr>
        <w:ilvl w:val="4"/>
        <w:numId w:val="1"/>
      </w:numPr>
      <w:spacing w:before="280" w:after="290" w:line="374" w:lineRule="auto"/>
      <w:jc w:val="both"/>
      <w:outlineLvl w:val="4"/>
    </w:pPr>
    <w:rPr>
      <w:rFonts w:ascii="Times New Roman" w:hAnsi="Times New Roman" w:cs="Times New Roman" w:eastAsiaTheme="minorEastAsia"/>
      <w:b/>
      <w:color w:val="auto"/>
      <w:kern w:val="2"/>
      <w:sz w:val="28"/>
      <w:szCs w:val="20"/>
      <w:lang w:val="en-US" w:eastAsia="zh-CN" w:bidi="ar-SA"/>
    </w:rPr>
  </w:style>
  <w:style w:type="paragraph" w:styleId="8">
    <w:name w:val="heading 6"/>
    <w:basedOn w:val="1"/>
    <w:next w:val="1"/>
    <w:link w:val="59"/>
    <w:qFormat/>
    <w:uiPriority w:val="0"/>
    <w:pPr>
      <w:keepNext/>
      <w:keepLines/>
      <w:numPr>
        <w:ilvl w:val="5"/>
        <w:numId w:val="2"/>
      </w:numPr>
      <w:adjustRightInd w:val="0"/>
      <w:spacing w:before="240" w:after="64" w:line="320" w:lineRule="atLeast"/>
      <w:jc w:val="both"/>
      <w:outlineLvl w:val="5"/>
    </w:pPr>
    <w:rPr>
      <w:rFonts w:ascii="Arial" w:hAnsi="Arial" w:eastAsia="黑体" w:cs="Times New Roman"/>
      <w:b/>
      <w:color w:val="auto"/>
      <w:szCs w:val="20"/>
      <w:lang w:val="en-US" w:eastAsia="zh-CN" w:bidi="ar-SA"/>
    </w:rPr>
  </w:style>
  <w:style w:type="paragraph" w:styleId="9">
    <w:name w:val="heading 7"/>
    <w:basedOn w:val="1"/>
    <w:next w:val="1"/>
    <w:link w:val="60"/>
    <w:qFormat/>
    <w:uiPriority w:val="0"/>
    <w:pPr>
      <w:keepNext/>
      <w:keepLines/>
      <w:numPr>
        <w:ilvl w:val="6"/>
        <w:numId w:val="1"/>
      </w:numPr>
      <w:spacing w:before="240" w:after="64" w:line="319" w:lineRule="auto"/>
      <w:jc w:val="both"/>
      <w:outlineLvl w:val="6"/>
    </w:pPr>
    <w:rPr>
      <w:rFonts w:ascii="Times New Roman" w:hAnsi="Times New Roman" w:eastAsia="宋体" w:cs="Times New Roman"/>
      <w:b/>
      <w:color w:val="auto"/>
      <w:kern w:val="2"/>
      <w:szCs w:val="20"/>
      <w:lang w:val="en-US" w:eastAsia="zh-CN" w:bidi="ar-SA"/>
    </w:rPr>
  </w:style>
  <w:style w:type="paragraph" w:styleId="10">
    <w:name w:val="heading 8"/>
    <w:basedOn w:val="1"/>
    <w:next w:val="1"/>
    <w:link w:val="61"/>
    <w:qFormat/>
    <w:uiPriority w:val="0"/>
    <w:pPr>
      <w:keepNext/>
      <w:keepLines/>
      <w:numPr>
        <w:ilvl w:val="7"/>
        <w:numId w:val="2"/>
      </w:numPr>
      <w:adjustRightInd w:val="0"/>
      <w:spacing w:before="240" w:after="64" w:line="320" w:lineRule="atLeast"/>
      <w:jc w:val="both"/>
      <w:outlineLvl w:val="7"/>
    </w:pPr>
    <w:rPr>
      <w:rFonts w:ascii="Arial" w:hAnsi="Arial" w:eastAsia="黑体" w:cs="Times New Roman"/>
      <w:color w:val="auto"/>
      <w:szCs w:val="20"/>
      <w:lang w:val="en-US" w:eastAsia="zh-CN" w:bidi="ar-SA"/>
    </w:rPr>
  </w:style>
  <w:style w:type="paragraph" w:styleId="11">
    <w:name w:val="heading 9"/>
    <w:basedOn w:val="1"/>
    <w:next w:val="1"/>
    <w:link w:val="62"/>
    <w:qFormat/>
    <w:uiPriority w:val="0"/>
    <w:pPr>
      <w:keepNext/>
      <w:keepLines/>
      <w:numPr>
        <w:ilvl w:val="8"/>
        <w:numId w:val="2"/>
      </w:numPr>
      <w:adjustRightInd w:val="0"/>
      <w:spacing w:before="240" w:after="64" w:line="320" w:lineRule="atLeast"/>
      <w:jc w:val="both"/>
      <w:outlineLvl w:val="8"/>
    </w:pPr>
    <w:rPr>
      <w:rFonts w:ascii="Arial" w:hAnsi="Arial" w:eastAsia="黑体" w:cs="Times New Roman"/>
      <w:color w:val="auto"/>
      <w:sz w:val="21"/>
      <w:szCs w:val="20"/>
      <w:lang w:val="en-US" w:eastAsia="zh-CN" w:bidi="ar-SA"/>
    </w:rPr>
  </w:style>
  <w:style w:type="character" w:default="1" w:styleId="47">
    <w:name w:val="Default Paragraph Font"/>
    <w:semiHidden/>
    <w:unhideWhenUsed/>
    <w:qFormat/>
    <w:uiPriority w:val="1"/>
  </w:style>
  <w:style w:type="table" w:default="1" w:styleId="45">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link w:val="264"/>
    <w:qFormat/>
    <w:uiPriority w:val="0"/>
    <w:pPr>
      <w:jc w:val="both"/>
    </w:pPr>
    <w:rPr>
      <w:rFonts w:ascii="Times New Roman" w:hAnsi="Times New Roman" w:eastAsia="宋体" w:cs="Times New Roman"/>
      <w:color w:val="auto"/>
      <w:kern w:val="2"/>
      <w:sz w:val="18"/>
      <w:lang w:val="en-US" w:eastAsia="zh-CN" w:bidi="ar-SA"/>
    </w:rPr>
  </w:style>
  <w:style w:type="paragraph" w:styleId="12">
    <w:name w:val="toc 7"/>
    <w:basedOn w:val="1"/>
    <w:next w:val="1"/>
    <w:unhideWhenUsed/>
    <w:qFormat/>
    <w:uiPriority w:val="0"/>
    <w:pPr>
      <w:ind w:left="1440"/>
    </w:pPr>
    <w:rPr>
      <w:rFonts w:asciiTheme="minorHAnsi" w:eastAsiaTheme="minorHAnsi"/>
      <w:sz w:val="18"/>
      <w:szCs w:val="18"/>
    </w:rPr>
  </w:style>
  <w:style w:type="paragraph" w:styleId="13">
    <w:name w:val="Note Heading"/>
    <w:basedOn w:val="1"/>
    <w:next w:val="1"/>
    <w:link w:val="269"/>
    <w:qFormat/>
    <w:uiPriority w:val="0"/>
    <w:pPr>
      <w:jc w:val="center"/>
    </w:pPr>
    <w:rPr>
      <w:rFonts w:ascii="宋体" w:hAnsi="Times New Roman" w:eastAsia="宋体" w:cs="Times New Roman"/>
      <w:color w:val="auto"/>
      <w:kern w:val="2"/>
      <w:sz w:val="21"/>
      <w:szCs w:val="20"/>
      <w:lang w:val="en-US" w:eastAsia="zh-CN" w:bidi="ar-SA"/>
    </w:rPr>
  </w:style>
  <w:style w:type="paragraph" w:styleId="14">
    <w:name w:val="Normal Indent"/>
    <w:basedOn w:val="1"/>
    <w:link w:val="247"/>
    <w:qFormat/>
    <w:uiPriority w:val="0"/>
    <w:pPr>
      <w:ind w:firstLine="420" w:firstLineChars="200"/>
      <w:jc w:val="both"/>
    </w:pPr>
    <w:rPr>
      <w:rFonts w:hint="eastAsia" w:ascii="宋体" w:hAnsi="宋体" w:eastAsia="宋体"/>
      <w:color w:val="auto"/>
      <w:kern w:val="2"/>
      <w:sz w:val="21"/>
      <w:lang w:val="en-US" w:eastAsia="zh-CN" w:bidi="ar-SA"/>
    </w:rPr>
  </w:style>
  <w:style w:type="paragraph" w:styleId="15">
    <w:name w:val="List Bullet"/>
    <w:basedOn w:val="1"/>
    <w:qFormat/>
    <w:uiPriority w:val="0"/>
    <w:pPr>
      <w:jc w:val="center"/>
    </w:pPr>
    <w:rPr>
      <w:rFonts w:ascii="Times New Roman" w:hAnsi="Times New Roman" w:eastAsia="宋体" w:cs="Times New Roman"/>
      <w:color w:val="auto"/>
      <w:sz w:val="21"/>
      <w:lang w:val="en-US" w:eastAsia="zh-CN" w:bidi="ar-SA"/>
    </w:rPr>
  </w:style>
  <w:style w:type="paragraph" w:styleId="16">
    <w:name w:val="Document Map"/>
    <w:basedOn w:val="1"/>
    <w:link w:val="274"/>
    <w:semiHidden/>
    <w:qFormat/>
    <w:uiPriority w:val="0"/>
    <w:pPr>
      <w:shd w:val="clear" w:color="auto" w:fill="000080"/>
      <w:jc w:val="both"/>
    </w:pPr>
    <w:rPr>
      <w:rFonts w:ascii="Times New Roman" w:hAnsi="Times New Roman" w:eastAsia="宋体" w:cs="Times New Roman"/>
      <w:color w:val="auto"/>
      <w:kern w:val="2"/>
      <w:sz w:val="21"/>
      <w:lang w:val="en-US" w:eastAsia="zh-CN" w:bidi="ar-SA"/>
    </w:rPr>
  </w:style>
  <w:style w:type="paragraph" w:styleId="17">
    <w:name w:val="annotation text"/>
    <w:basedOn w:val="1"/>
    <w:link w:val="259"/>
    <w:qFormat/>
    <w:uiPriority w:val="99"/>
    <w:rPr>
      <w:rFonts w:ascii="Times New Roman" w:hAnsi="Times New Roman" w:eastAsia="宋体" w:cs="Times New Roman"/>
      <w:color w:val="auto"/>
      <w:kern w:val="2"/>
      <w:sz w:val="21"/>
      <w:lang w:bidi="ar-SA"/>
    </w:rPr>
  </w:style>
  <w:style w:type="paragraph" w:styleId="18">
    <w:name w:val="Body Text 3"/>
    <w:basedOn w:val="1"/>
    <w:link w:val="271"/>
    <w:qFormat/>
    <w:uiPriority w:val="0"/>
    <w:pPr>
      <w:jc w:val="both"/>
    </w:pPr>
    <w:rPr>
      <w:rFonts w:ascii="宋体" w:hAnsi="宋体" w:eastAsia="宋体" w:cs="Times New Roman"/>
      <w:kern w:val="2"/>
      <w:sz w:val="21"/>
      <w:lang w:val="en-US" w:eastAsia="zh-CN" w:bidi="ar-SA"/>
    </w:rPr>
  </w:style>
  <w:style w:type="paragraph" w:styleId="19">
    <w:name w:val="Body Text Indent"/>
    <w:basedOn w:val="1"/>
    <w:link w:val="265"/>
    <w:qFormat/>
    <w:uiPriority w:val="0"/>
    <w:pPr>
      <w:ind w:firstLine="538" w:firstLineChars="192"/>
      <w:jc w:val="both"/>
    </w:pPr>
    <w:rPr>
      <w:rFonts w:ascii="宋体" w:hAnsi="宋体" w:eastAsia="宋体" w:cs="Times New Roman"/>
      <w:kern w:val="20"/>
      <w:sz w:val="28"/>
      <w:lang w:bidi="ar-SA"/>
    </w:rPr>
  </w:style>
  <w:style w:type="paragraph" w:styleId="20">
    <w:name w:val="List 2"/>
    <w:basedOn w:val="1"/>
    <w:qFormat/>
    <w:uiPriority w:val="0"/>
    <w:pPr>
      <w:ind w:left="100" w:leftChars="200" w:hanging="200" w:hangingChars="200"/>
      <w:jc w:val="both"/>
    </w:pPr>
    <w:rPr>
      <w:rFonts w:ascii="Times New Roman" w:hAnsi="Times New Roman" w:eastAsia="宋体" w:cs="Times New Roman"/>
      <w:color w:val="auto"/>
      <w:kern w:val="2"/>
      <w:sz w:val="21"/>
      <w:lang w:val="en-US" w:eastAsia="zh-CN" w:bidi="ar-SA"/>
    </w:rPr>
  </w:style>
  <w:style w:type="paragraph" w:styleId="21">
    <w:name w:val="Block Text"/>
    <w:basedOn w:val="1"/>
    <w:qFormat/>
    <w:uiPriority w:val="0"/>
    <w:pPr>
      <w:spacing w:line="360" w:lineRule="exact"/>
      <w:ind w:left="113" w:right="113"/>
      <w:jc w:val="center"/>
    </w:pPr>
    <w:rPr>
      <w:rFonts w:ascii="宋体" w:hAnsi="宋体" w:eastAsia="宋体" w:cs="Times New Roman"/>
      <w:kern w:val="2"/>
      <w:sz w:val="21"/>
      <w:lang w:val="en-US" w:eastAsia="zh-CN" w:bidi="ar-SA"/>
    </w:rPr>
  </w:style>
  <w:style w:type="paragraph" w:styleId="22">
    <w:name w:val="toc 5"/>
    <w:basedOn w:val="1"/>
    <w:next w:val="1"/>
    <w:unhideWhenUsed/>
    <w:qFormat/>
    <w:uiPriority w:val="0"/>
    <w:pPr>
      <w:ind w:left="960"/>
    </w:pPr>
    <w:rPr>
      <w:rFonts w:asciiTheme="minorHAnsi" w:eastAsiaTheme="minorHAnsi"/>
      <w:sz w:val="18"/>
      <w:szCs w:val="18"/>
    </w:rPr>
  </w:style>
  <w:style w:type="paragraph" w:styleId="23">
    <w:name w:val="toc 3"/>
    <w:basedOn w:val="1"/>
    <w:next w:val="1"/>
    <w:link w:val="81"/>
    <w:qFormat/>
    <w:uiPriority w:val="39"/>
    <w:pPr>
      <w:ind w:left="480"/>
    </w:pPr>
    <w:rPr>
      <w:rFonts w:asciiTheme="minorHAnsi" w:eastAsiaTheme="minorHAnsi"/>
      <w:i/>
      <w:iCs/>
      <w:sz w:val="20"/>
      <w:szCs w:val="20"/>
    </w:rPr>
  </w:style>
  <w:style w:type="paragraph" w:styleId="24">
    <w:name w:val="Plain Text"/>
    <w:basedOn w:val="1"/>
    <w:link w:val="275"/>
    <w:qFormat/>
    <w:uiPriority w:val="0"/>
    <w:pPr>
      <w:jc w:val="both"/>
    </w:pPr>
    <w:rPr>
      <w:rFonts w:hint="eastAsia" w:ascii="宋体" w:hAnsi="Courier New" w:eastAsia="宋体" w:cs="Courier New"/>
      <w:color w:val="auto"/>
      <w:kern w:val="2"/>
      <w:sz w:val="21"/>
      <w:szCs w:val="21"/>
    </w:rPr>
  </w:style>
  <w:style w:type="paragraph" w:styleId="25">
    <w:name w:val="toc 8"/>
    <w:basedOn w:val="1"/>
    <w:next w:val="1"/>
    <w:unhideWhenUsed/>
    <w:qFormat/>
    <w:uiPriority w:val="0"/>
    <w:pPr>
      <w:ind w:left="1680"/>
    </w:pPr>
    <w:rPr>
      <w:rFonts w:asciiTheme="minorHAnsi" w:eastAsiaTheme="minorHAnsi"/>
      <w:sz w:val="18"/>
      <w:szCs w:val="18"/>
    </w:rPr>
  </w:style>
  <w:style w:type="paragraph" w:styleId="26">
    <w:name w:val="Date"/>
    <w:basedOn w:val="1"/>
    <w:next w:val="1"/>
    <w:link w:val="240"/>
    <w:unhideWhenUsed/>
    <w:qFormat/>
    <w:uiPriority w:val="0"/>
    <w:pPr>
      <w:ind w:left="100" w:leftChars="2500"/>
    </w:pPr>
  </w:style>
  <w:style w:type="paragraph" w:styleId="27">
    <w:name w:val="Body Text Indent 2"/>
    <w:basedOn w:val="1"/>
    <w:link w:val="272"/>
    <w:qFormat/>
    <w:uiPriority w:val="0"/>
    <w:pPr>
      <w:spacing w:after="120" w:line="480" w:lineRule="auto"/>
      <w:ind w:left="420" w:leftChars="200"/>
      <w:jc w:val="both"/>
    </w:pPr>
    <w:rPr>
      <w:rFonts w:ascii="Times New Roman" w:hAnsi="Times New Roman" w:eastAsia="宋体" w:cs="Times New Roman"/>
      <w:color w:val="auto"/>
      <w:kern w:val="2"/>
      <w:sz w:val="21"/>
      <w:lang w:val="en-US" w:eastAsia="zh-CN" w:bidi="ar-SA"/>
    </w:rPr>
  </w:style>
  <w:style w:type="paragraph" w:styleId="28">
    <w:name w:val="Balloon Text"/>
    <w:basedOn w:val="1"/>
    <w:link w:val="243"/>
    <w:semiHidden/>
    <w:unhideWhenUsed/>
    <w:qFormat/>
    <w:uiPriority w:val="0"/>
    <w:rPr>
      <w:sz w:val="18"/>
      <w:szCs w:val="18"/>
    </w:rPr>
  </w:style>
  <w:style w:type="paragraph" w:styleId="29">
    <w:name w:val="footer"/>
    <w:basedOn w:val="1"/>
    <w:link w:val="242"/>
    <w:unhideWhenUsed/>
    <w:qFormat/>
    <w:uiPriority w:val="99"/>
    <w:pPr>
      <w:tabs>
        <w:tab w:val="center" w:pos="4153"/>
        <w:tab w:val="right" w:pos="8306"/>
      </w:tabs>
      <w:snapToGrid w:val="0"/>
    </w:pPr>
    <w:rPr>
      <w:sz w:val="18"/>
      <w:szCs w:val="18"/>
    </w:rPr>
  </w:style>
  <w:style w:type="paragraph" w:styleId="30">
    <w:name w:val="header"/>
    <w:basedOn w:val="1"/>
    <w:link w:val="241"/>
    <w:unhideWhenUsed/>
    <w:qFormat/>
    <w:uiPriority w:val="99"/>
    <w:pPr>
      <w:pBdr>
        <w:bottom w:val="single" w:color="auto" w:sz="6" w:space="1"/>
      </w:pBdr>
      <w:tabs>
        <w:tab w:val="center" w:pos="4153"/>
        <w:tab w:val="right" w:pos="8306"/>
      </w:tabs>
      <w:snapToGrid w:val="0"/>
      <w:jc w:val="center"/>
    </w:pPr>
    <w:rPr>
      <w:sz w:val="18"/>
      <w:szCs w:val="18"/>
    </w:rPr>
  </w:style>
  <w:style w:type="paragraph" w:styleId="31">
    <w:name w:val="toc 1"/>
    <w:basedOn w:val="1"/>
    <w:next w:val="1"/>
    <w:qFormat/>
    <w:uiPriority w:val="39"/>
    <w:pPr>
      <w:spacing w:before="120" w:after="120"/>
    </w:pPr>
    <w:rPr>
      <w:rFonts w:asciiTheme="minorHAnsi" w:eastAsiaTheme="minorHAnsi"/>
      <w:b/>
      <w:bCs/>
      <w:caps/>
      <w:sz w:val="20"/>
      <w:szCs w:val="20"/>
    </w:rPr>
  </w:style>
  <w:style w:type="paragraph" w:styleId="32">
    <w:name w:val="toc 4"/>
    <w:basedOn w:val="1"/>
    <w:next w:val="1"/>
    <w:link w:val="82"/>
    <w:qFormat/>
    <w:uiPriority w:val="0"/>
    <w:pPr>
      <w:ind w:left="720"/>
    </w:pPr>
    <w:rPr>
      <w:rFonts w:asciiTheme="minorHAnsi" w:eastAsiaTheme="minorHAnsi"/>
      <w:sz w:val="18"/>
      <w:szCs w:val="18"/>
    </w:rPr>
  </w:style>
  <w:style w:type="paragraph" w:styleId="33">
    <w:name w:val="List"/>
    <w:basedOn w:val="1"/>
    <w:next w:val="1"/>
    <w:qFormat/>
    <w:uiPriority w:val="0"/>
    <w:pPr>
      <w:keepNext/>
      <w:adjustRightInd w:val="0"/>
      <w:snapToGrid w:val="0"/>
      <w:spacing w:before="40" w:after="40" w:line="400" w:lineRule="exact"/>
      <w:jc w:val="center"/>
    </w:pPr>
    <w:rPr>
      <w:rFonts w:ascii="黑体" w:hAnsi="Arial" w:eastAsia="黑体" w:cs="Times New Roman"/>
      <w:color w:val="auto"/>
      <w:spacing w:val="8"/>
      <w:kern w:val="24"/>
      <w:sz w:val="21"/>
      <w:szCs w:val="20"/>
      <w:lang w:val="en-US" w:eastAsia="zh-CN" w:bidi="ar-SA"/>
    </w:rPr>
  </w:style>
  <w:style w:type="paragraph" w:styleId="34">
    <w:name w:val="toc 6"/>
    <w:basedOn w:val="1"/>
    <w:next w:val="1"/>
    <w:unhideWhenUsed/>
    <w:qFormat/>
    <w:uiPriority w:val="0"/>
    <w:pPr>
      <w:ind w:left="1200"/>
    </w:pPr>
    <w:rPr>
      <w:rFonts w:asciiTheme="minorHAnsi" w:eastAsiaTheme="minorHAnsi"/>
      <w:sz w:val="18"/>
      <w:szCs w:val="18"/>
    </w:rPr>
  </w:style>
  <w:style w:type="paragraph" w:styleId="35">
    <w:name w:val="Body Text Indent 3"/>
    <w:basedOn w:val="1"/>
    <w:link w:val="273"/>
    <w:qFormat/>
    <w:uiPriority w:val="0"/>
    <w:pPr>
      <w:spacing w:after="120"/>
      <w:ind w:left="420" w:leftChars="200"/>
      <w:jc w:val="both"/>
    </w:pPr>
    <w:rPr>
      <w:rFonts w:ascii="Times New Roman" w:hAnsi="Times New Roman" w:eastAsia="宋体" w:cs="Times New Roman"/>
      <w:color w:val="auto"/>
      <w:kern w:val="2"/>
      <w:sz w:val="16"/>
      <w:szCs w:val="16"/>
      <w:lang w:val="en-US" w:eastAsia="zh-CN" w:bidi="ar-SA"/>
    </w:rPr>
  </w:style>
  <w:style w:type="paragraph" w:styleId="36">
    <w:name w:val="toc 2"/>
    <w:basedOn w:val="1"/>
    <w:next w:val="1"/>
    <w:qFormat/>
    <w:uiPriority w:val="39"/>
    <w:pPr>
      <w:ind w:left="240"/>
    </w:pPr>
    <w:rPr>
      <w:rFonts w:asciiTheme="minorHAnsi" w:eastAsiaTheme="minorHAnsi"/>
      <w:smallCaps/>
      <w:sz w:val="20"/>
      <w:szCs w:val="20"/>
    </w:rPr>
  </w:style>
  <w:style w:type="paragraph" w:styleId="37">
    <w:name w:val="toc 9"/>
    <w:basedOn w:val="1"/>
    <w:next w:val="1"/>
    <w:unhideWhenUsed/>
    <w:qFormat/>
    <w:uiPriority w:val="0"/>
    <w:pPr>
      <w:ind w:left="1920"/>
    </w:pPr>
    <w:rPr>
      <w:rFonts w:asciiTheme="minorHAnsi" w:eastAsiaTheme="minorHAnsi"/>
      <w:sz w:val="18"/>
      <w:szCs w:val="18"/>
    </w:rPr>
  </w:style>
  <w:style w:type="paragraph" w:styleId="38">
    <w:name w:val="Body Text 2"/>
    <w:basedOn w:val="1"/>
    <w:link w:val="270"/>
    <w:qFormat/>
    <w:uiPriority w:val="0"/>
    <w:pPr>
      <w:spacing w:after="120" w:line="480" w:lineRule="auto"/>
      <w:jc w:val="both"/>
    </w:pPr>
    <w:rPr>
      <w:rFonts w:ascii="Times New Roman" w:hAnsi="Times New Roman" w:eastAsia="宋体" w:cs="Times New Roman"/>
      <w:color w:val="auto"/>
      <w:kern w:val="2"/>
      <w:sz w:val="21"/>
      <w:lang w:val="en-US" w:eastAsia="zh-CN" w:bidi="ar-SA"/>
    </w:rPr>
  </w:style>
  <w:style w:type="paragraph" w:styleId="39">
    <w:name w:val="HTML Preformatted"/>
    <w:basedOn w:val="1"/>
    <w:link w:val="256"/>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w:hAnsi="Arial" w:eastAsia="宋体" w:cs="Arial"/>
      <w:color w:val="auto"/>
      <w:szCs w:val="20"/>
      <w:lang w:val="en-US" w:eastAsia="zh-CN" w:bidi="ar-SA"/>
    </w:rPr>
  </w:style>
  <w:style w:type="paragraph" w:styleId="40">
    <w:name w:val="Normal (Web)"/>
    <w:basedOn w:val="1"/>
    <w:link w:val="487"/>
    <w:qFormat/>
    <w:uiPriority w:val="0"/>
    <w:pPr>
      <w:widowControl/>
      <w:spacing w:before="100" w:beforeAutospacing="1" w:after="100" w:afterAutospacing="1"/>
    </w:pPr>
    <w:rPr>
      <w:rFonts w:ascii="宋体" w:hAnsi="宋体" w:eastAsia="宋体" w:cs="宋体"/>
      <w:color w:val="auto"/>
      <w:lang w:val="en-US" w:eastAsia="zh-CN" w:bidi="ar-SA"/>
    </w:rPr>
  </w:style>
  <w:style w:type="paragraph" w:styleId="41">
    <w:name w:val="index 1"/>
    <w:basedOn w:val="1"/>
    <w:next w:val="1"/>
    <w:semiHidden/>
    <w:qFormat/>
    <w:uiPriority w:val="0"/>
    <w:pPr>
      <w:spacing w:line="240" w:lineRule="atLeast"/>
      <w:jc w:val="both"/>
    </w:pPr>
    <w:rPr>
      <w:rFonts w:ascii="宋体" w:hAnsi="宋体" w:eastAsia="宋体" w:cs="Times New Roman"/>
      <w:color w:val="auto"/>
      <w:kern w:val="2"/>
      <w:sz w:val="18"/>
      <w:szCs w:val="18"/>
      <w:lang w:val="en-US" w:eastAsia="zh-CN" w:bidi="ar-SA"/>
    </w:rPr>
  </w:style>
  <w:style w:type="paragraph" w:styleId="42">
    <w:name w:val="Title"/>
    <w:basedOn w:val="1"/>
    <w:link w:val="262"/>
    <w:qFormat/>
    <w:uiPriority w:val="0"/>
    <w:pPr>
      <w:spacing w:before="240" w:after="60"/>
      <w:jc w:val="center"/>
      <w:outlineLvl w:val="0"/>
    </w:pPr>
    <w:rPr>
      <w:rFonts w:ascii="Arial" w:hAnsi="Arial" w:eastAsia="宋体" w:cs="Times New Roman"/>
      <w:b/>
      <w:bCs/>
      <w:color w:val="auto"/>
      <w:kern w:val="2"/>
      <w:sz w:val="32"/>
      <w:szCs w:val="32"/>
      <w:lang w:bidi="ar-SA"/>
    </w:rPr>
  </w:style>
  <w:style w:type="paragraph" w:styleId="43">
    <w:name w:val="annotation subject"/>
    <w:basedOn w:val="17"/>
    <w:next w:val="17"/>
    <w:link w:val="277"/>
    <w:qFormat/>
    <w:uiPriority w:val="0"/>
    <w:rPr>
      <w:b/>
      <w:bCs/>
    </w:rPr>
  </w:style>
  <w:style w:type="paragraph" w:styleId="44">
    <w:name w:val="Body Text First Indent 2"/>
    <w:basedOn w:val="19"/>
    <w:link w:val="268"/>
    <w:qFormat/>
    <w:uiPriority w:val="0"/>
    <w:pPr>
      <w:spacing w:after="120" w:line="360" w:lineRule="auto"/>
      <w:ind w:left="420" w:leftChars="200" w:firstLine="420" w:firstLineChars="200"/>
      <w:jc w:val="left"/>
    </w:pPr>
    <w:rPr>
      <w:color w:val="auto"/>
      <w:kern w:val="24"/>
    </w:rPr>
  </w:style>
  <w:style w:type="table" w:styleId="46">
    <w:name w:val="Table Grid"/>
    <w:basedOn w:val="45"/>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8">
    <w:name w:val="page number"/>
    <w:basedOn w:val="47"/>
    <w:unhideWhenUsed/>
    <w:qFormat/>
    <w:uiPriority w:val="99"/>
  </w:style>
  <w:style w:type="character" w:styleId="49">
    <w:name w:val="FollowedHyperlink"/>
    <w:qFormat/>
    <w:uiPriority w:val="0"/>
    <w:rPr>
      <w:color w:val="800080"/>
      <w:u w:val="single"/>
    </w:rPr>
  </w:style>
  <w:style w:type="character" w:styleId="50">
    <w:name w:val="Emphasis"/>
    <w:qFormat/>
    <w:uiPriority w:val="20"/>
    <w:rPr>
      <w:rFonts w:ascii="仿宋_GB2312" w:hAnsi="宋体" w:eastAsia="仿宋_GB2312"/>
      <w:b/>
      <w:color w:val="CC0000"/>
      <w:kern w:val="2"/>
      <w:sz w:val="28"/>
      <w:szCs w:val="28"/>
      <w:lang w:val="en-US" w:eastAsia="zh-CN" w:bidi="ar-SA"/>
    </w:rPr>
  </w:style>
  <w:style w:type="character" w:styleId="51">
    <w:name w:val="HTML Typewriter"/>
    <w:qFormat/>
    <w:uiPriority w:val="0"/>
    <w:rPr>
      <w:rFonts w:hint="default" w:ascii="Arial Unicode MS" w:hAnsi="Arial Unicode MS" w:eastAsia="Arial Unicode MS" w:cs="Arial Unicode MS"/>
      <w:sz w:val="20"/>
      <w:szCs w:val="20"/>
    </w:rPr>
  </w:style>
  <w:style w:type="character" w:styleId="52">
    <w:name w:val="Hyperlink"/>
    <w:basedOn w:val="47"/>
    <w:qFormat/>
    <w:uiPriority w:val="99"/>
    <w:rPr>
      <w:color w:val="0066CC"/>
      <w:u w:val="single"/>
    </w:rPr>
  </w:style>
  <w:style w:type="character" w:styleId="53">
    <w:name w:val="annotation reference"/>
    <w:qFormat/>
    <w:uiPriority w:val="99"/>
    <w:rPr>
      <w:sz w:val="21"/>
      <w:szCs w:val="21"/>
    </w:rPr>
  </w:style>
  <w:style w:type="character" w:customStyle="1" w:styleId="54">
    <w:name w:val="标题 1 Char1"/>
    <w:basedOn w:val="47"/>
    <w:link w:val="3"/>
    <w:qFormat/>
    <w:uiPriority w:val="0"/>
    <w:rPr>
      <w:rFonts w:ascii="黑体" w:hAnsi="Times New Roman" w:eastAsia="黑体" w:cs="Times New Roman"/>
      <w:snapToGrid w:val="0"/>
      <w:sz w:val="32"/>
      <w:szCs w:val="32"/>
      <w:lang w:val="en-US" w:eastAsia="zh-CN" w:bidi="ar-SA"/>
    </w:rPr>
  </w:style>
  <w:style w:type="character" w:customStyle="1" w:styleId="55">
    <w:name w:val="标题 2 Char1"/>
    <w:link w:val="4"/>
    <w:qFormat/>
    <w:locked/>
    <w:uiPriority w:val="0"/>
    <w:rPr>
      <w:rFonts w:ascii="Arial" w:hAnsi="Arial" w:eastAsia="黑体" w:cs="Times New Roman"/>
      <w:b/>
      <w:bCs/>
      <w:kern w:val="2"/>
      <w:sz w:val="32"/>
      <w:szCs w:val="32"/>
      <w:lang w:bidi="ar-SA"/>
    </w:rPr>
  </w:style>
  <w:style w:type="character" w:customStyle="1" w:styleId="56">
    <w:name w:val="标题 3 Char1"/>
    <w:basedOn w:val="47"/>
    <w:link w:val="5"/>
    <w:qFormat/>
    <w:uiPriority w:val="0"/>
    <w:rPr>
      <w:rFonts w:ascii="Times New Roman" w:hAnsi="Times New Roman" w:eastAsia="宋体" w:cs="Times New Roman"/>
      <w:b/>
      <w:bCs/>
      <w:kern w:val="2"/>
      <w:sz w:val="32"/>
      <w:szCs w:val="32"/>
      <w:lang w:val="en-US" w:eastAsia="zh-CN" w:bidi="ar-SA"/>
    </w:rPr>
  </w:style>
  <w:style w:type="character" w:customStyle="1" w:styleId="57">
    <w:name w:val="标题 4 Char"/>
    <w:basedOn w:val="47"/>
    <w:link w:val="6"/>
    <w:qFormat/>
    <w:uiPriority w:val="0"/>
    <w:rPr>
      <w:rFonts w:ascii="Arial" w:hAnsi="Arial" w:eastAsia="黑体" w:cs="Times New Roman"/>
      <w:kern w:val="2"/>
      <w:sz w:val="28"/>
      <w:szCs w:val="20"/>
      <w:lang w:val="en-US" w:eastAsia="zh-CN" w:bidi="ar-SA"/>
    </w:rPr>
  </w:style>
  <w:style w:type="character" w:customStyle="1" w:styleId="58">
    <w:name w:val="标题 5 Char"/>
    <w:basedOn w:val="47"/>
    <w:link w:val="7"/>
    <w:qFormat/>
    <w:uiPriority w:val="0"/>
    <w:rPr>
      <w:rFonts w:ascii="Times New Roman" w:hAnsi="Times New Roman" w:cs="Times New Roman"/>
      <w:b/>
      <w:kern w:val="2"/>
      <w:sz w:val="28"/>
      <w:szCs w:val="20"/>
      <w:lang w:val="en-US" w:eastAsia="zh-CN" w:bidi="ar-SA"/>
    </w:rPr>
  </w:style>
  <w:style w:type="character" w:customStyle="1" w:styleId="59">
    <w:name w:val="标题 6 Char"/>
    <w:basedOn w:val="47"/>
    <w:link w:val="8"/>
    <w:qFormat/>
    <w:uiPriority w:val="0"/>
    <w:rPr>
      <w:rFonts w:ascii="Arial" w:hAnsi="Arial" w:eastAsia="黑体" w:cs="Times New Roman"/>
      <w:b/>
      <w:szCs w:val="20"/>
      <w:lang w:val="en-US" w:eastAsia="zh-CN" w:bidi="ar-SA"/>
    </w:rPr>
  </w:style>
  <w:style w:type="character" w:customStyle="1" w:styleId="60">
    <w:name w:val="标题 7 Char"/>
    <w:basedOn w:val="47"/>
    <w:link w:val="9"/>
    <w:qFormat/>
    <w:uiPriority w:val="0"/>
    <w:rPr>
      <w:rFonts w:ascii="Times New Roman" w:hAnsi="Times New Roman" w:eastAsia="宋体" w:cs="Times New Roman"/>
      <w:b/>
      <w:kern w:val="2"/>
      <w:szCs w:val="20"/>
      <w:lang w:val="en-US" w:eastAsia="zh-CN" w:bidi="ar-SA"/>
    </w:rPr>
  </w:style>
  <w:style w:type="character" w:customStyle="1" w:styleId="61">
    <w:name w:val="标题 8 Char"/>
    <w:basedOn w:val="47"/>
    <w:link w:val="10"/>
    <w:qFormat/>
    <w:uiPriority w:val="0"/>
    <w:rPr>
      <w:rFonts w:ascii="Arial" w:hAnsi="Arial" w:eastAsia="黑体" w:cs="Times New Roman"/>
      <w:szCs w:val="20"/>
      <w:lang w:val="en-US" w:eastAsia="zh-CN" w:bidi="ar-SA"/>
    </w:rPr>
  </w:style>
  <w:style w:type="character" w:customStyle="1" w:styleId="62">
    <w:name w:val="标题 9 Char1"/>
    <w:basedOn w:val="47"/>
    <w:link w:val="11"/>
    <w:qFormat/>
    <w:uiPriority w:val="0"/>
    <w:rPr>
      <w:rFonts w:ascii="Arial" w:hAnsi="Arial" w:eastAsia="黑体" w:cs="Times New Roman"/>
      <w:sz w:val="21"/>
      <w:szCs w:val="20"/>
      <w:lang w:val="en-US" w:eastAsia="zh-CN" w:bidi="ar-SA"/>
    </w:rPr>
  </w:style>
  <w:style w:type="character" w:customStyle="1" w:styleId="63">
    <w:name w:val="正文文本 (2)_"/>
    <w:basedOn w:val="47"/>
    <w:link w:val="64"/>
    <w:qFormat/>
    <w:uiPriority w:val="0"/>
    <w:rPr>
      <w:rFonts w:ascii="宋体" w:hAnsi="宋体" w:eastAsia="宋体" w:cs="宋体"/>
      <w:sz w:val="26"/>
      <w:szCs w:val="26"/>
      <w:u w:val="none"/>
    </w:rPr>
  </w:style>
  <w:style w:type="paragraph" w:customStyle="1" w:styleId="64">
    <w:name w:val="正文文本 (2)"/>
    <w:basedOn w:val="1"/>
    <w:link w:val="63"/>
    <w:qFormat/>
    <w:uiPriority w:val="0"/>
    <w:pPr>
      <w:shd w:val="clear" w:color="auto" w:fill="FFFFFF"/>
      <w:spacing w:line="0" w:lineRule="atLeast"/>
    </w:pPr>
    <w:rPr>
      <w:rFonts w:ascii="宋体" w:hAnsi="宋体" w:eastAsia="宋体" w:cs="宋体"/>
      <w:sz w:val="26"/>
      <w:szCs w:val="26"/>
    </w:rPr>
  </w:style>
  <w:style w:type="character" w:customStyle="1" w:styleId="65">
    <w:name w:val="标题 #1_"/>
    <w:basedOn w:val="47"/>
    <w:link w:val="66"/>
    <w:qFormat/>
    <w:uiPriority w:val="0"/>
    <w:rPr>
      <w:rFonts w:ascii="宋体" w:hAnsi="宋体" w:eastAsia="宋体" w:cs="宋体"/>
      <w:spacing w:val="-20"/>
      <w:sz w:val="44"/>
      <w:szCs w:val="44"/>
      <w:u w:val="none"/>
    </w:rPr>
  </w:style>
  <w:style w:type="paragraph" w:customStyle="1" w:styleId="66">
    <w:name w:val="标题 #1"/>
    <w:basedOn w:val="1"/>
    <w:link w:val="65"/>
    <w:qFormat/>
    <w:uiPriority w:val="0"/>
    <w:pPr>
      <w:shd w:val="clear" w:color="auto" w:fill="FFFFFF"/>
      <w:spacing w:after="660" w:line="0" w:lineRule="atLeast"/>
      <w:outlineLvl w:val="0"/>
    </w:pPr>
    <w:rPr>
      <w:rFonts w:ascii="宋体" w:hAnsi="宋体" w:eastAsia="宋体" w:cs="宋体"/>
      <w:spacing w:val="-20"/>
      <w:sz w:val="44"/>
      <w:szCs w:val="44"/>
    </w:rPr>
  </w:style>
  <w:style w:type="character" w:customStyle="1" w:styleId="67">
    <w:name w:val="正文文本 (3)_"/>
    <w:basedOn w:val="47"/>
    <w:link w:val="68"/>
    <w:qFormat/>
    <w:uiPriority w:val="0"/>
    <w:rPr>
      <w:rFonts w:ascii="宋体" w:hAnsi="宋体" w:eastAsia="宋体" w:cs="宋体"/>
      <w:spacing w:val="-20"/>
      <w:sz w:val="52"/>
      <w:szCs w:val="52"/>
      <w:u w:val="none"/>
    </w:rPr>
  </w:style>
  <w:style w:type="paragraph" w:customStyle="1" w:styleId="68">
    <w:name w:val="正文文本 (3)"/>
    <w:basedOn w:val="1"/>
    <w:link w:val="67"/>
    <w:qFormat/>
    <w:uiPriority w:val="0"/>
    <w:pPr>
      <w:shd w:val="clear" w:color="auto" w:fill="FFFFFF"/>
      <w:spacing w:before="660" w:after="5040" w:line="0" w:lineRule="atLeast"/>
      <w:jc w:val="center"/>
    </w:pPr>
    <w:rPr>
      <w:rFonts w:ascii="宋体" w:hAnsi="宋体" w:eastAsia="宋体" w:cs="宋体"/>
      <w:spacing w:val="-20"/>
      <w:sz w:val="52"/>
      <w:szCs w:val="52"/>
    </w:rPr>
  </w:style>
  <w:style w:type="character" w:customStyle="1" w:styleId="69">
    <w:name w:val="正文文本 (4)_"/>
    <w:basedOn w:val="47"/>
    <w:link w:val="70"/>
    <w:qFormat/>
    <w:uiPriority w:val="0"/>
    <w:rPr>
      <w:rFonts w:ascii="宋体" w:hAnsi="宋体" w:eastAsia="宋体" w:cs="宋体"/>
      <w:sz w:val="32"/>
      <w:szCs w:val="32"/>
      <w:u w:val="none"/>
    </w:rPr>
  </w:style>
  <w:style w:type="paragraph" w:customStyle="1" w:styleId="70">
    <w:name w:val="正文文本 (4)"/>
    <w:basedOn w:val="1"/>
    <w:link w:val="69"/>
    <w:qFormat/>
    <w:uiPriority w:val="0"/>
    <w:pPr>
      <w:shd w:val="clear" w:color="auto" w:fill="FFFFFF"/>
      <w:spacing w:before="5040" w:line="590" w:lineRule="exact"/>
    </w:pPr>
    <w:rPr>
      <w:rFonts w:ascii="宋体" w:hAnsi="宋体" w:eastAsia="宋体" w:cs="宋体"/>
      <w:sz w:val="32"/>
      <w:szCs w:val="32"/>
    </w:rPr>
  </w:style>
  <w:style w:type="character" w:customStyle="1" w:styleId="71">
    <w:name w:val="正文文本 (4) + 间距 2 pt"/>
    <w:basedOn w:val="69"/>
    <w:qFormat/>
    <w:uiPriority w:val="0"/>
    <w:rPr>
      <w:rFonts w:ascii="宋体" w:hAnsi="宋体" w:eastAsia="宋体" w:cs="宋体"/>
      <w:color w:val="000000"/>
      <w:spacing w:val="50"/>
      <w:w w:val="100"/>
      <w:position w:val="0"/>
      <w:sz w:val="32"/>
      <w:szCs w:val="32"/>
      <w:u w:val="none"/>
      <w:lang w:val="zh-TW" w:eastAsia="zh-TW" w:bidi="zh-TW"/>
    </w:rPr>
  </w:style>
  <w:style w:type="character" w:customStyle="1" w:styleId="72">
    <w:name w:val="标题 #2_"/>
    <w:basedOn w:val="47"/>
    <w:link w:val="73"/>
    <w:qFormat/>
    <w:uiPriority w:val="0"/>
    <w:rPr>
      <w:rFonts w:ascii="宋体" w:hAnsi="宋体" w:eastAsia="宋体" w:cs="宋体"/>
      <w:spacing w:val="230"/>
      <w:sz w:val="42"/>
      <w:szCs w:val="42"/>
      <w:u w:val="none"/>
    </w:rPr>
  </w:style>
  <w:style w:type="paragraph" w:customStyle="1" w:styleId="73">
    <w:name w:val="标题 #2"/>
    <w:basedOn w:val="1"/>
    <w:link w:val="72"/>
    <w:qFormat/>
    <w:uiPriority w:val="0"/>
    <w:pPr>
      <w:shd w:val="clear" w:color="auto" w:fill="FFFFFF"/>
      <w:spacing w:after="1440" w:line="0" w:lineRule="atLeast"/>
      <w:jc w:val="center"/>
      <w:outlineLvl w:val="1"/>
    </w:pPr>
    <w:rPr>
      <w:rFonts w:ascii="宋体" w:hAnsi="宋体" w:eastAsia="宋体" w:cs="宋体"/>
      <w:spacing w:val="230"/>
      <w:sz w:val="42"/>
      <w:szCs w:val="42"/>
    </w:rPr>
  </w:style>
  <w:style w:type="character" w:customStyle="1" w:styleId="74">
    <w:name w:val="正文文本 (2)1"/>
    <w:basedOn w:val="63"/>
    <w:qFormat/>
    <w:uiPriority w:val="0"/>
    <w:rPr>
      <w:rFonts w:ascii="宋体" w:hAnsi="宋体" w:eastAsia="宋体" w:cs="宋体"/>
      <w:color w:val="000000"/>
      <w:spacing w:val="0"/>
      <w:w w:val="100"/>
      <w:position w:val="0"/>
      <w:sz w:val="26"/>
      <w:szCs w:val="26"/>
      <w:u w:val="single"/>
      <w:lang w:val="zh-TW" w:eastAsia="zh-TW" w:bidi="zh-TW"/>
    </w:rPr>
  </w:style>
  <w:style w:type="character" w:customStyle="1" w:styleId="75">
    <w:name w:val="正文文本 (5)_"/>
    <w:basedOn w:val="47"/>
    <w:link w:val="76"/>
    <w:qFormat/>
    <w:uiPriority w:val="0"/>
    <w:rPr>
      <w:rFonts w:ascii="宋体" w:hAnsi="宋体" w:eastAsia="宋体" w:cs="宋体"/>
      <w:sz w:val="32"/>
      <w:szCs w:val="32"/>
      <w:u w:val="none"/>
    </w:rPr>
  </w:style>
  <w:style w:type="paragraph" w:customStyle="1" w:styleId="76">
    <w:name w:val="正文文本 (5)"/>
    <w:basedOn w:val="1"/>
    <w:link w:val="75"/>
    <w:qFormat/>
    <w:uiPriority w:val="0"/>
    <w:pPr>
      <w:shd w:val="clear" w:color="auto" w:fill="FFFFFF"/>
      <w:spacing w:line="595" w:lineRule="exact"/>
      <w:jc w:val="center"/>
    </w:pPr>
    <w:rPr>
      <w:rFonts w:ascii="宋体" w:hAnsi="宋体" w:eastAsia="宋体" w:cs="宋体"/>
      <w:sz w:val="32"/>
      <w:szCs w:val="32"/>
    </w:rPr>
  </w:style>
  <w:style w:type="character" w:customStyle="1" w:styleId="77">
    <w:name w:val="正文文本 (5) + 间距 7 pt"/>
    <w:basedOn w:val="75"/>
    <w:qFormat/>
    <w:uiPriority w:val="0"/>
    <w:rPr>
      <w:rFonts w:ascii="宋体" w:hAnsi="宋体" w:eastAsia="宋体" w:cs="宋体"/>
      <w:color w:val="000000"/>
      <w:spacing w:val="150"/>
      <w:w w:val="100"/>
      <w:position w:val="0"/>
      <w:sz w:val="32"/>
      <w:szCs w:val="32"/>
      <w:u w:val="none"/>
      <w:lang w:val="zh-TW" w:eastAsia="zh-TW" w:bidi="zh-TW"/>
    </w:rPr>
  </w:style>
  <w:style w:type="character" w:customStyle="1" w:styleId="78">
    <w:name w:val="正文文本 (2) + Constantia"/>
    <w:basedOn w:val="63"/>
    <w:qFormat/>
    <w:uiPriority w:val="0"/>
    <w:rPr>
      <w:rFonts w:ascii="Constantia" w:hAnsi="Constantia" w:eastAsia="Constantia" w:cs="Constantia"/>
      <w:b/>
      <w:bCs/>
      <w:color w:val="000000"/>
      <w:spacing w:val="-10"/>
      <w:w w:val="100"/>
      <w:position w:val="0"/>
      <w:sz w:val="26"/>
      <w:szCs w:val="26"/>
      <w:u w:val="none"/>
      <w:lang w:val="en-US" w:eastAsia="en-US" w:bidi="en-US"/>
    </w:rPr>
  </w:style>
  <w:style w:type="character" w:customStyle="1" w:styleId="79">
    <w:name w:val="标题 #3_"/>
    <w:basedOn w:val="47"/>
    <w:link w:val="80"/>
    <w:qFormat/>
    <w:uiPriority w:val="0"/>
    <w:rPr>
      <w:rFonts w:ascii="宋体" w:hAnsi="宋体" w:eastAsia="宋体" w:cs="宋体"/>
      <w:sz w:val="32"/>
      <w:szCs w:val="32"/>
      <w:u w:val="none"/>
    </w:rPr>
  </w:style>
  <w:style w:type="paragraph" w:customStyle="1" w:styleId="80">
    <w:name w:val="标题 #3"/>
    <w:basedOn w:val="1"/>
    <w:link w:val="79"/>
    <w:qFormat/>
    <w:uiPriority w:val="0"/>
    <w:pPr>
      <w:shd w:val="clear" w:color="auto" w:fill="FFFFFF"/>
      <w:spacing w:line="595" w:lineRule="exact"/>
      <w:jc w:val="center"/>
      <w:outlineLvl w:val="2"/>
    </w:pPr>
    <w:rPr>
      <w:rFonts w:ascii="宋体" w:hAnsi="宋体" w:eastAsia="宋体" w:cs="宋体"/>
      <w:sz w:val="32"/>
      <w:szCs w:val="32"/>
    </w:rPr>
  </w:style>
  <w:style w:type="character" w:customStyle="1" w:styleId="81">
    <w:name w:val="目录 3 Char"/>
    <w:basedOn w:val="47"/>
    <w:link w:val="23"/>
    <w:qFormat/>
    <w:uiPriority w:val="39"/>
    <w:rPr>
      <w:rFonts w:asciiTheme="minorHAnsi" w:eastAsiaTheme="minorHAnsi"/>
      <w:i/>
      <w:iCs/>
      <w:color w:val="000000"/>
      <w:sz w:val="20"/>
      <w:szCs w:val="20"/>
    </w:rPr>
  </w:style>
  <w:style w:type="character" w:customStyle="1" w:styleId="82">
    <w:name w:val="目录 4 Char"/>
    <w:basedOn w:val="47"/>
    <w:link w:val="32"/>
    <w:qFormat/>
    <w:uiPriority w:val="0"/>
    <w:rPr>
      <w:rFonts w:asciiTheme="minorHAnsi" w:eastAsiaTheme="minorHAnsi"/>
      <w:color w:val="000000"/>
      <w:sz w:val="18"/>
      <w:szCs w:val="18"/>
    </w:rPr>
  </w:style>
  <w:style w:type="character" w:customStyle="1" w:styleId="83">
    <w:name w:val="目录 (2) + 14 pt"/>
    <w:basedOn w:val="81"/>
    <w:qFormat/>
    <w:uiPriority w:val="0"/>
    <w:rPr>
      <w:rFonts w:ascii="宋体" w:hAnsi="宋体" w:eastAsia="宋体" w:cs="宋体"/>
      <w:b/>
      <w:bCs/>
      <w:color w:val="000000"/>
      <w:spacing w:val="0"/>
      <w:w w:val="100"/>
      <w:position w:val="0"/>
      <w:sz w:val="28"/>
      <w:szCs w:val="28"/>
      <w:u w:val="none"/>
    </w:rPr>
  </w:style>
  <w:style w:type="character" w:customStyle="1" w:styleId="84">
    <w:name w:val="目录 (2) + Arial Narrow"/>
    <w:basedOn w:val="81"/>
    <w:qFormat/>
    <w:uiPriority w:val="0"/>
    <w:rPr>
      <w:rFonts w:ascii="Arial Narrow" w:hAnsi="Arial Narrow" w:eastAsia="Arial Narrow" w:cs="Arial Narrow"/>
      <w:b/>
      <w:bCs/>
      <w:i w:val="0"/>
      <w:iCs w:val="0"/>
      <w:color w:val="000000"/>
      <w:spacing w:val="0"/>
      <w:w w:val="100"/>
      <w:position w:val="0"/>
      <w:sz w:val="26"/>
      <w:szCs w:val="26"/>
      <w:u w:val="none"/>
      <w:lang w:val="zh-TW" w:eastAsia="zh-TW" w:bidi="zh-TW"/>
    </w:rPr>
  </w:style>
  <w:style w:type="character" w:customStyle="1" w:styleId="85">
    <w:name w:val="页眉或页脚_"/>
    <w:basedOn w:val="47"/>
    <w:link w:val="86"/>
    <w:qFormat/>
    <w:uiPriority w:val="0"/>
    <w:rPr>
      <w:rFonts w:ascii="宋体" w:hAnsi="宋体" w:eastAsia="宋体" w:cs="宋体"/>
      <w:sz w:val="18"/>
      <w:szCs w:val="18"/>
      <w:u w:val="none"/>
    </w:rPr>
  </w:style>
  <w:style w:type="paragraph" w:customStyle="1" w:styleId="86">
    <w:name w:val="页眉或页脚"/>
    <w:basedOn w:val="1"/>
    <w:link w:val="85"/>
    <w:qFormat/>
    <w:uiPriority w:val="0"/>
    <w:pPr>
      <w:shd w:val="clear" w:color="auto" w:fill="FFFFFF"/>
      <w:spacing w:line="0" w:lineRule="atLeast"/>
    </w:pPr>
    <w:rPr>
      <w:rFonts w:ascii="宋体" w:hAnsi="宋体" w:eastAsia="宋体" w:cs="宋体"/>
      <w:sz w:val="18"/>
      <w:szCs w:val="18"/>
    </w:rPr>
  </w:style>
  <w:style w:type="character" w:customStyle="1" w:styleId="87">
    <w:name w:val="标题 #3 + 间距 3 pt"/>
    <w:basedOn w:val="79"/>
    <w:qFormat/>
    <w:uiPriority w:val="0"/>
    <w:rPr>
      <w:rFonts w:ascii="宋体" w:hAnsi="宋体" w:eastAsia="宋体" w:cs="宋体"/>
      <w:color w:val="000000"/>
      <w:spacing w:val="70"/>
      <w:w w:val="100"/>
      <w:position w:val="0"/>
      <w:sz w:val="32"/>
      <w:szCs w:val="32"/>
      <w:u w:val="none"/>
      <w:lang w:val="zh-TW" w:eastAsia="zh-TW" w:bidi="zh-TW"/>
    </w:rPr>
  </w:style>
  <w:style w:type="character" w:customStyle="1" w:styleId="88">
    <w:name w:val="标题 #4_"/>
    <w:basedOn w:val="47"/>
    <w:link w:val="89"/>
    <w:qFormat/>
    <w:uiPriority w:val="0"/>
    <w:rPr>
      <w:rFonts w:ascii="宋体" w:hAnsi="宋体" w:eastAsia="宋体" w:cs="宋体"/>
      <w:b/>
      <w:bCs/>
      <w:sz w:val="28"/>
      <w:szCs w:val="28"/>
      <w:u w:val="none"/>
    </w:rPr>
  </w:style>
  <w:style w:type="paragraph" w:customStyle="1" w:styleId="89">
    <w:name w:val="标题 #4"/>
    <w:basedOn w:val="1"/>
    <w:link w:val="88"/>
    <w:qFormat/>
    <w:uiPriority w:val="0"/>
    <w:pPr>
      <w:shd w:val="clear" w:color="auto" w:fill="FFFFFF"/>
      <w:spacing w:before="420" w:line="595" w:lineRule="exact"/>
      <w:outlineLvl w:val="3"/>
    </w:pPr>
    <w:rPr>
      <w:rFonts w:ascii="宋体" w:hAnsi="宋体" w:eastAsia="宋体" w:cs="宋体"/>
      <w:b/>
      <w:bCs/>
      <w:sz w:val="28"/>
      <w:szCs w:val="28"/>
    </w:rPr>
  </w:style>
  <w:style w:type="character" w:customStyle="1" w:styleId="90">
    <w:name w:val="标题 #4 + 间距 1 pt"/>
    <w:basedOn w:val="88"/>
    <w:qFormat/>
    <w:uiPriority w:val="0"/>
    <w:rPr>
      <w:rFonts w:ascii="宋体" w:hAnsi="宋体" w:eastAsia="宋体" w:cs="宋体"/>
      <w:color w:val="000000"/>
      <w:spacing w:val="30"/>
      <w:w w:val="100"/>
      <w:position w:val="0"/>
      <w:sz w:val="28"/>
      <w:szCs w:val="28"/>
      <w:u w:val="none"/>
      <w:lang w:val="zh-TW" w:eastAsia="zh-TW" w:bidi="zh-TW"/>
    </w:rPr>
  </w:style>
  <w:style w:type="character" w:customStyle="1" w:styleId="91">
    <w:name w:val="正文文本 (6)_"/>
    <w:basedOn w:val="47"/>
    <w:link w:val="92"/>
    <w:qFormat/>
    <w:uiPriority w:val="0"/>
    <w:rPr>
      <w:rFonts w:ascii="宋体" w:hAnsi="宋体" w:eastAsia="宋体" w:cs="宋体"/>
      <w:sz w:val="20"/>
      <w:szCs w:val="20"/>
      <w:u w:val="none"/>
    </w:rPr>
  </w:style>
  <w:style w:type="paragraph" w:customStyle="1" w:styleId="92">
    <w:name w:val="正文文本 (6)"/>
    <w:basedOn w:val="1"/>
    <w:link w:val="91"/>
    <w:qFormat/>
    <w:uiPriority w:val="0"/>
    <w:pPr>
      <w:shd w:val="clear" w:color="auto" w:fill="FFFFFF"/>
      <w:spacing w:before="120" w:line="0" w:lineRule="atLeast"/>
      <w:jc w:val="center"/>
    </w:pPr>
    <w:rPr>
      <w:rFonts w:ascii="宋体" w:hAnsi="宋体" w:eastAsia="宋体" w:cs="宋体"/>
      <w:sz w:val="20"/>
      <w:szCs w:val="20"/>
    </w:rPr>
  </w:style>
  <w:style w:type="character" w:customStyle="1" w:styleId="93">
    <w:name w:val="正文文本 (2) + 间距 4 pt"/>
    <w:basedOn w:val="63"/>
    <w:qFormat/>
    <w:uiPriority w:val="0"/>
    <w:rPr>
      <w:rFonts w:ascii="宋体" w:hAnsi="宋体" w:eastAsia="宋体" w:cs="宋体"/>
      <w:color w:val="000000"/>
      <w:spacing w:val="90"/>
      <w:w w:val="100"/>
      <w:position w:val="0"/>
      <w:sz w:val="26"/>
      <w:szCs w:val="26"/>
      <w:u w:val="none"/>
      <w:lang w:val="zh-TW" w:eastAsia="zh-TW" w:bidi="zh-TW"/>
    </w:rPr>
  </w:style>
  <w:style w:type="character" w:customStyle="1" w:styleId="94">
    <w:name w:val="正文文本 (2) + 间距 2 pt"/>
    <w:basedOn w:val="63"/>
    <w:qFormat/>
    <w:uiPriority w:val="0"/>
    <w:rPr>
      <w:rFonts w:ascii="宋体" w:hAnsi="宋体" w:eastAsia="宋体" w:cs="宋体"/>
      <w:color w:val="000000"/>
      <w:spacing w:val="40"/>
      <w:w w:val="100"/>
      <w:position w:val="0"/>
      <w:sz w:val="26"/>
      <w:szCs w:val="26"/>
      <w:u w:val="none"/>
      <w:lang w:val="zh-TW" w:eastAsia="zh-TW" w:bidi="zh-TW"/>
    </w:rPr>
  </w:style>
  <w:style w:type="character" w:customStyle="1" w:styleId="95">
    <w:name w:val="表格标题 (2)_"/>
    <w:basedOn w:val="47"/>
    <w:link w:val="96"/>
    <w:qFormat/>
    <w:uiPriority w:val="0"/>
    <w:rPr>
      <w:rFonts w:ascii="宋体" w:hAnsi="宋体" w:eastAsia="宋体" w:cs="宋体"/>
      <w:u w:val="none"/>
    </w:rPr>
  </w:style>
  <w:style w:type="paragraph" w:customStyle="1" w:styleId="96">
    <w:name w:val="表格标题 (2)"/>
    <w:basedOn w:val="1"/>
    <w:link w:val="95"/>
    <w:qFormat/>
    <w:uiPriority w:val="0"/>
    <w:pPr>
      <w:shd w:val="clear" w:color="auto" w:fill="FFFFFF"/>
      <w:spacing w:line="0" w:lineRule="atLeast"/>
      <w:jc w:val="distribute"/>
    </w:pPr>
    <w:rPr>
      <w:rFonts w:ascii="宋体" w:hAnsi="宋体" w:eastAsia="宋体" w:cs="宋体"/>
    </w:rPr>
  </w:style>
  <w:style w:type="character" w:customStyle="1" w:styleId="97">
    <w:name w:val="正文文本 (2) + 10 pt"/>
    <w:basedOn w:val="63"/>
    <w:qFormat/>
    <w:uiPriority w:val="0"/>
    <w:rPr>
      <w:rFonts w:ascii="宋体" w:hAnsi="宋体" w:eastAsia="宋体" w:cs="宋体"/>
      <w:color w:val="000000"/>
      <w:spacing w:val="0"/>
      <w:w w:val="100"/>
      <w:position w:val="0"/>
      <w:sz w:val="20"/>
      <w:szCs w:val="20"/>
      <w:u w:val="none"/>
      <w:lang w:val="zh-TW" w:eastAsia="zh-TW" w:bidi="zh-TW"/>
    </w:rPr>
  </w:style>
  <w:style w:type="character" w:customStyle="1" w:styleId="98">
    <w:name w:val="正文文本 (2) + Constantia1"/>
    <w:basedOn w:val="63"/>
    <w:qFormat/>
    <w:uiPriority w:val="0"/>
    <w:rPr>
      <w:rFonts w:ascii="Constantia" w:hAnsi="Constantia" w:eastAsia="Constantia" w:cs="Constantia"/>
      <w:color w:val="000000"/>
      <w:spacing w:val="0"/>
      <w:w w:val="100"/>
      <w:position w:val="0"/>
      <w:sz w:val="20"/>
      <w:szCs w:val="20"/>
      <w:u w:val="none"/>
      <w:lang w:val="en-US" w:eastAsia="en-US" w:bidi="en-US"/>
    </w:rPr>
  </w:style>
  <w:style w:type="character" w:customStyle="1" w:styleId="99">
    <w:name w:val="正文文本 (2) + 10 pt1"/>
    <w:basedOn w:val="63"/>
    <w:qFormat/>
    <w:uiPriority w:val="0"/>
    <w:rPr>
      <w:rFonts w:ascii="宋体" w:hAnsi="宋体" w:eastAsia="宋体" w:cs="宋体"/>
      <w:color w:val="000000"/>
      <w:spacing w:val="30"/>
      <w:w w:val="100"/>
      <w:position w:val="0"/>
      <w:sz w:val="20"/>
      <w:szCs w:val="20"/>
      <w:u w:val="none"/>
      <w:lang w:val="zh-TW" w:eastAsia="zh-TW" w:bidi="zh-TW"/>
    </w:rPr>
  </w:style>
  <w:style w:type="character" w:customStyle="1" w:styleId="100">
    <w:name w:val="正文文本 (2) + Constantia2"/>
    <w:basedOn w:val="63"/>
    <w:qFormat/>
    <w:uiPriority w:val="0"/>
    <w:rPr>
      <w:rFonts w:ascii="Constantia" w:hAnsi="Constantia" w:eastAsia="Constantia" w:cs="Constantia"/>
      <w:color w:val="000000"/>
      <w:spacing w:val="0"/>
      <w:w w:val="100"/>
      <w:position w:val="0"/>
      <w:sz w:val="20"/>
      <w:szCs w:val="20"/>
      <w:u w:val="none"/>
      <w:lang w:val="en-US" w:eastAsia="en-US" w:bidi="en-US"/>
    </w:rPr>
  </w:style>
  <w:style w:type="character" w:customStyle="1" w:styleId="101">
    <w:name w:val="正文文本 (2) + 10 pt2"/>
    <w:basedOn w:val="63"/>
    <w:qFormat/>
    <w:uiPriority w:val="0"/>
    <w:rPr>
      <w:rFonts w:ascii="宋体" w:hAnsi="宋体" w:eastAsia="宋体" w:cs="宋体"/>
      <w:color w:val="000000"/>
      <w:spacing w:val="0"/>
      <w:w w:val="100"/>
      <w:position w:val="0"/>
      <w:sz w:val="20"/>
      <w:szCs w:val="20"/>
      <w:u w:val="none"/>
      <w:lang w:val="zh-TW" w:eastAsia="zh-TW" w:bidi="zh-TW"/>
    </w:rPr>
  </w:style>
  <w:style w:type="character" w:customStyle="1" w:styleId="102">
    <w:name w:val="正文文本 (2) + Constantia3"/>
    <w:basedOn w:val="63"/>
    <w:qFormat/>
    <w:uiPriority w:val="0"/>
    <w:rPr>
      <w:rFonts w:ascii="Constantia" w:hAnsi="Constantia" w:eastAsia="Constantia" w:cs="Constantia"/>
      <w:color w:val="000000"/>
      <w:spacing w:val="0"/>
      <w:w w:val="100"/>
      <w:position w:val="0"/>
      <w:sz w:val="20"/>
      <w:szCs w:val="20"/>
      <w:u w:val="none"/>
      <w:lang w:val="en-US" w:eastAsia="en-US" w:bidi="en-US"/>
    </w:rPr>
  </w:style>
  <w:style w:type="character" w:customStyle="1" w:styleId="103">
    <w:name w:val="表格标题 (3)_"/>
    <w:basedOn w:val="47"/>
    <w:link w:val="104"/>
    <w:qFormat/>
    <w:uiPriority w:val="0"/>
    <w:rPr>
      <w:rFonts w:ascii="宋体" w:hAnsi="宋体" w:eastAsia="宋体" w:cs="宋体"/>
      <w:b/>
      <w:bCs/>
      <w:sz w:val="28"/>
      <w:szCs w:val="28"/>
      <w:u w:val="none"/>
    </w:rPr>
  </w:style>
  <w:style w:type="paragraph" w:customStyle="1" w:styleId="104">
    <w:name w:val="表格标题 (3)"/>
    <w:basedOn w:val="1"/>
    <w:link w:val="103"/>
    <w:qFormat/>
    <w:uiPriority w:val="0"/>
    <w:pPr>
      <w:shd w:val="clear" w:color="auto" w:fill="FFFFFF"/>
      <w:spacing w:line="0" w:lineRule="atLeast"/>
    </w:pPr>
    <w:rPr>
      <w:rFonts w:ascii="宋体" w:hAnsi="宋体" w:eastAsia="宋体" w:cs="宋体"/>
      <w:b/>
      <w:bCs/>
      <w:sz w:val="28"/>
      <w:szCs w:val="28"/>
    </w:rPr>
  </w:style>
  <w:style w:type="character" w:customStyle="1" w:styleId="105">
    <w:name w:val="正文文本 (2) + 间距 -2 pt"/>
    <w:basedOn w:val="63"/>
    <w:qFormat/>
    <w:uiPriority w:val="0"/>
    <w:rPr>
      <w:rFonts w:ascii="宋体" w:hAnsi="宋体" w:eastAsia="宋体" w:cs="宋体"/>
      <w:color w:val="000000"/>
      <w:spacing w:val="-40"/>
      <w:w w:val="100"/>
      <w:position w:val="0"/>
      <w:sz w:val="26"/>
      <w:szCs w:val="26"/>
      <w:u w:val="none"/>
      <w:lang w:val="zh-TW" w:eastAsia="zh-TW" w:bidi="zh-TW"/>
    </w:rPr>
  </w:style>
  <w:style w:type="character" w:customStyle="1" w:styleId="106">
    <w:name w:val="正文文本 (2) + 10.5 pt"/>
    <w:basedOn w:val="63"/>
    <w:qFormat/>
    <w:uiPriority w:val="0"/>
    <w:rPr>
      <w:rFonts w:ascii="宋体" w:hAnsi="宋体" w:eastAsia="宋体" w:cs="宋体"/>
      <w:b/>
      <w:bCs/>
      <w:color w:val="000000"/>
      <w:spacing w:val="0"/>
      <w:w w:val="100"/>
      <w:position w:val="0"/>
      <w:sz w:val="21"/>
      <w:szCs w:val="21"/>
      <w:u w:val="none"/>
      <w:lang w:val="zh-TW" w:eastAsia="zh-TW" w:bidi="zh-TW"/>
    </w:rPr>
  </w:style>
  <w:style w:type="character" w:customStyle="1" w:styleId="107">
    <w:name w:val="正文文本 (2) + Arial Narrow"/>
    <w:basedOn w:val="63"/>
    <w:qFormat/>
    <w:uiPriority w:val="0"/>
    <w:rPr>
      <w:rFonts w:ascii="Arial Narrow" w:hAnsi="Arial Narrow" w:eastAsia="Arial Narrow" w:cs="Arial Narrow"/>
      <w:b/>
      <w:bCs/>
      <w:color w:val="000000"/>
      <w:spacing w:val="0"/>
      <w:w w:val="100"/>
      <w:position w:val="0"/>
      <w:sz w:val="18"/>
      <w:szCs w:val="18"/>
      <w:u w:val="none"/>
      <w:lang w:val="en-US" w:eastAsia="en-US" w:bidi="en-US"/>
    </w:rPr>
  </w:style>
  <w:style w:type="character" w:customStyle="1" w:styleId="108">
    <w:name w:val="正文文本 (2) + 10 pt3"/>
    <w:basedOn w:val="63"/>
    <w:qFormat/>
    <w:uiPriority w:val="0"/>
    <w:rPr>
      <w:rFonts w:ascii="宋体" w:hAnsi="宋体" w:eastAsia="宋体" w:cs="宋体"/>
      <w:color w:val="000000"/>
      <w:spacing w:val="0"/>
      <w:w w:val="100"/>
      <w:position w:val="0"/>
      <w:sz w:val="20"/>
      <w:szCs w:val="20"/>
      <w:u w:val="none"/>
      <w:lang w:val="zh-TW" w:eastAsia="zh-TW" w:bidi="zh-TW"/>
    </w:rPr>
  </w:style>
  <w:style w:type="character" w:customStyle="1" w:styleId="109">
    <w:name w:val="正文文本 (2) + Times New Roman"/>
    <w:basedOn w:val="63"/>
    <w:qFormat/>
    <w:uiPriority w:val="0"/>
    <w:rPr>
      <w:rFonts w:ascii="Times New Roman" w:hAnsi="Times New Roman" w:eastAsia="Times New Roman" w:cs="Times New Roman"/>
      <w:b/>
      <w:bCs/>
      <w:color w:val="000000"/>
      <w:spacing w:val="-20"/>
      <w:w w:val="100"/>
      <w:position w:val="0"/>
      <w:sz w:val="48"/>
      <w:szCs w:val="48"/>
      <w:u w:val="none"/>
      <w:lang w:val="en-US" w:eastAsia="en-US" w:bidi="en-US"/>
    </w:rPr>
  </w:style>
  <w:style w:type="character" w:customStyle="1" w:styleId="110">
    <w:name w:val="正文文本 (7)_"/>
    <w:basedOn w:val="47"/>
    <w:link w:val="111"/>
    <w:qFormat/>
    <w:uiPriority w:val="0"/>
    <w:rPr>
      <w:rFonts w:ascii="宋体" w:hAnsi="宋体" w:eastAsia="宋体" w:cs="宋体"/>
      <w:u w:val="none"/>
    </w:rPr>
  </w:style>
  <w:style w:type="paragraph" w:customStyle="1" w:styleId="111">
    <w:name w:val="正文文本 (7)"/>
    <w:basedOn w:val="1"/>
    <w:link w:val="110"/>
    <w:qFormat/>
    <w:uiPriority w:val="0"/>
    <w:pPr>
      <w:shd w:val="clear" w:color="auto" w:fill="FFFFFF"/>
      <w:spacing w:before="180" w:line="0" w:lineRule="atLeast"/>
      <w:jc w:val="center"/>
    </w:pPr>
    <w:rPr>
      <w:rFonts w:ascii="宋体" w:hAnsi="宋体" w:eastAsia="宋体" w:cs="宋体"/>
    </w:rPr>
  </w:style>
  <w:style w:type="character" w:customStyle="1" w:styleId="112">
    <w:name w:val="正文文本 (6) + Constantia"/>
    <w:basedOn w:val="91"/>
    <w:qFormat/>
    <w:uiPriority w:val="0"/>
    <w:rPr>
      <w:rFonts w:ascii="Constantia" w:hAnsi="Constantia" w:eastAsia="Constantia" w:cs="Constantia"/>
      <w:color w:val="000000"/>
      <w:spacing w:val="0"/>
      <w:w w:val="100"/>
      <w:position w:val="0"/>
      <w:sz w:val="20"/>
      <w:szCs w:val="20"/>
      <w:u w:val="none"/>
      <w:lang w:val="en-US" w:eastAsia="en-US" w:bidi="en-US"/>
    </w:rPr>
  </w:style>
  <w:style w:type="character" w:customStyle="1" w:styleId="113">
    <w:name w:val="正文文本 (2) + 10 pt4"/>
    <w:basedOn w:val="63"/>
    <w:qFormat/>
    <w:uiPriority w:val="0"/>
    <w:rPr>
      <w:rFonts w:ascii="宋体" w:hAnsi="宋体" w:eastAsia="宋体" w:cs="宋体"/>
      <w:color w:val="000000"/>
      <w:spacing w:val="30"/>
      <w:w w:val="100"/>
      <w:position w:val="0"/>
      <w:sz w:val="20"/>
      <w:szCs w:val="20"/>
      <w:u w:val="none"/>
      <w:lang w:val="zh-TW" w:eastAsia="zh-TW" w:bidi="zh-TW"/>
    </w:rPr>
  </w:style>
  <w:style w:type="character" w:customStyle="1" w:styleId="114">
    <w:name w:val="表格标题_"/>
    <w:basedOn w:val="47"/>
    <w:link w:val="115"/>
    <w:qFormat/>
    <w:uiPriority w:val="0"/>
    <w:rPr>
      <w:rFonts w:ascii="宋体" w:hAnsi="宋体" w:eastAsia="宋体" w:cs="宋体"/>
      <w:sz w:val="20"/>
      <w:szCs w:val="20"/>
      <w:u w:val="none"/>
    </w:rPr>
  </w:style>
  <w:style w:type="paragraph" w:customStyle="1" w:styleId="115">
    <w:name w:val="表格标题"/>
    <w:basedOn w:val="1"/>
    <w:link w:val="114"/>
    <w:qFormat/>
    <w:uiPriority w:val="0"/>
    <w:pPr>
      <w:shd w:val="clear" w:color="auto" w:fill="FFFFFF"/>
      <w:spacing w:line="0" w:lineRule="atLeast"/>
    </w:pPr>
    <w:rPr>
      <w:rFonts w:ascii="宋体" w:hAnsi="宋体" w:eastAsia="宋体" w:cs="宋体"/>
      <w:sz w:val="20"/>
      <w:szCs w:val="20"/>
    </w:rPr>
  </w:style>
  <w:style w:type="character" w:customStyle="1" w:styleId="116">
    <w:name w:val="正文文本 (2) + Constantia4"/>
    <w:basedOn w:val="63"/>
    <w:qFormat/>
    <w:uiPriority w:val="0"/>
    <w:rPr>
      <w:rFonts w:ascii="Constantia" w:hAnsi="Constantia" w:eastAsia="Constantia" w:cs="Constantia"/>
      <w:b/>
      <w:bCs/>
      <w:color w:val="000000"/>
      <w:spacing w:val="-10"/>
      <w:w w:val="100"/>
      <w:position w:val="0"/>
      <w:sz w:val="26"/>
      <w:szCs w:val="26"/>
      <w:u w:val="none"/>
      <w:lang w:val="en-US" w:eastAsia="en-US" w:bidi="en-US"/>
    </w:rPr>
  </w:style>
  <w:style w:type="character" w:customStyle="1" w:styleId="117">
    <w:name w:val="正文文本 (2) + 10 pt5"/>
    <w:basedOn w:val="63"/>
    <w:qFormat/>
    <w:uiPriority w:val="0"/>
    <w:rPr>
      <w:rFonts w:ascii="宋体" w:hAnsi="宋体" w:eastAsia="宋体" w:cs="宋体"/>
      <w:color w:val="000000"/>
      <w:spacing w:val="60"/>
      <w:w w:val="100"/>
      <w:position w:val="0"/>
      <w:sz w:val="20"/>
      <w:szCs w:val="20"/>
      <w:u w:val="none"/>
      <w:lang w:val="zh-TW" w:eastAsia="zh-TW" w:bidi="zh-TW"/>
    </w:rPr>
  </w:style>
  <w:style w:type="character" w:customStyle="1" w:styleId="118">
    <w:name w:val="正文文本 (2) + Constantia5"/>
    <w:basedOn w:val="63"/>
    <w:qFormat/>
    <w:uiPriority w:val="0"/>
    <w:rPr>
      <w:rFonts w:ascii="Constantia" w:hAnsi="Constantia" w:eastAsia="Constantia" w:cs="Constantia"/>
      <w:b/>
      <w:bCs/>
      <w:i/>
      <w:iCs/>
      <w:color w:val="000000"/>
      <w:spacing w:val="-30"/>
      <w:w w:val="100"/>
      <w:position w:val="0"/>
      <w:sz w:val="22"/>
      <w:szCs w:val="22"/>
      <w:u w:val="none"/>
      <w:lang w:val="en-US" w:eastAsia="en-US" w:bidi="en-US"/>
    </w:rPr>
  </w:style>
  <w:style w:type="character" w:customStyle="1" w:styleId="119">
    <w:name w:val="正文文本 (2) + Bookman Old Style"/>
    <w:basedOn w:val="63"/>
    <w:qFormat/>
    <w:uiPriority w:val="0"/>
    <w:rPr>
      <w:rFonts w:ascii="Bookman Old Style" w:hAnsi="Bookman Old Style" w:eastAsia="Bookman Old Style" w:cs="Bookman Old Style"/>
      <w:color w:val="000000"/>
      <w:spacing w:val="0"/>
      <w:w w:val="100"/>
      <w:position w:val="0"/>
      <w:sz w:val="52"/>
      <w:szCs w:val="52"/>
      <w:u w:val="none"/>
      <w:lang w:val="en-US" w:eastAsia="en-US" w:bidi="en-US"/>
    </w:rPr>
  </w:style>
  <w:style w:type="character" w:customStyle="1" w:styleId="120">
    <w:name w:val="正文文本 (2) + 10 pt6"/>
    <w:basedOn w:val="63"/>
    <w:qFormat/>
    <w:uiPriority w:val="0"/>
    <w:rPr>
      <w:rFonts w:ascii="宋体" w:hAnsi="宋体" w:eastAsia="宋体" w:cs="宋体"/>
      <w:color w:val="000000"/>
      <w:spacing w:val="0"/>
      <w:w w:val="100"/>
      <w:position w:val="0"/>
      <w:sz w:val="20"/>
      <w:szCs w:val="20"/>
      <w:u w:val="none"/>
      <w:lang w:val="zh-TW" w:eastAsia="zh-TW" w:bidi="zh-TW"/>
    </w:rPr>
  </w:style>
  <w:style w:type="character" w:customStyle="1" w:styleId="121">
    <w:name w:val="正文文本 (8)_"/>
    <w:basedOn w:val="47"/>
    <w:link w:val="122"/>
    <w:qFormat/>
    <w:uiPriority w:val="0"/>
    <w:rPr>
      <w:rFonts w:ascii="宋体" w:hAnsi="宋体" w:eastAsia="宋体" w:cs="宋体"/>
      <w:b/>
      <w:bCs/>
      <w:sz w:val="28"/>
      <w:szCs w:val="28"/>
      <w:u w:val="none"/>
    </w:rPr>
  </w:style>
  <w:style w:type="paragraph" w:customStyle="1" w:styleId="122">
    <w:name w:val="正文文本 (8)"/>
    <w:basedOn w:val="1"/>
    <w:link w:val="121"/>
    <w:qFormat/>
    <w:uiPriority w:val="0"/>
    <w:pPr>
      <w:shd w:val="clear" w:color="auto" w:fill="FFFFFF"/>
      <w:spacing w:line="600" w:lineRule="exact"/>
      <w:jc w:val="distribute"/>
    </w:pPr>
    <w:rPr>
      <w:rFonts w:ascii="宋体" w:hAnsi="宋体" w:eastAsia="宋体" w:cs="宋体"/>
      <w:b/>
      <w:bCs/>
      <w:sz w:val="28"/>
      <w:szCs w:val="28"/>
    </w:rPr>
  </w:style>
  <w:style w:type="character" w:customStyle="1" w:styleId="123">
    <w:name w:val="正文文本 (8) + 13 pt"/>
    <w:basedOn w:val="121"/>
    <w:qFormat/>
    <w:uiPriority w:val="0"/>
    <w:rPr>
      <w:rFonts w:ascii="宋体" w:hAnsi="宋体" w:eastAsia="宋体" w:cs="宋体"/>
      <w:color w:val="000000"/>
      <w:spacing w:val="0"/>
      <w:w w:val="100"/>
      <w:position w:val="0"/>
      <w:sz w:val="26"/>
      <w:szCs w:val="26"/>
      <w:u w:val="none"/>
      <w:lang w:val="en-US" w:eastAsia="en-US" w:bidi="en-US"/>
    </w:rPr>
  </w:style>
  <w:style w:type="character" w:customStyle="1" w:styleId="124">
    <w:name w:val="正文文本 (8) + 9 pt"/>
    <w:basedOn w:val="121"/>
    <w:qFormat/>
    <w:uiPriority w:val="0"/>
    <w:rPr>
      <w:rFonts w:ascii="宋体" w:hAnsi="宋体" w:eastAsia="宋体" w:cs="宋体"/>
      <w:color w:val="000000"/>
      <w:spacing w:val="0"/>
      <w:w w:val="100"/>
      <w:position w:val="0"/>
      <w:sz w:val="18"/>
      <w:szCs w:val="18"/>
      <w:u w:val="none"/>
      <w:lang w:val="zh-TW" w:eastAsia="zh-TW" w:bidi="zh-TW"/>
    </w:rPr>
  </w:style>
  <w:style w:type="character" w:customStyle="1" w:styleId="125">
    <w:name w:val="正文文本 (8) + 间距 2 pt"/>
    <w:basedOn w:val="121"/>
    <w:qFormat/>
    <w:uiPriority w:val="0"/>
    <w:rPr>
      <w:rFonts w:ascii="宋体" w:hAnsi="宋体" w:eastAsia="宋体" w:cs="宋体"/>
      <w:color w:val="000000"/>
      <w:spacing w:val="50"/>
      <w:w w:val="100"/>
      <w:position w:val="0"/>
      <w:sz w:val="28"/>
      <w:szCs w:val="28"/>
      <w:u w:val="none"/>
      <w:lang w:val="zh-TW" w:eastAsia="zh-TW" w:bidi="zh-TW"/>
    </w:rPr>
  </w:style>
  <w:style w:type="character" w:customStyle="1" w:styleId="126">
    <w:name w:val="正文文本 (2) + 10 pt7"/>
    <w:basedOn w:val="63"/>
    <w:qFormat/>
    <w:uiPriority w:val="0"/>
    <w:rPr>
      <w:rFonts w:ascii="宋体" w:hAnsi="宋体" w:eastAsia="宋体" w:cs="宋体"/>
      <w:color w:val="000000"/>
      <w:spacing w:val="0"/>
      <w:w w:val="100"/>
      <w:position w:val="0"/>
      <w:sz w:val="20"/>
      <w:szCs w:val="20"/>
      <w:u w:val="none"/>
      <w:lang w:val="zh-TW" w:eastAsia="zh-TW" w:bidi="zh-TW"/>
    </w:rPr>
  </w:style>
  <w:style w:type="character" w:customStyle="1" w:styleId="127">
    <w:name w:val="正文文本 (2) + Constantia6"/>
    <w:basedOn w:val="63"/>
    <w:qFormat/>
    <w:uiPriority w:val="0"/>
    <w:rPr>
      <w:rFonts w:ascii="Constantia" w:hAnsi="Constantia" w:eastAsia="Constantia" w:cs="Constantia"/>
      <w:color w:val="000000"/>
      <w:spacing w:val="0"/>
      <w:w w:val="100"/>
      <w:position w:val="0"/>
      <w:sz w:val="20"/>
      <w:szCs w:val="20"/>
      <w:u w:val="none"/>
      <w:lang w:val="en-US" w:eastAsia="en-US" w:bidi="en-US"/>
    </w:rPr>
  </w:style>
  <w:style w:type="character" w:customStyle="1" w:styleId="128">
    <w:name w:val="表格标题 (4)_"/>
    <w:basedOn w:val="47"/>
    <w:link w:val="129"/>
    <w:qFormat/>
    <w:uiPriority w:val="0"/>
    <w:rPr>
      <w:rFonts w:ascii="宋体" w:hAnsi="宋体" w:eastAsia="宋体" w:cs="宋体"/>
      <w:spacing w:val="30"/>
      <w:sz w:val="28"/>
      <w:szCs w:val="28"/>
      <w:u w:val="none"/>
    </w:rPr>
  </w:style>
  <w:style w:type="paragraph" w:customStyle="1" w:styleId="129">
    <w:name w:val="表格标题 (4)"/>
    <w:basedOn w:val="1"/>
    <w:link w:val="128"/>
    <w:qFormat/>
    <w:uiPriority w:val="0"/>
    <w:pPr>
      <w:shd w:val="clear" w:color="auto" w:fill="FFFFFF"/>
      <w:spacing w:line="0" w:lineRule="atLeast"/>
    </w:pPr>
    <w:rPr>
      <w:rFonts w:ascii="宋体" w:hAnsi="宋体" w:eastAsia="宋体" w:cs="宋体"/>
      <w:spacing w:val="30"/>
      <w:sz w:val="28"/>
      <w:szCs w:val="28"/>
    </w:rPr>
  </w:style>
  <w:style w:type="character" w:customStyle="1" w:styleId="130">
    <w:name w:val="正文文本 (2) + 10.5 pt1"/>
    <w:basedOn w:val="63"/>
    <w:qFormat/>
    <w:uiPriority w:val="0"/>
    <w:rPr>
      <w:rFonts w:ascii="宋体" w:hAnsi="宋体" w:eastAsia="宋体" w:cs="宋体"/>
      <w:b/>
      <w:bCs/>
      <w:color w:val="000000"/>
      <w:spacing w:val="0"/>
      <w:w w:val="100"/>
      <w:position w:val="0"/>
      <w:sz w:val="21"/>
      <w:szCs w:val="21"/>
      <w:u w:val="none"/>
      <w:lang w:val="zh-TW" w:eastAsia="zh-TW" w:bidi="zh-TW"/>
    </w:rPr>
  </w:style>
  <w:style w:type="character" w:customStyle="1" w:styleId="131">
    <w:name w:val="正文文本 (2) + 23 pt"/>
    <w:basedOn w:val="63"/>
    <w:qFormat/>
    <w:uiPriority w:val="0"/>
    <w:rPr>
      <w:rFonts w:ascii="宋体" w:hAnsi="宋体" w:eastAsia="宋体" w:cs="宋体"/>
      <w:color w:val="000000"/>
      <w:spacing w:val="0"/>
      <w:w w:val="100"/>
      <w:position w:val="0"/>
      <w:sz w:val="46"/>
      <w:szCs w:val="46"/>
      <w:u w:val="none"/>
      <w:lang w:val="zh-TW" w:eastAsia="zh-TW" w:bidi="zh-TW"/>
    </w:rPr>
  </w:style>
  <w:style w:type="character" w:customStyle="1" w:styleId="132">
    <w:name w:val="正文文本 (2) + 10.5 pt2"/>
    <w:basedOn w:val="63"/>
    <w:qFormat/>
    <w:uiPriority w:val="0"/>
    <w:rPr>
      <w:rFonts w:ascii="宋体" w:hAnsi="宋体" w:eastAsia="宋体" w:cs="宋体"/>
      <w:b/>
      <w:bCs/>
      <w:color w:val="000000"/>
      <w:spacing w:val="0"/>
      <w:w w:val="100"/>
      <w:position w:val="0"/>
      <w:sz w:val="21"/>
      <w:szCs w:val="21"/>
      <w:u w:val="none"/>
      <w:lang w:val="en-US" w:eastAsia="en-US" w:bidi="en-US"/>
    </w:rPr>
  </w:style>
  <w:style w:type="character" w:customStyle="1" w:styleId="133">
    <w:name w:val="正文文本 (2) + Arial Narrow1"/>
    <w:basedOn w:val="63"/>
    <w:qFormat/>
    <w:uiPriority w:val="0"/>
    <w:rPr>
      <w:rFonts w:ascii="Arial Narrow" w:hAnsi="Arial Narrow" w:eastAsia="Arial Narrow" w:cs="Arial Narrow"/>
      <w:b/>
      <w:bCs/>
      <w:color w:val="000000"/>
      <w:spacing w:val="0"/>
      <w:w w:val="100"/>
      <w:position w:val="0"/>
      <w:sz w:val="18"/>
      <w:szCs w:val="18"/>
      <w:u w:val="none"/>
      <w:lang w:val="en-US" w:eastAsia="en-US" w:bidi="en-US"/>
    </w:rPr>
  </w:style>
  <w:style w:type="character" w:customStyle="1" w:styleId="134">
    <w:name w:val="正文文本 (2) + Constantia7"/>
    <w:basedOn w:val="63"/>
    <w:qFormat/>
    <w:uiPriority w:val="0"/>
    <w:rPr>
      <w:rFonts w:ascii="Constantia" w:hAnsi="Constantia" w:eastAsia="Constantia" w:cs="Constantia"/>
      <w:b/>
      <w:bCs/>
      <w:color w:val="000000"/>
      <w:spacing w:val="0"/>
      <w:w w:val="100"/>
      <w:position w:val="0"/>
      <w:sz w:val="26"/>
      <w:szCs w:val="26"/>
      <w:u w:val="none"/>
      <w:lang w:val="en-US" w:eastAsia="en-US" w:bidi="en-US"/>
    </w:rPr>
  </w:style>
  <w:style w:type="character" w:customStyle="1" w:styleId="135">
    <w:name w:val="标题 #4 (2)_"/>
    <w:basedOn w:val="47"/>
    <w:link w:val="136"/>
    <w:qFormat/>
    <w:uiPriority w:val="0"/>
    <w:rPr>
      <w:rFonts w:ascii="宋体" w:hAnsi="宋体" w:eastAsia="宋体" w:cs="宋体"/>
      <w:spacing w:val="30"/>
      <w:sz w:val="28"/>
      <w:szCs w:val="28"/>
      <w:u w:val="none"/>
    </w:rPr>
  </w:style>
  <w:style w:type="paragraph" w:customStyle="1" w:styleId="136">
    <w:name w:val="标题 #4 (2)"/>
    <w:basedOn w:val="1"/>
    <w:link w:val="135"/>
    <w:qFormat/>
    <w:uiPriority w:val="0"/>
    <w:pPr>
      <w:shd w:val="clear" w:color="auto" w:fill="FFFFFF"/>
      <w:spacing w:before="420" w:line="600" w:lineRule="exact"/>
      <w:outlineLvl w:val="3"/>
    </w:pPr>
    <w:rPr>
      <w:rFonts w:ascii="宋体" w:hAnsi="宋体" w:eastAsia="宋体" w:cs="宋体"/>
      <w:spacing w:val="30"/>
      <w:sz w:val="28"/>
      <w:szCs w:val="28"/>
    </w:rPr>
  </w:style>
  <w:style w:type="character" w:customStyle="1" w:styleId="137">
    <w:name w:val="正文文本 (9)_"/>
    <w:basedOn w:val="47"/>
    <w:link w:val="138"/>
    <w:qFormat/>
    <w:uiPriority w:val="0"/>
    <w:rPr>
      <w:rFonts w:ascii="宋体" w:hAnsi="宋体" w:eastAsia="宋体" w:cs="宋体"/>
      <w:spacing w:val="30"/>
      <w:sz w:val="28"/>
      <w:szCs w:val="28"/>
      <w:u w:val="none"/>
    </w:rPr>
  </w:style>
  <w:style w:type="paragraph" w:customStyle="1" w:styleId="138">
    <w:name w:val="正文文本 (9)"/>
    <w:basedOn w:val="1"/>
    <w:link w:val="137"/>
    <w:qFormat/>
    <w:uiPriority w:val="0"/>
    <w:pPr>
      <w:shd w:val="clear" w:color="auto" w:fill="FFFFFF"/>
      <w:spacing w:line="562" w:lineRule="exact"/>
    </w:pPr>
    <w:rPr>
      <w:rFonts w:ascii="宋体" w:hAnsi="宋体" w:eastAsia="宋体" w:cs="宋体"/>
      <w:spacing w:val="30"/>
      <w:sz w:val="28"/>
      <w:szCs w:val="28"/>
    </w:rPr>
  </w:style>
  <w:style w:type="character" w:customStyle="1" w:styleId="139">
    <w:name w:val="正文文本 (8) + 13 pt1"/>
    <w:basedOn w:val="121"/>
    <w:qFormat/>
    <w:uiPriority w:val="0"/>
    <w:rPr>
      <w:rFonts w:ascii="宋体" w:hAnsi="宋体" w:eastAsia="宋体" w:cs="宋体"/>
      <w:color w:val="000000"/>
      <w:spacing w:val="0"/>
      <w:w w:val="100"/>
      <w:position w:val="0"/>
      <w:sz w:val="26"/>
      <w:szCs w:val="26"/>
      <w:u w:val="none"/>
      <w:lang w:val="en-US" w:eastAsia="en-US" w:bidi="en-US"/>
    </w:rPr>
  </w:style>
  <w:style w:type="character" w:customStyle="1" w:styleId="140">
    <w:name w:val="标题 #31"/>
    <w:basedOn w:val="79"/>
    <w:qFormat/>
    <w:uiPriority w:val="0"/>
    <w:rPr>
      <w:rFonts w:ascii="宋体" w:hAnsi="宋体" w:eastAsia="宋体" w:cs="宋体"/>
      <w:color w:val="000000"/>
      <w:spacing w:val="0"/>
      <w:w w:val="100"/>
      <w:position w:val="0"/>
      <w:sz w:val="32"/>
      <w:szCs w:val="32"/>
      <w:u w:val="none"/>
      <w:lang w:val="zh-TW" w:eastAsia="zh-TW" w:bidi="zh-TW"/>
    </w:rPr>
  </w:style>
  <w:style w:type="character" w:customStyle="1" w:styleId="141">
    <w:name w:val="标题 #4 (3)_"/>
    <w:basedOn w:val="47"/>
    <w:link w:val="142"/>
    <w:qFormat/>
    <w:uiPriority w:val="0"/>
    <w:rPr>
      <w:rFonts w:ascii="宋体" w:hAnsi="宋体" w:eastAsia="宋体" w:cs="宋体"/>
      <w:spacing w:val="0"/>
      <w:sz w:val="32"/>
      <w:szCs w:val="32"/>
      <w:u w:val="none"/>
    </w:rPr>
  </w:style>
  <w:style w:type="paragraph" w:customStyle="1" w:styleId="142">
    <w:name w:val="标题 #4 (3)"/>
    <w:basedOn w:val="1"/>
    <w:link w:val="141"/>
    <w:qFormat/>
    <w:uiPriority w:val="0"/>
    <w:pPr>
      <w:shd w:val="clear" w:color="auto" w:fill="FFFFFF"/>
      <w:spacing w:line="754" w:lineRule="exact"/>
      <w:jc w:val="center"/>
      <w:outlineLvl w:val="3"/>
    </w:pPr>
    <w:rPr>
      <w:rFonts w:ascii="宋体" w:hAnsi="宋体" w:eastAsia="宋体" w:cs="宋体"/>
      <w:sz w:val="32"/>
      <w:szCs w:val="32"/>
    </w:rPr>
  </w:style>
  <w:style w:type="character" w:customStyle="1" w:styleId="143">
    <w:name w:val="正文文本 (7) + 间距 0 pt"/>
    <w:basedOn w:val="110"/>
    <w:qFormat/>
    <w:uiPriority w:val="0"/>
    <w:rPr>
      <w:rFonts w:ascii="宋体" w:hAnsi="宋体" w:eastAsia="宋体" w:cs="宋体"/>
      <w:color w:val="000000"/>
      <w:spacing w:val="-10"/>
      <w:w w:val="100"/>
      <w:position w:val="0"/>
      <w:sz w:val="24"/>
      <w:szCs w:val="24"/>
      <w:u w:val="none"/>
      <w:lang w:val="zh-TW" w:eastAsia="zh-TW" w:bidi="zh-TW"/>
    </w:rPr>
  </w:style>
  <w:style w:type="character" w:customStyle="1" w:styleId="144">
    <w:name w:val="正文文本 (8) + 10.5 pt"/>
    <w:basedOn w:val="121"/>
    <w:qFormat/>
    <w:uiPriority w:val="0"/>
    <w:rPr>
      <w:rFonts w:ascii="宋体" w:hAnsi="宋体" w:eastAsia="宋体" w:cs="宋体"/>
      <w:color w:val="000000"/>
      <w:spacing w:val="0"/>
      <w:w w:val="100"/>
      <w:position w:val="0"/>
      <w:sz w:val="21"/>
      <w:szCs w:val="21"/>
      <w:u w:val="none"/>
      <w:lang w:val="zh-TW" w:eastAsia="zh-TW" w:bidi="zh-TW"/>
    </w:rPr>
  </w:style>
  <w:style w:type="character" w:customStyle="1" w:styleId="145">
    <w:name w:val="正文文本 (8) + Constantia"/>
    <w:basedOn w:val="121"/>
    <w:qFormat/>
    <w:uiPriority w:val="0"/>
    <w:rPr>
      <w:rFonts w:ascii="Constantia" w:hAnsi="Constantia" w:eastAsia="Constantia" w:cs="Constantia"/>
      <w:color w:val="000000"/>
      <w:spacing w:val="0"/>
      <w:w w:val="100"/>
      <w:position w:val="0"/>
      <w:sz w:val="20"/>
      <w:szCs w:val="20"/>
      <w:u w:val="none"/>
      <w:lang w:val="en-US" w:eastAsia="en-US" w:bidi="en-US"/>
    </w:rPr>
  </w:style>
  <w:style w:type="character" w:customStyle="1" w:styleId="146">
    <w:name w:val="正文文本 (8) + 10 pt"/>
    <w:basedOn w:val="121"/>
    <w:qFormat/>
    <w:uiPriority w:val="0"/>
    <w:rPr>
      <w:rFonts w:ascii="宋体" w:hAnsi="宋体" w:eastAsia="宋体" w:cs="宋体"/>
      <w:color w:val="000000"/>
      <w:spacing w:val="0"/>
      <w:w w:val="100"/>
      <w:position w:val="0"/>
      <w:sz w:val="20"/>
      <w:szCs w:val="20"/>
      <w:u w:val="none"/>
      <w:lang w:val="zh-TW" w:eastAsia="zh-TW" w:bidi="zh-TW"/>
    </w:rPr>
  </w:style>
  <w:style w:type="character" w:customStyle="1" w:styleId="147">
    <w:name w:val="表格标题 (2) + 间距 0 pt"/>
    <w:basedOn w:val="95"/>
    <w:qFormat/>
    <w:uiPriority w:val="0"/>
    <w:rPr>
      <w:rFonts w:ascii="宋体" w:hAnsi="宋体" w:eastAsia="宋体" w:cs="宋体"/>
      <w:color w:val="000000"/>
      <w:spacing w:val="-10"/>
      <w:w w:val="100"/>
      <w:position w:val="0"/>
      <w:sz w:val="24"/>
      <w:szCs w:val="24"/>
      <w:u w:val="none"/>
      <w:lang w:val="zh-TW" w:eastAsia="zh-TW" w:bidi="zh-TW"/>
    </w:rPr>
  </w:style>
  <w:style w:type="character" w:customStyle="1" w:styleId="148">
    <w:name w:val="正文文本 (5)1"/>
    <w:basedOn w:val="75"/>
    <w:qFormat/>
    <w:uiPriority w:val="0"/>
    <w:rPr>
      <w:rFonts w:ascii="宋体" w:hAnsi="宋体" w:eastAsia="宋体" w:cs="宋体"/>
      <w:color w:val="000000"/>
      <w:spacing w:val="0"/>
      <w:w w:val="100"/>
      <w:position w:val="0"/>
      <w:sz w:val="32"/>
      <w:szCs w:val="32"/>
      <w:u w:val="none"/>
      <w:lang w:val="zh-TW" w:eastAsia="zh-TW" w:bidi="zh-TW"/>
    </w:rPr>
  </w:style>
  <w:style w:type="character" w:customStyle="1" w:styleId="149">
    <w:name w:val="正文文本 (8) + Arial Narrow"/>
    <w:basedOn w:val="121"/>
    <w:qFormat/>
    <w:uiPriority w:val="0"/>
    <w:rPr>
      <w:rFonts w:ascii="Arial Narrow" w:hAnsi="Arial Narrow" w:eastAsia="Arial Narrow" w:cs="Arial Narrow"/>
      <w:color w:val="000000"/>
      <w:spacing w:val="0"/>
      <w:w w:val="100"/>
      <w:position w:val="0"/>
      <w:sz w:val="18"/>
      <w:szCs w:val="18"/>
      <w:u w:val="none"/>
      <w:lang w:val="en-US" w:eastAsia="en-US" w:bidi="en-US"/>
    </w:rPr>
  </w:style>
  <w:style w:type="character" w:customStyle="1" w:styleId="150">
    <w:name w:val="正文文本 (8) + Constantia1"/>
    <w:basedOn w:val="121"/>
    <w:qFormat/>
    <w:uiPriority w:val="0"/>
    <w:rPr>
      <w:rFonts w:ascii="Constantia" w:hAnsi="Constantia" w:eastAsia="Constantia" w:cs="Constantia"/>
      <w:color w:val="000000"/>
      <w:spacing w:val="0"/>
      <w:w w:val="100"/>
      <w:position w:val="0"/>
      <w:sz w:val="20"/>
      <w:szCs w:val="20"/>
      <w:u w:val="none"/>
      <w:lang w:val="en-US" w:eastAsia="en-US" w:bidi="en-US"/>
    </w:rPr>
  </w:style>
  <w:style w:type="character" w:customStyle="1" w:styleId="151">
    <w:name w:val="正文文本 (8) + 10 pt1"/>
    <w:basedOn w:val="121"/>
    <w:qFormat/>
    <w:uiPriority w:val="0"/>
    <w:rPr>
      <w:rFonts w:ascii="宋体" w:hAnsi="宋体" w:eastAsia="宋体" w:cs="宋体"/>
      <w:color w:val="000000"/>
      <w:spacing w:val="80"/>
      <w:w w:val="100"/>
      <w:position w:val="0"/>
      <w:sz w:val="20"/>
      <w:szCs w:val="20"/>
      <w:u w:val="none"/>
      <w:lang w:val="zh-TW" w:eastAsia="zh-TW" w:bidi="zh-TW"/>
    </w:rPr>
  </w:style>
  <w:style w:type="character" w:customStyle="1" w:styleId="152">
    <w:name w:val="正文文本 (8) + 10 pt2"/>
    <w:basedOn w:val="121"/>
    <w:qFormat/>
    <w:uiPriority w:val="0"/>
    <w:rPr>
      <w:rFonts w:ascii="宋体" w:hAnsi="宋体" w:eastAsia="宋体" w:cs="宋体"/>
      <w:color w:val="000000"/>
      <w:spacing w:val="-20"/>
      <w:w w:val="100"/>
      <w:position w:val="0"/>
      <w:sz w:val="20"/>
      <w:szCs w:val="20"/>
      <w:u w:val="none"/>
      <w:lang w:val="zh-TW" w:eastAsia="zh-TW" w:bidi="zh-TW"/>
    </w:rPr>
  </w:style>
  <w:style w:type="character" w:customStyle="1" w:styleId="153">
    <w:name w:val="正文文本 (8) + 4 pt"/>
    <w:basedOn w:val="121"/>
    <w:qFormat/>
    <w:uiPriority w:val="0"/>
    <w:rPr>
      <w:rFonts w:ascii="宋体" w:hAnsi="宋体" w:eastAsia="宋体" w:cs="宋体"/>
      <w:color w:val="000000"/>
      <w:spacing w:val="0"/>
      <w:w w:val="100"/>
      <w:position w:val="0"/>
      <w:sz w:val="8"/>
      <w:szCs w:val="8"/>
      <w:u w:val="none"/>
      <w:lang w:val="zh-TW" w:eastAsia="zh-TW" w:bidi="zh-TW"/>
    </w:rPr>
  </w:style>
  <w:style w:type="character" w:customStyle="1" w:styleId="154">
    <w:name w:val="正文文本 (6) + 间距 -1 pt"/>
    <w:basedOn w:val="91"/>
    <w:qFormat/>
    <w:uiPriority w:val="0"/>
    <w:rPr>
      <w:rFonts w:ascii="宋体" w:hAnsi="宋体" w:eastAsia="宋体" w:cs="宋体"/>
      <w:color w:val="000000"/>
      <w:spacing w:val="-20"/>
      <w:w w:val="100"/>
      <w:position w:val="0"/>
      <w:sz w:val="20"/>
      <w:szCs w:val="20"/>
      <w:u w:val="none"/>
      <w:lang w:val="zh-TW" w:eastAsia="zh-TW" w:bidi="zh-TW"/>
    </w:rPr>
  </w:style>
  <w:style w:type="character" w:customStyle="1" w:styleId="155">
    <w:name w:val="正文文本 (6) + Constantia1"/>
    <w:basedOn w:val="91"/>
    <w:qFormat/>
    <w:uiPriority w:val="0"/>
    <w:rPr>
      <w:rFonts w:ascii="Constantia" w:hAnsi="Constantia" w:eastAsia="Constantia" w:cs="Constantia"/>
      <w:color w:val="000000"/>
      <w:spacing w:val="0"/>
      <w:w w:val="100"/>
      <w:position w:val="0"/>
      <w:sz w:val="20"/>
      <w:szCs w:val="20"/>
      <w:u w:val="none"/>
      <w:lang w:val="en-US" w:eastAsia="en-US" w:bidi="en-US"/>
    </w:rPr>
  </w:style>
  <w:style w:type="character" w:customStyle="1" w:styleId="156">
    <w:name w:val="正文文本 (8) + 10 pt3"/>
    <w:basedOn w:val="121"/>
    <w:qFormat/>
    <w:uiPriority w:val="0"/>
    <w:rPr>
      <w:rFonts w:ascii="宋体" w:hAnsi="宋体" w:eastAsia="宋体" w:cs="宋体"/>
      <w:color w:val="000000"/>
      <w:spacing w:val="-40"/>
      <w:w w:val="100"/>
      <w:position w:val="0"/>
      <w:sz w:val="20"/>
      <w:szCs w:val="20"/>
      <w:u w:val="none"/>
      <w:lang w:val="en-US" w:eastAsia="en-US" w:bidi="en-US"/>
    </w:rPr>
  </w:style>
  <w:style w:type="character" w:customStyle="1" w:styleId="157">
    <w:name w:val="正文文本 (6) + 间距 -2 pt"/>
    <w:basedOn w:val="91"/>
    <w:qFormat/>
    <w:uiPriority w:val="0"/>
    <w:rPr>
      <w:rFonts w:ascii="宋体" w:hAnsi="宋体" w:eastAsia="宋体" w:cs="宋体"/>
      <w:color w:val="000000"/>
      <w:spacing w:val="-40"/>
      <w:w w:val="100"/>
      <w:position w:val="0"/>
      <w:sz w:val="20"/>
      <w:szCs w:val="20"/>
      <w:u w:val="none"/>
      <w:lang w:val="zh-TW" w:eastAsia="zh-TW" w:bidi="zh-TW"/>
    </w:rPr>
  </w:style>
  <w:style w:type="character" w:customStyle="1" w:styleId="158">
    <w:name w:val="正文文本 (6) + Constantia2"/>
    <w:basedOn w:val="91"/>
    <w:qFormat/>
    <w:uiPriority w:val="0"/>
    <w:rPr>
      <w:rFonts w:ascii="Constantia" w:hAnsi="Constantia" w:eastAsia="Constantia" w:cs="Constantia"/>
      <w:smallCaps/>
      <w:color w:val="000000"/>
      <w:spacing w:val="0"/>
      <w:w w:val="100"/>
      <w:position w:val="0"/>
      <w:sz w:val="20"/>
      <w:szCs w:val="20"/>
      <w:u w:val="none"/>
      <w:lang w:val="en-US" w:eastAsia="en-US" w:bidi="en-US"/>
    </w:rPr>
  </w:style>
  <w:style w:type="character" w:customStyle="1" w:styleId="159">
    <w:name w:val="正文文本 (8) + Constantia2"/>
    <w:basedOn w:val="121"/>
    <w:qFormat/>
    <w:uiPriority w:val="0"/>
    <w:rPr>
      <w:rFonts w:ascii="Constantia" w:hAnsi="Constantia" w:eastAsia="Constantia" w:cs="Constantia"/>
      <w:smallCaps/>
      <w:color w:val="000000"/>
      <w:spacing w:val="0"/>
      <w:w w:val="100"/>
      <w:position w:val="0"/>
      <w:sz w:val="20"/>
      <w:szCs w:val="20"/>
      <w:u w:val="none"/>
      <w:lang w:val="en-US" w:eastAsia="en-US" w:bidi="en-US"/>
    </w:rPr>
  </w:style>
  <w:style w:type="character" w:customStyle="1" w:styleId="160">
    <w:name w:val="其他_"/>
    <w:basedOn w:val="47"/>
    <w:link w:val="161"/>
    <w:qFormat/>
    <w:uiPriority w:val="0"/>
    <w:rPr>
      <w:rFonts w:ascii="Times New Roman" w:hAnsi="Times New Roman" w:eastAsia="Times New Roman" w:cs="Times New Roman"/>
      <w:sz w:val="20"/>
      <w:szCs w:val="20"/>
      <w:u w:val="none"/>
    </w:rPr>
  </w:style>
  <w:style w:type="paragraph" w:customStyle="1" w:styleId="161">
    <w:name w:val="其他"/>
    <w:basedOn w:val="1"/>
    <w:link w:val="160"/>
    <w:qFormat/>
    <w:uiPriority w:val="0"/>
    <w:pPr>
      <w:shd w:val="clear" w:color="auto" w:fill="FFFFFF"/>
    </w:pPr>
    <w:rPr>
      <w:rFonts w:ascii="Times New Roman" w:hAnsi="Times New Roman" w:eastAsia="Times New Roman" w:cs="Times New Roman"/>
      <w:sz w:val="20"/>
      <w:szCs w:val="20"/>
    </w:rPr>
  </w:style>
  <w:style w:type="character" w:customStyle="1" w:styleId="162">
    <w:name w:val="其他 + SimSun"/>
    <w:basedOn w:val="160"/>
    <w:qFormat/>
    <w:uiPriority w:val="0"/>
    <w:rPr>
      <w:rFonts w:ascii="宋体" w:hAnsi="宋体" w:eastAsia="宋体" w:cs="宋体"/>
      <w:color w:val="000000"/>
      <w:spacing w:val="0"/>
      <w:w w:val="100"/>
      <w:position w:val="0"/>
      <w:sz w:val="20"/>
      <w:szCs w:val="20"/>
      <w:u w:val="none"/>
      <w:lang w:val="zh-TW" w:eastAsia="zh-TW" w:bidi="zh-TW"/>
    </w:rPr>
  </w:style>
  <w:style w:type="character" w:customStyle="1" w:styleId="163">
    <w:name w:val="正文文本 (7) + 间距 0 pt1"/>
    <w:basedOn w:val="110"/>
    <w:qFormat/>
    <w:uiPriority w:val="0"/>
    <w:rPr>
      <w:rFonts w:ascii="宋体" w:hAnsi="宋体" w:eastAsia="宋体" w:cs="宋体"/>
      <w:b/>
      <w:bCs/>
      <w:color w:val="000000"/>
      <w:spacing w:val="-10"/>
      <w:w w:val="100"/>
      <w:position w:val="0"/>
      <w:sz w:val="24"/>
      <w:szCs w:val="24"/>
      <w:u w:val="none"/>
      <w:lang w:val="en-US" w:eastAsia="en-US" w:bidi="en-US"/>
    </w:rPr>
  </w:style>
  <w:style w:type="character" w:customStyle="1" w:styleId="164">
    <w:name w:val="正文文本 (8) + 10.5 pt1"/>
    <w:basedOn w:val="121"/>
    <w:qFormat/>
    <w:uiPriority w:val="0"/>
    <w:rPr>
      <w:rFonts w:ascii="宋体" w:hAnsi="宋体" w:eastAsia="宋体" w:cs="宋体"/>
      <w:color w:val="000000"/>
      <w:spacing w:val="0"/>
      <w:w w:val="100"/>
      <w:position w:val="0"/>
      <w:sz w:val="21"/>
      <w:szCs w:val="21"/>
      <w:u w:val="none"/>
      <w:lang w:val="en-US" w:eastAsia="en-US" w:bidi="en-US"/>
    </w:rPr>
  </w:style>
  <w:style w:type="character" w:customStyle="1" w:styleId="165">
    <w:name w:val="正文文本 (8) + Constantia3"/>
    <w:basedOn w:val="121"/>
    <w:qFormat/>
    <w:uiPriority w:val="0"/>
    <w:rPr>
      <w:rFonts w:ascii="Constantia" w:hAnsi="Constantia" w:eastAsia="Constantia" w:cs="Constantia"/>
      <w:smallCaps/>
      <w:color w:val="000000"/>
      <w:spacing w:val="0"/>
      <w:w w:val="100"/>
      <w:position w:val="0"/>
      <w:sz w:val="20"/>
      <w:szCs w:val="20"/>
      <w:u w:val="none"/>
      <w:lang w:val="en-US" w:eastAsia="en-US" w:bidi="en-US"/>
    </w:rPr>
  </w:style>
  <w:style w:type="character" w:customStyle="1" w:styleId="166">
    <w:name w:val="标题 #4 + 13 pt"/>
    <w:basedOn w:val="88"/>
    <w:qFormat/>
    <w:uiPriority w:val="0"/>
    <w:rPr>
      <w:rFonts w:ascii="宋体" w:hAnsi="宋体" w:eastAsia="宋体" w:cs="宋体"/>
      <w:color w:val="000000"/>
      <w:spacing w:val="0"/>
      <w:w w:val="100"/>
      <w:position w:val="0"/>
      <w:sz w:val="26"/>
      <w:szCs w:val="26"/>
      <w:u w:val="none"/>
      <w:lang w:val="en-US" w:eastAsia="en-US" w:bidi="en-US"/>
    </w:rPr>
  </w:style>
  <w:style w:type="character" w:customStyle="1" w:styleId="167">
    <w:name w:val="正文文本 (8) + 10 pt4"/>
    <w:basedOn w:val="121"/>
    <w:qFormat/>
    <w:uiPriority w:val="0"/>
    <w:rPr>
      <w:rFonts w:ascii="宋体" w:hAnsi="宋体" w:eastAsia="宋体" w:cs="宋体"/>
      <w:color w:val="000000"/>
      <w:spacing w:val="450"/>
      <w:w w:val="100"/>
      <w:position w:val="0"/>
      <w:sz w:val="20"/>
      <w:szCs w:val="20"/>
      <w:u w:val="none"/>
      <w:lang w:val="zh-TW" w:eastAsia="zh-TW" w:bidi="zh-TW"/>
    </w:rPr>
  </w:style>
  <w:style w:type="character" w:customStyle="1" w:styleId="168">
    <w:name w:val="正文文本 (8) + 10 pt5"/>
    <w:basedOn w:val="121"/>
    <w:qFormat/>
    <w:uiPriority w:val="0"/>
    <w:rPr>
      <w:rFonts w:ascii="宋体" w:hAnsi="宋体" w:eastAsia="宋体" w:cs="宋体"/>
      <w:color w:val="000000"/>
      <w:spacing w:val="90"/>
      <w:w w:val="100"/>
      <w:position w:val="0"/>
      <w:sz w:val="20"/>
      <w:szCs w:val="20"/>
      <w:u w:val="none"/>
      <w:lang w:val="zh-TW" w:eastAsia="zh-TW" w:bidi="zh-TW"/>
    </w:rPr>
  </w:style>
  <w:style w:type="character" w:customStyle="1" w:styleId="169">
    <w:name w:val="正文文本 (8) + 10 pt6"/>
    <w:basedOn w:val="121"/>
    <w:qFormat/>
    <w:uiPriority w:val="0"/>
    <w:rPr>
      <w:rFonts w:ascii="宋体" w:hAnsi="宋体" w:eastAsia="宋体" w:cs="宋体"/>
      <w:color w:val="000000"/>
      <w:spacing w:val="30"/>
      <w:w w:val="100"/>
      <w:position w:val="0"/>
      <w:sz w:val="20"/>
      <w:szCs w:val="20"/>
      <w:u w:val="none"/>
      <w:lang w:val="zh-TW" w:eastAsia="zh-TW" w:bidi="zh-TW"/>
    </w:rPr>
  </w:style>
  <w:style w:type="character" w:customStyle="1" w:styleId="170">
    <w:name w:val="正文文本 (8) + Constantia4"/>
    <w:basedOn w:val="121"/>
    <w:qFormat/>
    <w:uiPriority w:val="0"/>
    <w:rPr>
      <w:rFonts w:ascii="Constantia" w:hAnsi="Constantia" w:eastAsia="Constantia" w:cs="Constantia"/>
      <w:color w:val="000000"/>
      <w:spacing w:val="10"/>
      <w:w w:val="100"/>
      <w:position w:val="0"/>
      <w:sz w:val="20"/>
      <w:szCs w:val="20"/>
      <w:u w:val="none"/>
      <w:lang w:val="en-US" w:eastAsia="en-US" w:bidi="en-US"/>
    </w:rPr>
  </w:style>
  <w:style w:type="character" w:customStyle="1" w:styleId="171">
    <w:name w:val="正文文本 (6) + Constantia3"/>
    <w:basedOn w:val="91"/>
    <w:qFormat/>
    <w:uiPriority w:val="0"/>
    <w:rPr>
      <w:rFonts w:ascii="Constantia" w:hAnsi="Constantia" w:eastAsia="Constantia" w:cs="Constantia"/>
      <w:color w:val="000000"/>
      <w:spacing w:val="10"/>
      <w:w w:val="100"/>
      <w:position w:val="0"/>
      <w:sz w:val="20"/>
      <w:szCs w:val="20"/>
      <w:u w:val="none"/>
      <w:lang w:val="en-US" w:eastAsia="en-US" w:bidi="en-US"/>
    </w:rPr>
  </w:style>
  <w:style w:type="character" w:customStyle="1" w:styleId="172">
    <w:name w:val="正文文本 (8) + 10 pt7"/>
    <w:basedOn w:val="121"/>
    <w:qFormat/>
    <w:uiPriority w:val="0"/>
    <w:rPr>
      <w:rFonts w:ascii="宋体" w:hAnsi="宋体" w:eastAsia="宋体" w:cs="宋体"/>
      <w:color w:val="000000"/>
      <w:spacing w:val="40"/>
      <w:w w:val="100"/>
      <w:position w:val="0"/>
      <w:sz w:val="20"/>
      <w:szCs w:val="20"/>
      <w:u w:val="none"/>
      <w:lang w:val="zh-TW" w:eastAsia="zh-TW" w:bidi="zh-TW"/>
    </w:rPr>
  </w:style>
  <w:style w:type="character" w:customStyle="1" w:styleId="173">
    <w:name w:val="正文文本 (8) + 10 pt8"/>
    <w:basedOn w:val="121"/>
    <w:qFormat/>
    <w:uiPriority w:val="0"/>
    <w:rPr>
      <w:rFonts w:ascii="宋体" w:hAnsi="宋体" w:eastAsia="宋体" w:cs="宋体"/>
      <w:color w:val="000000"/>
      <w:spacing w:val="100"/>
      <w:w w:val="100"/>
      <w:position w:val="0"/>
      <w:sz w:val="20"/>
      <w:szCs w:val="20"/>
      <w:u w:val="none"/>
      <w:lang w:val="zh-TW" w:eastAsia="zh-TW" w:bidi="zh-TW"/>
    </w:rPr>
  </w:style>
  <w:style w:type="character" w:customStyle="1" w:styleId="174">
    <w:name w:val="表格标题 (3) + 13 pt"/>
    <w:basedOn w:val="103"/>
    <w:qFormat/>
    <w:uiPriority w:val="0"/>
    <w:rPr>
      <w:rFonts w:ascii="宋体" w:hAnsi="宋体" w:eastAsia="宋体" w:cs="宋体"/>
      <w:color w:val="000000"/>
      <w:spacing w:val="0"/>
      <w:w w:val="100"/>
      <w:position w:val="0"/>
      <w:sz w:val="26"/>
      <w:szCs w:val="26"/>
      <w:u w:val="none"/>
      <w:lang w:val="en-US" w:eastAsia="en-US" w:bidi="en-US"/>
    </w:rPr>
  </w:style>
  <w:style w:type="character" w:customStyle="1" w:styleId="175">
    <w:name w:val="图片标题_"/>
    <w:basedOn w:val="47"/>
    <w:link w:val="176"/>
    <w:qFormat/>
    <w:uiPriority w:val="0"/>
    <w:rPr>
      <w:rFonts w:ascii="宋体" w:hAnsi="宋体" w:eastAsia="宋体" w:cs="宋体"/>
      <w:spacing w:val="-10"/>
      <w:u w:val="none"/>
    </w:rPr>
  </w:style>
  <w:style w:type="paragraph" w:customStyle="1" w:styleId="176">
    <w:name w:val="图片标题"/>
    <w:basedOn w:val="1"/>
    <w:link w:val="175"/>
    <w:qFormat/>
    <w:uiPriority w:val="0"/>
    <w:pPr>
      <w:shd w:val="clear" w:color="auto" w:fill="FFFFFF"/>
      <w:spacing w:line="0" w:lineRule="atLeast"/>
      <w:jc w:val="distribute"/>
    </w:pPr>
    <w:rPr>
      <w:rFonts w:ascii="宋体" w:hAnsi="宋体" w:eastAsia="宋体" w:cs="宋体"/>
      <w:spacing w:val="-10"/>
    </w:rPr>
  </w:style>
  <w:style w:type="character" w:customStyle="1" w:styleId="177">
    <w:name w:val="正文文本 (8) + Constantia5"/>
    <w:basedOn w:val="121"/>
    <w:qFormat/>
    <w:uiPriority w:val="0"/>
    <w:rPr>
      <w:rFonts w:ascii="Constantia" w:hAnsi="Constantia" w:eastAsia="Constantia" w:cs="Constantia"/>
      <w:smallCaps/>
      <w:color w:val="000000"/>
      <w:spacing w:val="10"/>
      <w:w w:val="100"/>
      <w:position w:val="0"/>
      <w:sz w:val="20"/>
      <w:szCs w:val="20"/>
      <w:u w:val="none"/>
      <w:lang w:val="en-US" w:eastAsia="en-US" w:bidi="en-US"/>
    </w:rPr>
  </w:style>
  <w:style w:type="character" w:customStyle="1" w:styleId="178">
    <w:name w:val="正文文本 (8) + 间距 -2 pt"/>
    <w:basedOn w:val="121"/>
    <w:qFormat/>
    <w:uiPriority w:val="0"/>
    <w:rPr>
      <w:rFonts w:ascii="宋体" w:hAnsi="宋体" w:eastAsia="宋体" w:cs="宋体"/>
      <w:color w:val="000000"/>
      <w:spacing w:val="-50"/>
      <w:w w:val="100"/>
      <w:position w:val="0"/>
      <w:sz w:val="28"/>
      <w:szCs w:val="28"/>
      <w:u w:val="none"/>
      <w:lang w:val="en-US" w:eastAsia="en-US" w:bidi="en-US"/>
    </w:rPr>
  </w:style>
  <w:style w:type="character" w:customStyle="1" w:styleId="179">
    <w:name w:val="正文文本 (8) + 13 pt2"/>
    <w:basedOn w:val="121"/>
    <w:qFormat/>
    <w:uiPriority w:val="0"/>
    <w:rPr>
      <w:rFonts w:ascii="宋体" w:hAnsi="宋体" w:eastAsia="宋体" w:cs="宋体"/>
      <w:smallCaps/>
      <w:color w:val="000000"/>
      <w:spacing w:val="0"/>
      <w:w w:val="100"/>
      <w:position w:val="0"/>
      <w:sz w:val="26"/>
      <w:szCs w:val="26"/>
      <w:u w:val="none"/>
      <w:lang w:val="en-US" w:eastAsia="en-US" w:bidi="en-US"/>
    </w:rPr>
  </w:style>
  <w:style w:type="character" w:customStyle="1" w:styleId="180">
    <w:name w:val="正文文本 (10)_"/>
    <w:basedOn w:val="47"/>
    <w:link w:val="181"/>
    <w:qFormat/>
    <w:uiPriority w:val="0"/>
    <w:rPr>
      <w:rFonts w:ascii="宋体" w:hAnsi="宋体" w:eastAsia="宋体" w:cs="宋体"/>
      <w:w w:val="100"/>
      <w:sz w:val="26"/>
      <w:szCs w:val="26"/>
      <w:u w:val="none"/>
      <w:lang w:val="en-US" w:eastAsia="en-US" w:bidi="en-US"/>
    </w:rPr>
  </w:style>
  <w:style w:type="paragraph" w:customStyle="1" w:styleId="181">
    <w:name w:val="正文文本 (10)"/>
    <w:basedOn w:val="1"/>
    <w:link w:val="180"/>
    <w:qFormat/>
    <w:uiPriority w:val="0"/>
    <w:pPr>
      <w:shd w:val="clear" w:color="auto" w:fill="FFFFFF"/>
      <w:spacing w:line="600" w:lineRule="exact"/>
      <w:ind w:hanging="620"/>
      <w:jc w:val="both"/>
    </w:pPr>
    <w:rPr>
      <w:rFonts w:ascii="宋体" w:hAnsi="宋体" w:eastAsia="宋体" w:cs="宋体"/>
      <w:sz w:val="26"/>
      <w:szCs w:val="26"/>
      <w:lang w:val="en-US" w:eastAsia="en-US" w:bidi="en-US"/>
    </w:rPr>
  </w:style>
  <w:style w:type="character" w:customStyle="1" w:styleId="182">
    <w:name w:val="正文文本 (10) + 14 pt"/>
    <w:basedOn w:val="180"/>
    <w:qFormat/>
    <w:uiPriority w:val="0"/>
    <w:rPr>
      <w:rFonts w:ascii="宋体" w:hAnsi="宋体" w:eastAsia="宋体" w:cs="宋体"/>
      <w:b/>
      <w:bCs/>
      <w:color w:val="000000"/>
      <w:spacing w:val="-50"/>
      <w:w w:val="100"/>
      <w:position w:val="0"/>
      <w:sz w:val="28"/>
      <w:szCs w:val="28"/>
      <w:u w:val="none"/>
      <w:lang w:val="en-US" w:eastAsia="en-US" w:bidi="en-US"/>
    </w:rPr>
  </w:style>
  <w:style w:type="character" w:customStyle="1" w:styleId="183">
    <w:name w:val="正文文本 (10) + 14 pt1"/>
    <w:basedOn w:val="180"/>
    <w:qFormat/>
    <w:uiPriority w:val="0"/>
    <w:rPr>
      <w:rFonts w:ascii="宋体" w:hAnsi="宋体" w:eastAsia="宋体" w:cs="宋体"/>
      <w:b/>
      <w:bCs/>
      <w:color w:val="000000"/>
      <w:spacing w:val="0"/>
      <w:w w:val="100"/>
      <w:position w:val="0"/>
      <w:sz w:val="28"/>
      <w:szCs w:val="28"/>
      <w:u w:val="none"/>
      <w:lang w:val="en-US" w:eastAsia="en-US" w:bidi="en-US"/>
    </w:rPr>
  </w:style>
  <w:style w:type="character" w:customStyle="1" w:styleId="184">
    <w:name w:val="目录 (3)_"/>
    <w:basedOn w:val="47"/>
    <w:link w:val="185"/>
    <w:qFormat/>
    <w:uiPriority w:val="0"/>
    <w:rPr>
      <w:rFonts w:ascii="宋体" w:hAnsi="宋体" w:eastAsia="宋体" w:cs="宋体"/>
      <w:w w:val="100"/>
      <w:sz w:val="26"/>
      <w:szCs w:val="26"/>
      <w:u w:val="none"/>
      <w:lang w:val="en-US" w:eastAsia="en-US" w:bidi="en-US"/>
    </w:rPr>
  </w:style>
  <w:style w:type="paragraph" w:customStyle="1" w:styleId="185">
    <w:name w:val="目录 (3)"/>
    <w:basedOn w:val="1"/>
    <w:link w:val="184"/>
    <w:qFormat/>
    <w:uiPriority w:val="0"/>
    <w:pPr>
      <w:shd w:val="clear" w:color="auto" w:fill="FFFFFF"/>
      <w:spacing w:line="600" w:lineRule="exact"/>
      <w:jc w:val="both"/>
    </w:pPr>
    <w:rPr>
      <w:rFonts w:ascii="宋体" w:hAnsi="宋体" w:eastAsia="宋体" w:cs="宋体"/>
      <w:sz w:val="26"/>
      <w:szCs w:val="26"/>
      <w:lang w:val="en-US" w:eastAsia="en-US" w:bidi="en-US"/>
    </w:rPr>
  </w:style>
  <w:style w:type="character" w:customStyle="1" w:styleId="186">
    <w:name w:val="目录 (3) + 14 pt"/>
    <w:basedOn w:val="184"/>
    <w:qFormat/>
    <w:uiPriority w:val="0"/>
    <w:rPr>
      <w:rFonts w:ascii="宋体" w:hAnsi="宋体" w:eastAsia="宋体" w:cs="宋体"/>
      <w:b/>
      <w:bCs/>
      <w:color w:val="000000"/>
      <w:spacing w:val="0"/>
      <w:w w:val="100"/>
      <w:position w:val="0"/>
      <w:sz w:val="28"/>
      <w:szCs w:val="28"/>
      <w:u w:val="none"/>
      <w:lang w:val="en-US" w:eastAsia="en-US" w:bidi="en-US"/>
    </w:rPr>
  </w:style>
  <w:style w:type="character" w:customStyle="1" w:styleId="187">
    <w:name w:val="目录 (4)_"/>
    <w:basedOn w:val="47"/>
    <w:link w:val="188"/>
    <w:qFormat/>
    <w:uiPriority w:val="0"/>
    <w:rPr>
      <w:rFonts w:ascii="Lucida Sans Unicode" w:hAnsi="Lucida Sans Unicode" w:eastAsia="Lucida Sans Unicode" w:cs="Lucida Sans Unicode"/>
      <w:spacing w:val="60"/>
      <w:sz w:val="15"/>
      <w:szCs w:val="15"/>
      <w:u w:val="none"/>
      <w:lang w:val="en-US" w:eastAsia="en-US" w:bidi="en-US"/>
    </w:rPr>
  </w:style>
  <w:style w:type="paragraph" w:customStyle="1" w:styleId="188">
    <w:name w:val="目录 (4)"/>
    <w:basedOn w:val="1"/>
    <w:link w:val="187"/>
    <w:qFormat/>
    <w:uiPriority w:val="0"/>
    <w:pPr>
      <w:shd w:val="clear" w:color="auto" w:fill="FFFFFF"/>
      <w:spacing w:line="0" w:lineRule="atLeast"/>
      <w:jc w:val="both"/>
    </w:pPr>
    <w:rPr>
      <w:rFonts w:ascii="Lucida Sans Unicode" w:hAnsi="Lucida Sans Unicode" w:eastAsia="Lucida Sans Unicode" w:cs="Lucida Sans Unicode"/>
      <w:spacing w:val="60"/>
      <w:sz w:val="15"/>
      <w:szCs w:val="15"/>
      <w:lang w:val="en-US" w:eastAsia="en-US" w:bidi="en-US"/>
    </w:rPr>
  </w:style>
  <w:style w:type="character" w:customStyle="1" w:styleId="189">
    <w:name w:val="目录 (4) + 斜体"/>
    <w:basedOn w:val="187"/>
    <w:qFormat/>
    <w:uiPriority w:val="0"/>
    <w:rPr>
      <w:rFonts w:ascii="Lucida Sans Unicode" w:hAnsi="Lucida Sans Unicode" w:eastAsia="Lucida Sans Unicode" w:cs="Lucida Sans Unicode"/>
      <w:i/>
      <w:iCs/>
      <w:color w:val="000000"/>
      <w:spacing w:val="70"/>
      <w:w w:val="100"/>
      <w:position w:val="0"/>
      <w:sz w:val="15"/>
      <w:szCs w:val="15"/>
      <w:u w:val="none"/>
      <w:lang w:val="en-US" w:eastAsia="en-US" w:bidi="en-US"/>
    </w:rPr>
  </w:style>
  <w:style w:type="character" w:customStyle="1" w:styleId="190">
    <w:name w:val="目录 (4) + 间距 4 pt"/>
    <w:basedOn w:val="187"/>
    <w:qFormat/>
    <w:uiPriority w:val="0"/>
    <w:rPr>
      <w:rFonts w:ascii="Lucida Sans Unicode" w:hAnsi="Lucida Sans Unicode" w:eastAsia="Lucida Sans Unicode" w:cs="Lucida Sans Unicode"/>
      <w:color w:val="000000"/>
      <w:spacing w:val="80"/>
      <w:w w:val="100"/>
      <w:position w:val="0"/>
      <w:sz w:val="15"/>
      <w:szCs w:val="15"/>
      <w:u w:val="none"/>
      <w:lang w:val="en-US" w:eastAsia="en-US" w:bidi="en-US"/>
    </w:rPr>
  </w:style>
  <w:style w:type="character" w:customStyle="1" w:styleId="191">
    <w:name w:val="目录 (4) + Arial Narrow"/>
    <w:basedOn w:val="187"/>
    <w:qFormat/>
    <w:uiPriority w:val="0"/>
    <w:rPr>
      <w:rFonts w:ascii="Arial Narrow" w:hAnsi="Arial Narrow" w:eastAsia="Arial Narrow" w:cs="Arial Narrow"/>
      <w:color w:val="000000"/>
      <w:spacing w:val="0"/>
      <w:w w:val="100"/>
      <w:position w:val="0"/>
      <w:sz w:val="10"/>
      <w:szCs w:val="10"/>
      <w:u w:val="none"/>
      <w:lang w:val="en-US" w:eastAsia="en-US" w:bidi="en-US"/>
    </w:rPr>
  </w:style>
  <w:style w:type="character" w:customStyle="1" w:styleId="192">
    <w:name w:val="目录 + 13 pt"/>
    <w:basedOn w:val="82"/>
    <w:qFormat/>
    <w:uiPriority w:val="0"/>
    <w:rPr>
      <w:rFonts w:ascii="宋体" w:hAnsi="宋体" w:eastAsia="宋体" w:cs="宋体"/>
      <w:color w:val="000000"/>
      <w:spacing w:val="0"/>
      <w:w w:val="100"/>
      <w:position w:val="0"/>
      <w:sz w:val="26"/>
      <w:szCs w:val="26"/>
      <w:u w:val="none"/>
      <w:lang w:val="en-US" w:eastAsia="en-US" w:bidi="en-US"/>
    </w:rPr>
  </w:style>
  <w:style w:type="character" w:customStyle="1" w:styleId="193">
    <w:name w:val="目录 (5)_"/>
    <w:basedOn w:val="47"/>
    <w:link w:val="194"/>
    <w:qFormat/>
    <w:uiPriority w:val="0"/>
    <w:rPr>
      <w:rFonts w:ascii="Lucida Sans Unicode" w:hAnsi="Lucida Sans Unicode" w:eastAsia="Lucida Sans Unicode" w:cs="Lucida Sans Unicode"/>
      <w:sz w:val="15"/>
      <w:szCs w:val="15"/>
      <w:u w:val="none"/>
      <w:lang w:val="en-US" w:eastAsia="en-US" w:bidi="en-US"/>
    </w:rPr>
  </w:style>
  <w:style w:type="paragraph" w:customStyle="1" w:styleId="194">
    <w:name w:val="目录 (5)"/>
    <w:basedOn w:val="1"/>
    <w:link w:val="193"/>
    <w:qFormat/>
    <w:uiPriority w:val="0"/>
    <w:pPr>
      <w:shd w:val="clear" w:color="auto" w:fill="FFFFFF"/>
      <w:spacing w:line="0" w:lineRule="atLeast"/>
      <w:jc w:val="both"/>
    </w:pPr>
    <w:rPr>
      <w:rFonts w:ascii="Lucida Sans Unicode" w:hAnsi="Lucida Sans Unicode" w:eastAsia="Lucida Sans Unicode" w:cs="Lucida Sans Unicode"/>
      <w:sz w:val="15"/>
      <w:szCs w:val="15"/>
      <w:lang w:val="en-US" w:eastAsia="en-US" w:bidi="en-US"/>
    </w:rPr>
  </w:style>
  <w:style w:type="character" w:customStyle="1" w:styleId="195">
    <w:name w:val="目录 (5) + SimSun"/>
    <w:basedOn w:val="193"/>
    <w:qFormat/>
    <w:uiPriority w:val="0"/>
    <w:rPr>
      <w:rFonts w:ascii="宋体" w:hAnsi="宋体" w:eastAsia="宋体" w:cs="宋体"/>
      <w:b/>
      <w:bCs/>
      <w:color w:val="000000"/>
      <w:spacing w:val="0"/>
      <w:w w:val="100"/>
      <w:position w:val="0"/>
      <w:sz w:val="26"/>
      <w:szCs w:val="26"/>
      <w:u w:val="none"/>
      <w:lang w:val="en-US" w:eastAsia="en-US" w:bidi="en-US"/>
    </w:rPr>
  </w:style>
  <w:style w:type="character" w:customStyle="1" w:styleId="196">
    <w:name w:val="目录 (5) + SimSun1"/>
    <w:basedOn w:val="193"/>
    <w:qFormat/>
    <w:uiPriority w:val="0"/>
    <w:rPr>
      <w:rFonts w:ascii="宋体" w:hAnsi="宋体" w:eastAsia="宋体" w:cs="宋体"/>
      <w:b/>
      <w:bCs/>
      <w:color w:val="000000"/>
      <w:spacing w:val="0"/>
      <w:w w:val="100"/>
      <w:position w:val="0"/>
      <w:sz w:val="28"/>
      <w:szCs w:val="28"/>
      <w:u w:val="none"/>
      <w:lang w:val="en-US" w:eastAsia="en-US" w:bidi="en-US"/>
    </w:rPr>
  </w:style>
  <w:style w:type="character" w:customStyle="1" w:styleId="197">
    <w:name w:val="目录 (5) + Arial Narrow"/>
    <w:basedOn w:val="193"/>
    <w:qFormat/>
    <w:uiPriority w:val="0"/>
    <w:rPr>
      <w:rFonts w:ascii="Arial Narrow" w:hAnsi="Arial Narrow" w:eastAsia="Arial Narrow" w:cs="Arial Narrow"/>
      <w:color w:val="000000"/>
      <w:spacing w:val="0"/>
      <w:w w:val="100"/>
      <w:position w:val="0"/>
      <w:sz w:val="10"/>
      <w:szCs w:val="10"/>
      <w:u w:val="none"/>
      <w:lang w:val="en-US" w:eastAsia="en-US" w:bidi="en-US"/>
    </w:rPr>
  </w:style>
  <w:style w:type="character" w:customStyle="1" w:styleId="198">
    <w:name w:val="目录 + Garamond"/>
    <w:basedOn w:val="82"/>
    <w:qFormat/>
    <w:uiPriority w:val="0"/>
    <w:rPr>
      <w:rFonts w:ascii="Garamond" w:hAnsi="Garamond" w:eastAsia="Garamond" w:cs="Garamond"/>
      <w:i/>
      <w:iCs/>
      <w:color w:val="000000"/>
      <w:spacing w:val="-20"/>
      <w:w w:val="100"/>
      <w:position w:val="0"/>
      <w:sz w:val="14"/>
      <w:szCs w:val="14"/>
      <w:u w:val="none"/>
      <w:lang w:val="en-US" w:eastAsia="en-US" w:bidi="en-US"/>
    </w:rPr>
  </w:style>
  <w:style w:type="character" w:customStyle="1" w:styleId="199">
    <w:name w:val="目录 + Garamond1"/>
    <w:basedOn w:val="82"/>
    <w:qFormat/>
    <w:uiPriority w:val="0"/>
    <w:rPr>
      <w:rFonts w:ascii="Garamond" w:hAnsi="Garamond" w:eastAsia="Garamond" w:cs="Garamond"/>
      <w:i/>
      <w:iCs/>
      <w:color w:val="000000"/>
      <w:spacing w:val="40"/>
      <w:w w:val="100"/>
      <w:position w:val="0"/>
      <w:sz w:val="14"/>
      <w:szCs w:val="14"/>
      <w:u w:val="none"/>
      <w:lang w:val="en-US" w:eastAsia="en-US" w:bidi="en-US"/>
    </w:rPr>
  </w:style>
  <w:style w:type="character" w:customStyle="1" w:styleId="200">
    <w:name w:val="目录 + Lucida Sans Unicode"/>
    <w:basedOn w:val="82"/>
    <w:qFormat/>
    <w:uiPriority w:val="0"/>
    <w:rPr>
      <w:rFonts w:ascii="Lucida Sans Unicode" w:hAnsi="Lucida Sans Unicode" w:eastAsia="Lucida Sans Unicode" w:cs="Lucida Sans Unicode"/>
      <w:i/>
      <w:iCs/>
      <w:color w:val="000000"/>
      <w:spacing w:val="0"/>
      <w:w w:val="100"/>
      <w:position w:val="0"/>
      <w:sz w:val="12"/>
      <w:szCs w:val="12"/>
      <w:u w:val="none"/>
      <w:lang w:val="en-US" w:eastAsia="en-US" w:bidi="en-US"/>
    </w:rPr>
  </w:style>
  <w:style w:type="character" w:customStyle="1" w:styleId="201">
    <w:name w:val="目录 + 间距 -2 pt"/>
    <w:basedOn w:val="82"/>
    <w:qFormat/>
    <w:uiPriority w:val="0"/>
    <w:rPr>
      <w:rFonts w:ascii="宋体" w:hAnsi="宋体" w:eastAsia="宋体" w:cs="宋体"/>
      <w:color w:val="000000"/>
      <w:spacing w:val="-50"/>
      <w:w w:val="100"/>
      <w:position w:val="0"/>
      <w:sz w:val="28"/>
      <w:szCs w:val="28"/>
      <w:u w:val="none"/>
      <w:lang w:val="en-US" w:eastAsia="en-US" w:bidi="en-US"/>
    </w:rPr>
  </w:style>
  <w:style w:type="character" w:customStyle="1" w:styleId="202">
    <w:name w:val="目录 (6)_"/>
    <w:basedOn w:val="47"/>
    <w:link w:val="203"/>
    <w:qFormat/>
    <w:uiPriority w:val="0"/>
    <w:rPr>
      <w:rFonts w:ascii="宋体" w:hAnsi="宋体" w:eastAsia="宋体" w:cs="宋体"/>
      <w:sz w:val="8"/>
      <w:szCs w:val="8"/>
      <w:u w:val="none"/>
      <w:lang w:val="en-US" w:eastAsia="en-US" w:bidi="en-US"/>
    </w:rPr>
  </w:style>
  <w:style w:type="paragraph" w:customStyle="1" w:styleId="203">
    <w:name w:val="目录 (6)"/>
    <w:basedOn w:val="1"/>
    <w:link w:val="202"/>
    <w:qFormat/>
    <w:uiPriority w:val="0"/>
    <w:pPr>
      <w:shd w:val="clear" w:color="auto" w:fill="FFFFFF"/>
      <w:spacing w:before="300" w:line="0" w:lineRule="atLeast"/>
      <w:jc w:val="both"/>
    </w:pPr>
    <w:rPr>
      <w:rFonts w:ascii="宋体" w:hAnsi="宋体" w:eastAsia="宋体" w:cs="宋体"/>
      <w:sz w:val="8"/>
      <w:szCs w:val="8"/>
      <w:lang w:val="en-US" w:eastAsia="en-US" w:bidi="en-US"/>
    </w:rPr>
  </w:style>
  <w:style w:type="character" w:customStyle="1" w:styleId="204">
    <w:name w:val="目录 (6) + Arial Narrow"/>
    <w:basedOn w:val="202"/>
    <w:qFormat/>
    <w:uiPriority w:val="0"/>
    <w:rPr>
      <w:rFonts w:ascii="Arial Narrow" w:hAnsi="Arial Narrow" w:eastAsia="Arial Narrow" w:cs="Arial Narrow"/>
      <w:color w:val="000000"/>
      <w:spacing w:val="0"/>
      <w:w w:val="100"/>
      <w:position w:val="0"/>
      <w:sz w:val="20"/>
      <w:szCs w:val="20"/>
      <w:u w:val="none"/>
      <w:lang w:val="en-US" w:eastAsia="en-US" w:bidi="en-US"/>
    </w:rPr>
  </w:style>
  <w:style w:type="character" w:customStyle="1" w:styleId="205">
    <w:name w:val="目录 (6) + Constantia"/>
    <w:basedOn w:val="202"/>
    <w:qFormat/>
    <w:uiPriority w:val="0"/>
    <w:rPr>
      <w:rFonts w:ascii="Constantia" w:hAnsi="Constantia" w:eastAsia="Constantia" w:cs="Constantia"/>
      <w:color w:val="000000"/>
      <w:spacing w:val="0"/>
      <w:w w:val="100"/>
      <w:position w:val="0"/>
      <w:sz w:val="20"/>
      <w:szCs w:val="20"/>
      <w:u w:val="none"/>
      <w:lang w:val="en-US" w:eastAsia="en-US" w:bidi="en-US"/>
    </w:rPr>
  </w:style>
  <w:style w:type="character" w:customStyle="1" w:styleId="206">
    <w:name w:val="目录 (7)_"/>
    <w:basedOn w:val="47"/>
    <w:link w:val="207"/>
    <w:qFormat/>
    <w:uiPriority w:val="0"/>
    <w:rPr>
      <w:rFonts w:ascii="宋体" w:hAnsi="宋体" w:eastAsia="宋体" w:cs="宋体"/>
      <w:sz w:val="20"/>
      <w:szCs w:val="20"/>
      <w:u w:val="none"/>
      <w:lang w:val="en-US" w:eastAsia="en-US" w:bidi="en-US"/>
    </w:rPr>
  </w:style>
  <w:style w:type="paragraph" w:customStyle="1" w:styleId="207">
    <w:name w:val="目录 (7)"/>
    <w:basedOn w:val="1"/>
    <w:link w:val="206"/>
    <w:qFormat/>
    <w:uiPriority w:val="0"/>
    <w:pPr>
      <w:shd w:val="clear" w:color="auto" w:fill="FFFFFF"/>
      <w:spacing w:before="300" w:line="0" w:lineRule="atLeast"/>
      <w:jc w:val="both"/>
    </w:pPr>
    <w:rPr>
      <w:rFonts w:ascii="宋体" w:hAnsi="宋体" w:eastAsia="宋体" w:cs="宋体"/>
      <w:sz w:val="20"/>
      <w:szCs w:val="20"/>
      <w:lang w:val="en-US" w:eastAsia="en-US" w:bidi="en-US"/>
    </w:rPr>
  </w:style>
  <w:style w:type="character" w:customStyle="1" w:styleId="208">
    <w:name w:val="目录 (7) + Constantia"/>
    <w:basedOn w:val="206"/>
    <w:qFormat/>
    <w:uiPriority w:val="0"/>
    <w:rPr>
      <w:rFonts w:ascii="Constantia" w:hAnsi="Constantia" w:eastAsia="Constantia" w:cs="Constantia"/>
      <w:color w:val="000000"/>
      <w:spacing w:val="10"/>
      <w:w w:val="100"/>
      <w:position w:val="0"/>
      <w:sz w:val="20"/>
      <w:szCs w:val="20"/>
      <w:u w:val="none"/>
      <w:lang w:val="en-US" w:eastAsia="en-US" w:bidi="en-US"/>
    </w:rPr>
  </w:style>
  <w:style w:type="character" w:customStyle="1" w:styleId="209">
    <w:name w:val="目录 (7) + Constantia1"/>
    <w:basedOn w:val="206"/>
    <w:qFormat/>
    <w:uiPriority w:val="0"/>
    <w:rPr>
      <w:rFonts w:ascii="Constantia" w:hAnsi="Constantia" w:eastAsia="Constantia" w:cs="Constantia"/>
      <w:smallCaps/>
      <w:color w:val="000000"/>
      <w:spacing w:val="10"/>
      <w:w w:val="100"/>
      <w:position w:val="0"/>
      <w:sz w:val="20"/>
      <w:szCs w:val="20"/>
      <w:u w:val="none"/>
      <w:lang w:val="en-US" w:eastAsia="en-US" w:bidi="en-US"/>
    </w:rPr>
  </w:style>
  <w:style w:type="character" w:customStyle="1" w:styleId="210">
    <w:name w:val="目录 (8)_"/>
    <w:basedOn w:val="47"/>
    <w:link w:val="211"/>
    <w:qFormat/>
    <w:uiPriority w:val="0"/>
    <w:rPr>
      <w:rFonts w:ascii="宋体" w:hAnsi="宋体" w:eastAsia="宋体" w:cs="宋体"/>
      <w:sz w:val="18"/>
      <w:szCs w:val="18"/>
      <w:u w:val="none"/>
      <w:lang w:val="en-US" w:eastAsia="en-US" w:bidi="en-US"/>
    </w:rPr>
  </w:style>
  <w:style w:type="paragraph" w:customStyle="1" w:styleId="211">
    <w:name w:val="目录 (8)"/>
    <w:basedOn w:val="1"/>
    <w:link w:val="210"/>
    <w:qFormat/>
    <w:uiPriority w:val="0"/>
    <w:pPr>
      <w:shd w:val="clear" w:color="auto" w:fill="FFFFFF"/>
      <w:spacing w:before="300" w:line="0" w:lineRule="atLeast"/>
      <w:jc w:val="both"/>
    </w:pPr>
    <w:rPr>
      <w:rFonts w:ascii="宋体" w:hAnsi="宋体" w:eastAsia="宋体" w:cs="宋体"/>
      <w:sz w:val="18"/>
      <w:szCs w:val="18"/>
      <w:lang w:val="en-US" w:eastAsia="en-US" w:bidi="en-US"/>
    </w:rPr>
  </w:style>
  <w:style w:type="character" w:customStyle="1" w:styleId="212">
    <w:name w:val="目录 (8) + Arial Narrow"/>
    <w:basedOn w:val="210"/>
    <w:qFormat/>
    <w:uiPriority w:val="0"/>
    <w:rPr>
      <w:rFonts w:ascii="Arial Narrow" w:hAnsi="Arial Narrow" w:eastAsia="Arial Narrow" w:cs="Arial Narrow"/>
      <w:color w:val="000000"/>
      <w:spacing w:val="0"/>
      <w:w w:val="100"/>
      <w:position w:val="0"/>
      <w:sz w:val="20"/>
      <w:szCs w:val="20"/>
      <w:u w:val="none"/>
      <w:lang w:val="en-US" w:eastAsia="en-US" w:bidi="en-US"/>
    </w:rPr>
  </w:style>
  <w:style w:type="character" w:customStyle="1" w:styleId="213">
    <w:name w:val="目录 (8) + Constantia"/>
    <w:basedOn w:val="210"/>
    <w:qFormat/>
    <w:uiPriority w:val="0"/>
    <w:rPr>
      <w:rFonts w:ascii="Constantia" w:hAnsi="Constantia" w:eastAsia="Constantia" w:cs="Constantia"/>
      <w:color w:val="000000"/>
      <w:spacing w:val="0"/>
      <w:w w:val="100"/>
      <w:position w:val="0"/>
      <w:sz w:val="20"/>
      <w:szCs w:val="20"/>
      <w:u w:val="none"/>
      <w:lang w:val="en-US" w:eastAsia="en-US" w:bidi="en-US"/>
    </w:rPr>
  </w:style>
  <w:style w:type="character" w:customStyle="1" w:styleId="214">
    <w:name w:val="目录 (9)_"/>
    <w:basedOn w:val="47"/>
    <w:link w:val="215"/>
    <w:qFormat/>
    <w:uiPriority w:val="0"/>
    <w:rPr>
      <w:rFonts w:ascii="Constantia" w:hAnsi="Constantia" w:eastAsia="Constantia" w:cs="Constantia"/>
      <w:sz w:val="16"/>
      <w:szCs w:val="16"/>
      <w:u w:val="none"/>
      <w:lang w:val="en-US" w:eastAsia="en-US" w:bidi="en-US"/>
    </w:rPr>
  </w:style>
  <w:style w:type="paragraph" w:customStyle="1" w:styleId="215">
    <w:name w:val="目录 (9)"/>
    <w:basedOn w:val="1"/>
    <w:link w:val="214"/>
    <w:qFormat/>
    <w:uiPriority w:val="0"/>
    <w:pPr>
      <w:shd w:val="clear" w:color="auto" w:fill="FFFFFF"/>
      <w:spacing w:before="300" w:line="0" w:lineRule="atLeast"/>
      <w:jc w:val="both"/>
    </w:pPr>
    <w:rPr>
      <w:rFonts w:ascii="Constantia" w:hAnsi="Constantia" w:eastAsia="Constantia" w:cs="Constantia"/>
      <w:sz w:val="16"/>
      <w:szCs w:val="16"/>
      <w:lang w:val="en-US" w:eastAsia="en-US" w:bidi="en-US"/>
    </w:rPr>
  </w:style>
  <w:style w:type="character" w:customStyle="1" w:styleId="216">
    <w:name w:val="目录 (9) + Arial Narrow"/>
    <w:basedOn w:val="214"/>
    <w:qFormat/>
    <w:uiPriority w:val="0"/>
    <w:rPr>
      <w:rFonts w:ascii="Arial Narrow" w:hAnsi="Arial Narrow" w:eastAsia="Arial Narrow" w:cs="Arial Narrow"/>
      <w:b/>
      <w:bCs/>
      <w:color w:val="000000"/>
      <w:spacing w:val="0"/>
      <w:w w:val="100"/>
      <w:position w:val="0"/>
      <w:sz w:val="10"/>
      <w:szCs w:val="10"/>
      <w:u w:val="none"/>
      <w:lang w:val="en-US" w:eastAsia="en-US" w:bidi="en-US"/>
    </w:rPr>
  </w:style>
  <w:style w:type="character" w:customStyle="1" w:styleId="217">
    <w:name w:val="目录 (9) + 小型大写"/>
    <w:basedOn w:val="214"/>
    <w:qFormat/>
    <w:uiPriority w:val="0"/>
    <w:rPr>
      <w:rFonts w:ascii="Constantia" w:hAnsi="Constantia" w:eastAsia="Constantia" w:cs="Constantia"/>
      <w:smallCaps/>
      <w:color w:val="000000"/>
      <w:spacing w:val="0"/>
      <w:w w:val="100"/>
      <w:position w:val="0"/>
      <w:sz w:val="16"/>
      <w:szCs w:val="16"/>
      <w:u w:val="none"/>
      <w:lang w:val="en-US" w:eastAsia="en-US" w:bidi="en-US"/>
    </w:rPr>
  </w:style>
  <w:style w:type="character" w:customStyle="1" w:styleId="218">
    <w:name w:val="目录 + 13 pt1"/>
    <w:basedOn w:val="82"/>
    <w:qFormat/>
    <w:uiPriority w:val="0"/>
    <w:rPr>
      <w:rFonts w:ascii="宋体" w:hAnsi="宋体" w:eastAsia="宋体" w:cs="宋体"/>
      <w:smallCaps/>
      <w:color w:val="000000"/>
      <w:spacing w:val="0"/>
      <w:w w:val="100"/>
      <w:position w:val="0"/>
      <w:sz w:val="26"/>
      <w:szCs w:val="26"/>
      <w:u w:val="none"/>
      <w:lang w:val="en-US" w:eastAsia="en-US" w:bidi="en-US"/>
    </w:rPr>
  </w:style>
  <w:style w:type="character" w:customStyle="1" w:styleId="219">
    <w:name w:val="目录 (10)_"/>
    <w:basedOn w:val="47"/>
    <w:link w:val="220"/>
    <w:qFormat/>
    <w:uiPriority w:val="0"/>
    <w:rPr>
      <w:rFonts w:ascii="Arial Narrow" w:hAnsi="Arial Narrow" w:eastAsia="Arial Narrow" w:cs="Arial Narrow"/>
      <w:sz w:val="15"/>
      <w:szCs w:val="15"/>
      <w:u w:val="none"/>
      <w:lang w:val="en-US" w:eastAsia="en-US" w:bidi="en-US"/>
    </w:rPr>
  </w:style>
  <w:style w:type="paragraph" w:customStyle="1" w:styleId="220">
    <w:name w:val="目录 (10)"/>
    <w:basedOn w:val="1"/>
    <w:link w:val="219"/>
    <w:qFormat/>
    <w:uiPriority w:val="0"/>
    <w:pPr>
      <w:shd w:val="clear" w:color="auto" w:fill="FFFFFF"/>
      <w:spacing w:before="300" w:line="0" w:lineRule="atLeast"/>
      <w:jc w:val="both"/>
    </w:pPr>
    <w:rPr>
      <w:rFonts w:ascii="Arial Narrow" w:hAnsi="Arial Narrow" w:eastAsia="Arial Narrow" w:cs="Arial Narrow"/>
      <w:sz w:val="15"/>
      <w:szCs w:val="15"/>
      <w:lang w:val="en-US" w:eastAsia="en-US" w:bidi="en-US"/>
    </w:rPr>
  </w:style>
  <w:style w:type="character" w:customStyle="1" w:styleId="221">
    <w:name w:val="目录 (10) + 5 pt"/>
    <w:basedOn w:val="219"/>
    <w:qFormat/>
    <w:uiPriority w:val="0"/>
    <w:rPr>
      <w:rFonts w:ascii="Arial Narrow" w:hAnsi="Arial Narrow" w:eastAsia="Arial Narrow" w:cs="Arial Narrow"/>
      <w:color w:val="000000"/>
      <w:spacing w:val="0"/>
      <w:w w:val="100"/>
      <w:position w:val="0"/>
      <w:sz w:val="10"/>
      <w:szCs w:val="10"/>
      <w:u w:val="none"/>
      <w:lang w:val="en-US" w:eastAsia="en-US" w:bidi="en-US"/>
    </w:rPr>
  </w:style>
  <w:style w:type="character" w:customStyle="1" w:styleId="222">
    <w:name w:val="目录 (7) + 14 pt"/>
    <w:basedOn w:val="206"/>
    <w:qFormat/>
    <w:uiPriority w:val="0"/>
    <w:rPr>
      <w:rFonts w:ascii="宋体" w:hAnsi="宋体" w:eastAsia="宋体" w:cs="宋体"/>
      <w:b/>
      <w:bCs/>
      <w:color w:val="000000"/>
      <w:spacing w:val="0"/>
      <w:w w:val="100"/>
      <w:position w:val="0"/>
      <w:sz w:val="28"/>
      <w:szCs w:val="28"/>
      <w:u w:val="none"/>
      <w:lang w:val="en-US" w:eastAsia="en-US" w:bidi="en-US"/>
    </w:rPr>
  </w:style>
  <w:style w:type="character" w:customStyle="1" w:styleId="223">
    <w:name w:val="目录 (11)_"/>
    <w:basedOn w:val="47"/>
    <w:link w:val="224"/>
    <w:qFormat/>
    <w:uiPriority w:val="0"/>
    <w:rPr>
      <w:rFonts w:ascii="Lucida Sans Unicode" w:hAnsi="Lucida Sans Unicode" w:eastAsia="Lucida Sans Unicode" w:cs="Lucida Sans Unicode"/>
      <w:spacing w:val="40"/>
      <w:sz w:val="15"/>
      <w:szCs w:val="15"/>
      <w:u w:val="none"/>
      <w:lang w:val="en-US" w:eastAsia="en-US" w:bidi="en-US"/>
    </w:rPr>
  </w:style>
  <w:style w:type="paragraph" w:customStyle="1" w:styleId="224">
    <w:name w:val="目录 (11)"/>
    <w:basedOn w:val="1"/>
    <w:link w:val="223"/>
    <w:qFormat/>
    <w:uiPriority w:val="0"/>
    <w:pPr>
      <w:shd w:val="clear" w:color="auto" w:fill="FFFFFF"/>
      <w:spacing w:before="300" w:line="0" w:lineRule="atLeast"/>
      <w:jc w:val="both"/>
    </w:pPr>
    <w:rPr>
      <w:rFonts w:ascii="Lucida Sans Unicode" w:hAnsi="Lucida Sans Unicode" w:eastAsia="Lucida Sans Unicode" w:cs="Lucida Sans Unicode"/>
      <w:spacing w:val="40"/>
      <w:sz w:val="15"/>
      <w:szCs w:val="15"/>
      <w:lang w:val="en-US" w:eastAsia="en-US" w:bidi="en-US"/>
    </w:rPr>
  </w:style>
  <w:style w:type="character" w:customStyle="1" w:styleId="225">
    <w:name w:val="目录 (11) + Arial Narrow"/>
    <w:basedOn w:val="223"/>
    <w:qFormat/>
    <w:uiPriority w:val="0"/>
    <w:rPr>
      <w:rFonts w:ascii="Arial Narrow" w:hAnsi="Arial Narrow" w:eastAsia="Arial Narrow" w:cs="Arial Narrow"/>
      <w:color w:val="000000"/>
      <w:spacing w:val="0"/>
      <w:w w:val="100"/>
      <w:position w:val="0"/>
      <w:sz w:val="15"/>
      <w:szCs w:val="15"/>
      <w:u w:val="none"/>
      <w:lang w:val="en-US" w:eastAsia="en-US" w:bidi="en-US"/>
    </w:rPr>
  </w:style>
  <w:style w:type="character" w:customStyle="1" w:styleId="226">
    <w:name w:val="目录 (11) + 小型大写"/>
    <w:basedOn w:val="223"/>
    <w:qFormat/>
    <w:uiPriority w:val="0"/>
    <w:rPr>
      <w:rFonts w:ascii="Lucida Sans Unicode" w:hAnsi="Lucida Sans Unicode" w:eastAsia="Lucida Sans Unicode" w:cs="Lucida Sans Unicode"/>
      <w:smallCaps/>
      <w:color w:val="000000"/>
      <w:spacing w:val="40"/>
      <w:w w:val="100"/>
      <w:position w:val="0"/>
      <w:sz w:val="15"/>
      <w:szCs w:val="15"/>
      <w:u w:val="none"/>
      <w:lang w:val="en-US" w:eastAsia="en-US" w:bidi="en-US"/>
    </w:rPr>
  </w:style>
  <w:style w:type="character" w:customStyle="1" w:styleId="227">
    <w:name w:val="目录 (3) + 小型大写"/>
    <w:basedOn w:val="184"/>
    <w:qFormat/>
    <w:uiPriority w:val="0"/>
    <w:rPr>
      <w:rFonts w:ascii="宋体" w:hAnsi="宋体" w:eastAsia="宋体" w:cs="宋体"/>
      <w:smallCaps/>
      <w:color w:val="000000"/>
      <w:spacing w:val="0"/>
      <w:w w:val="100"/>
      <w:position w:val="0"/>
      <w:sz w:val="26"/>
      <w:szCs w:val="26"/>
      <w:u w:val="none"/>
      <w:lang w:val="en-US" w:eastAsia="en-US" w:bidi="en-US"/>
    </w:rPr>
  </w:style>
  <w:style w:type="character" w:customStyle="1" w:styleId="228">
    <w:name w:val="正文文本 (8) + 间距 -1 pt"/>
    <w:basedOn w:val="121"/>
    <w:qFormat/>
    <w:uiPriority w:val="0"/>
    <w:rPr>
      <w:rFonts w:ascii="宋体" w:hAnsi="宋体" w:eastAsia="宋体" w:cs="宋体"/>
      <w:color w:val="000000"/>
      <w:spacing w:val="-30"/>
      <w:w w:val="100"/>
      <w:position w:val="0"/>
      <w:sz w:val="28"/>
      <w:szCs w:val="28"/>
      <w:u w:val="none"/>
      <w:lang w:val="en-US" w:eastAsia="en-US" w:bidi="en-US"/>
    </w:rPr>
  </w:style>
  <w:style w:type="character" w:customStyle="1" w:styleId="229">
    <w:name w:val="正文文本 (8) + Arial Narrow1"/>
    <w:basedOn w:val="121"/>
    <w:qFormat/>
    <w:uiPriority w:val="0"/>
    <w:rPr>
      <w:rFonts w:ascii="Arial Narrow" w:hAnsi="Arial Narrow" w:eastAsia="Arial Narrow" w:cs="Arial Narrow"/>
      <w:color w:val="000000"/>
      <w:spacing w:val="10"/>
      <w:w w:val="100"/>
      <w:position w:val="0"/>
      <w:sz w:val="18"/>
      <w:szCs w:val="18"/>
      <w:u w:val="none"/>
      <w:lang w:val="en-US" w:eastAsia="en-US" w:bidi="en-US"/>
    </w:rPr>
  </w:style>
  <w:style w:type="character" w:customStyle="1" w:styleId="230">
    <w:name w:val="正文文本 (8) + Arial Narrow2"/>
    <w:basedOn w:val="121"/>
    <w:qFormat/>
    <w:uiPriority w:val="0"/>
    <w:rPr>
      <w:rFonts w:ascii="Arial Narrow" w:hAnsi="Arial Narrow" w:eastAsia="Arial Narrow" w:cs="Arial Narrow"/>
      <w:smallCaps/>
      <w:color w:val="000000"/>
      <w:spacing w:val="10"/>
      <w:w w:val="100"/>
      <w:position w:val="0"/>
      <w:sz w:val="18"/>
      <w:szCs w:val="18"/>
      <w:u w:val="none"/>
      <w:lang w:val="en-US" w:eastAsia="en-US" w:bidi="en-US"/>
    </w:rPr>
  </w:style>
  <w:style w:type="character" w:customStyle="1" w:styleId="231">
    <w:name w:val="正文文本 (8) + Constantia6"/>
    <w:basedOn w:val="121"/>
    <w:qFormat/>
    <w:uiPriority w:val="0"/>
    <w:rPr>
      <w:rFonts w:ascii="Constantia" w:hAnsi="Constantia" w:eastAsia="Constantia" w:cs="Constantia"/>
      <w:smallCaps/>
      <w:color w:val="000000"/>
      <w:spacing w:val="10"/>
      <w:w w:val="100"/>
      <w:position w:val="0"/>
      <w:sz w:val="20"/>
      <w:szCs w:val="20"/>
      <w:u w:val="none"/>
      <w:lang w:val="en-US" w:eastAsia="en-US" w:bidi="en-US"/>
    </w:rPr>
  </w:style>
  <w:style w:type="character" w:customStyle="1" w:styleId="232">
    <w:name w:val="正文文本 (8) + 13 pt3"/>
    <w:basedOn w:val="121"/>
    <w:qFormat/>
    <w:uiPriority w:val="0"/>
    <w:rPr>
      <w:rFonts w:ascii="宋体" w:hAnsi="宋体" w:eastAsia="宋体" w:cs="宋体"/>
      <w:color w:val="000000"/>
      <w:spacing w:val="40"/>
      <w:w w:val="100"/>
      <w:position w:val="0"/>
      <w:sz w:val="26"/>
      <w:szCs w:val="26"/>
      <w:u w:val="none"/>
      <w:lang w:val="en-US" w:eastAsia="en-US" w:bidi="en-US"/>
    </w:rPr>
  </w:style>
  <w:style w:type="character" w:customStyle="1" w:styleId="233">
    <w:name w:val="正文文本 (10) + 间距 2 pt"/>
    <w:basedOn w:val="180"/>
    <w:qFormat/>
    <w:uiPriority w:val="0"/>
    <w:rPr>
      <w:rFonts w:ascii="宋体" w:hAnsi="宋体" w:eastAsia="宋体" w:cs="宋体"/>
      <w:color w:val="000000"/>
      <w:spacing w:val="40"/>
      <w:w w:val="100"/>
      <w:position w:val="0"/>
      <w:sz w:val="26"/>
      <w:szCs w:val="26"/>
      <w:u w:val="none"/>
      <w:lang w:val="en-US" w:eastAsia="en-US" w:bidi="en-US"/>
    </w:rPr>
  </w:style>
  <w:style w:type="character" w:customStyle="1" w:styleId="234">
    <w:name w:val="正文文本 (7)1"/>
    <w:basedOn w:val="110"/>
    <w:qFormat/>
    <w:uiPriority w:val="0"/>
    <w:rPr>
      <w:rFonts w:ascii="宋体" w:hAnsi="宋体" w:eastAsia="宋体" w:cs="宋体"/>
      <w:b/>
      <w:bCs/>
      <w:color w:val="000000"/>
      <w:spacing w:val="0"/>
      <w:w w:val="100"/>
      <w:position w:val="0"/>
      <w:sz w:val="24"/>
      <w:szCs w:val="24"/>
      <w:u w:val="none"/>
      <w:lang w:val="en-US" w:eastAsia="en-US" w:bidi="en-US"/>
    </w:rPr>
  </w:style>
  <w:style w:type="character" w:customStyle="1" w:styleId="235">
    <w:name w:val="正文文本 (8) + 12 pt"/>
    <w:basedOn w:val="121"/>
    <w:qFormat/>
    <w:uiPriority w:val="0"/>
    <w:rPr>
      <w:rFonts w:ascii="宋体" w:hAnsi="宋体" w:eastAsia="宋体" w:cs="宋体"/>
      <w:color w:val="000000"/>
      <w:spacing w:val="-10"/>
      <w:w w:val="100"/>
      <w:position w:val="0"/>
      <w:sz w:val="24"/>
      <w:szCs w:val="24"/>
      <w:u w:val="none"/>
      <w:lang w:val="zh-TW" w:eastAsia="zh-TW" w:bidi="zh-TW"/>
    </w:rPr>
  </w:style>
  <w:style w:type="character" w:customStyle="1" w:styleId="236">
    <w:name w:val="图片标题 (2)_"/>
    <w:basedOn w:val="47"/>
    <w:link w:val="237"/>
    <w:qFormat/>
    <w:uiPriority w:val="0"/>
    <w:rPr>
      <w:rFonts w:ascii="宋体" w:hAnsi="宋体" w:eastAsia="宋体" w:cs="宋体"/>
      <w:b/>
      <w:bCs/>
      <w:sz w:val="28"/>
      <w:szCs w:val="28"/>
      <w:u w:val="none"/>
    </w:rPr>
  </w:style>
  <w:style w:type="paragraph" w:customStyle="1" w:styleId="237">
    <w:name w:val="图片标题 (2)"/>
    <w:basedOn w:val="1"/>
    <w:link w:val="236"/>
    <w:qFormat/>
    <w:uiPriority w:val="0"/>
    <w:pPr>
      <w:shd w:val="clear" w:color="auto" w:fill="FFFFFF"/>
      <w:spacing w:line="0" w:lineRule="atLeast"/>
      <w:jc w:val="right"/>
    </w:pPr>
    <w:rPr>
      <w:rFonts w:ascii="宋体" w:hAnsi="宋体" w:eastAsia="宋体" w:cs="宋体"/>
      <w:b/>
      <w:bCs/>
      <w:sz w:val="28"/>
      <w:szCs w:val="28"/>
    </w:rPr>
  </w:style>
  <w:style w:type="character" w:customStyle="1" w:styleId="238">
    <w:name w:val="正文文本 (8) + Candara"/>
    <w:basedOn w:val="121"/>
    <w:qFormat/>
    <w:uiPriority w:val="0"/>
    <w:rPr>
      <w:rFonts w:ascii="Candara" w:hAnsi="Candara" w:eastAsia="Candara" w:cs="Candara"/>
      <w:i/>
      <w:iCs/>
      <w:color w:val="000000"/>
      <w:spacing w:val="0"/>
      <w:w w:val="100"/>
      <w:position w:val="0"/>
      <w:sz w:val="24"/>
      <w:szCs w:val="24"/>
      <w:u w:val="none"/>
      <w:lang w:val="zh-TW" w:eastAsia="zh-TW" w:bidi="zh-TW"/>
    </w:rPr>
  </w:style>
  <w:style w:type="character" w:customStyle="1" w:styleId="239">
    <w:name w:val="图片标题 (2) + 13 pt"/>
    <w:basedOn w:val="236"/>
    <w:qFormat/>
    <w:uiPriority w:val="0"/>
    <w:rPr>
      <w:rFonts w:ascii="宋体" w:hAnsi="宋体" w:eastAsia="宋体" w:cs="宋体"/>
      <w:color w:val="000000"/>
      <w:spacing w:val="0"/>
      <w:w w:val="100"/>
      <w:position w:val="0"/>
      <w:sz w:val="26"/>
      <w:szCs w:val="26"/>
      <w:u w:val="none"/>
      <w:lang w:val="en-US" w:eastAsia="en-US" w:bidi="en-US"/>
    </w:rPr>
  </w:style>
  <w:style w:type="character" w:customStyle="1" w:styleId="240">
    <w:name w:val="日期 Char"/>
    <w:basedOn w:val="47"/>
    <w:link w:val="26"/>
    <w:qFormat/>
    <w:uiPriority w:val="0"/>
    <w:rPr>
      <w:rFonts w:eastAsia="Microsoft JhengHei Light"/>
      <w:color w:val="000000"/>
    </w:rPr>
  </w:style>
  <w:style w:type="character" w:customStyle="1" w:styleId="241">
    <w:name w:val="页眉 Char1"/>
    <w:basedOn w:val="47"/>
    <w:link w:val="30"/>
    <w:qFormat/>
    <w:uiPriority w:val="0"/>
    <w:rPr>
      <w:rFonts w:eastAsia="Microsoft JhengHei Light"/>
      <w:color w:val="000000"/>
      <w:sz w:val="18"/>
      <w:szCs w:val="18"/>
    </w:rPr>
  </w:style>
  <w:style w:type="character" w:customStyle="1" w:styleId="242">
    <w:name w:val="页脚 Char1"/>
    <w:basedOn w:val="47"/>
    <w:link w:val="29"/>
    <w:qFormat/>
    <w:uiPriority w:val="99"/>
    <w:rPr>
      <w:rFonts w:eastAsia="Microsoft JhengHei Light"/>
      <w:color w:val="000000"/>
      <w:sz w:val="18"/>
      <w:szCs w:val="18"/>
    </w:rPr>
  </w:style>
  <w:style w:type="character" w:customStyle="1" w:styleId="243">
    <w:name w:val="批注框文本 Char"/>
    <w:basedOn w:val="47"/>
    <w:link w:val="28"/>
    <w:qFormat/>
    <w:uiPriority w:val="0"/>
    <w:rPr>
      <w:rFonts w:eastAsia="Microsoft JhengHei Light"/>
      <w:color w:val="000000"/>
      <w:sz w:val="18"/>
      <w:szCs w:val="18"/>
    </w:rPr>
  </w:style>
  <w:style w:type="paragraph" w:customStyle="1" w:styleId="244">
    <w:name w:val="xl25"/>
    <w:basedOn w:val="1"/>
    <w:qFormat/>
    <w:uiPriority w:val="0"/>
    <w:pPr>
      <w:widowControl/>
      <w:pBdr>
        <w:bottom w:val="single" w:color="auto" w:sz="4" w:space="0"/>
        <w:right w:val="single" w:color="auto" w:sz="4" w:space="0"/>
      </w:pBdr>
      <w:spacing w:before="100" w:beforeAutospacing="1" w:after="100" w:afterAutospacing="1"/>
      <w:jc w:val="both"/>
    </w:pPr>
    <w:rPr>
      <w:rFonts w:ascii="Times New Roman" w:hAnsi="Times New Roman" w:eastAsia="宋体" w:cs="Times New Roman"/>
      <w:color w:val="auto"/>
      <w:sz w:val="21"/>
      <w:szCs w:val="21"/>
      <w:lang w:val="en-US" w:eastAsia="zh-CN" w:bidi="ar-SA"/>
    </w:rPr>
  </w:style>
  <w:style w:type="character" w:customStyle="1" w:styleId="245">
    <w:name w:val="zw1"/>
    <w:qFormat/>
    <w:uiPriority w:val="0"/>
    <w:rPr>
      <w:rFonts w:hint="eastAsia" w:ascii="宋体" w:hAnsi="宋体" w:eastAsia="宋体"/>
      <w:sz w:val="22"/>
      <w:szCs w:val="22"/>
    </w:rPr>
  </w:style>
  <w:style w:type="character" w:customStyle="1" w:styleId="246">
    <w:name w:val="bt21"/>
    <w:qFormat/>
    <w:uiPriority w:val="0"/>
    <w:rPr>
      <w:rFonts w:hint="eastAsia" w:ascii="黑体" w:hAnsi="黑体" w:eastAsia="黑体"/>
      <w:sz w:val="24"/>
      <w:szCs w:val="24"/>
    </w:rPr>
  </w:style>
  <w:style w:type="character" w:customStyle="1" w:styleId="247">
    <w:name w:val="正文缩进 Char1"/>
    <w:link w:val="14"/>
    <w:qFormat/>
    <w:locked/>
    <w:uiPriority w:val="0"/>
    <w:rPr>
      <w:rFonts w:ascii="宋体" w:hAnsi="宋体" w:eastAsia="宋体"/>
      <w:kern w:val="2"/>
      <w:sz w:val="21"/>
      <w:lang w:val="en-US" w:eastAsia="zh-CN" w:bidi="ar-SA"/>
    </w:rPr>
  </w:style>
  <w:style w:type="paragraph" w:customStyle="1" w:styleId="248">
    <w:name w:val="表格"/>
    <w:basedOn w:val="1"/>
    <w:qFormat/>
    <w:uiPriority w:val="0"/>
    <w:pPr>
      <w:adjustRightInd w:val="0"/>
      <w:snapToGrid w:val="0"/>
      <w:spacing w:line="264" w:lineRule="auto"/>
    </w:pPr>
    <w:rPr>
      <w:rFonts w:ascii="宋体" w:hAnsi="宋体" w:eastAsia="宋体" w:cs="Times New Roman"/>
      <w:color w:val="auto"/>
      <w:szCs w:val="20"/>
      <w:lang w:val="en-US" w:eastAsia="zh-CN" w:bidi="ar-SA"/>
    </w:rPr>
  </w:style>
  <w:style w:type="paragraph" w:customStyle="1" w:styleId="249">
    <w:name w:val="样式2"/>
    <w:basedOn w:val="1"/>
    <w:qFormat/>
    <w:uiPriority w:val="0"/>
    <w:pPr>
      <w:tabs>
        <w:tab w:val="left" w:pos="360"/>
      </w:tabs>
      <w:ind w:left="360" w:hanging="360" w:hangingChars="200"/>
      <w:jc w:val="both"/>
    </w:pPr>
    <w:rPr>
      <w:rFonts w:ascii="Times New Roman" w:hAnsi="Times New Roman" w:eastAsia="宋体" w:cs="Times New Roman"/>
      <w:color w:val="auto"/>
      <w:kern w:val="2"/>
      <w:sz w:val="21"/>
      <w:szCs w:val="20"/>
      <w:lang w:val="en-US" w:eastAsia="zh-CN" w:bidi="ar-SA"/>
    </w:rPr>
  </w:style>
  <w:style w:type="paragraph" w:customStyle="1" w:styleId="250">
    <w:name w:val="Char"/>
    <w:basedOn w:val="1"/>
    <w:qFormat/>
    <w:uiPriority w:val="0"/>
    <w:pPr>
      <w:spacing w:line="360" w:lineRule="auto"/>
      <w:ind w:firstLine="200" w:firstLineChars="200"/>
      <w:jc w:val="both"/>
    </w:pPr>
    <w:rPr>
      <w:rFonts w:ascii="宋体" w:hAnsi="宋体" w:eastAsia="宋体" w:cs="宋体"/>
      <w:color w:val="auto"/>
      <w:kern w:val="2"/>
      <w:lang w:val="en-US" w:eastAsia="zh-CN" w:bidi="ar-SA"/>
    </w:rPr>
  </w:style>
  <w:style w:type="paragraph" w:customStyle="1" w:styleId="251">
    <w:name w:val="样式 宋体 黑色"/>
    <w:basedOn w:val="1"/>
    <w:qFormat/>
    <w:uiPriority w:val="0"/>
    <w:pPr>
      <w:jc w:val="both"/>
    </w:pPr>
    <w:rPr>
      <w:rFonts w:ascii="宋体" w:hAnsi="宋体" w:eastAsia="宋体" w:cs="宋体"/>
      <w:kern w:val="2"/>
      <w:sz w:val="21"/>
      <w:szCs w:val="20"/>
      <w:lang w:val="en-US" w:eastAsia="zh-CN" w:bidi="ar-SA"/>
    </w:rPr>
  </w:style>
  <w:style w:type="paragraph" w:customStyle="1" w:styleId="252">
    <w:name w:val="正文　2"/>
    <w:basedOn w:val="251"/>
    <w:qFormat/>
    <w:uiPriority w:val="0"/>
    <w:pPr>
      <w:ind w:firstLine="420" w:firstLineChars="200"/>
    </w:pPr>
  </w:style>
  <w:style w:type="paragraph" w:customStyle="1" w:styleId="253">
    <w:name w:val="内部地址"/>
    <w:basedOn w:val="1"/>
    <w:qFormat/>
    <w:uiPriority w:val="0"/>
    <w:pPr>
      <w:jc w:val="both"/>
    </w:pPr>
    <w:rPr>
      <w:rFonts w:ascii="Times New Roman" w:hAnsi="Times New Roman" w:eastAsia="宋体" w:cs="Times New Roman"/>
      <w:color w:val="auto"/>
      <w:kern w:val="2"/>
      <w:sz w:val="21"/>
      <w:lang w:val="en-US" w:eastAsia="zh-CN" w:bidi="ar-SA"/>
    </w:rPr>
  </w:style>
  <w:style w:type="character" w:customStyle="1" w:styleId="254">
    <w:name w:val="标题 2 字符"/>
    <w:basedOn w:val="47"/>
    <w:qFormat/>
    <w:uiPriority w:val="0"/>
    <w:rPr>
      <w:rFonts w:asciiTheme="majorHAnsi" w:hAnsiTheme="majorHAnsi" w:eastAsiaTheme="majorEastAsia" w:cstheme="majorBidi"/>
      <w:b/>
      <w:bCs/>
      <w:color w:val="000000"/>
      <w:sz w:val="32"/>
      <w:szCs w:val="32"/>
    </w:rPr>
  </w:style>
  <w:style w:type="character" w:customStyle="1" w:styleId="255">
    <w:name w:val="标题 3 字符1"/>
    <w:qFormat/>
    <w:locked/>
    <w:uiPriority w:val="0"/>
    <w:rPr>
      <w:rFonts w:hint="eastAsia" w:ascii="宋体" w:hAnsi="宋体" w:eastAsia="宋体"/>
      <w:b/>
      <w:bCs/>
      <w:kern w:val="2"/>
      <w:sz w:val="32"/>
      <w:szCs w:val="32"/>
      <w:lang w:val="en-US" w:eastAsia="zh-CN" w:bidi="ar-SA"/>
    </w:rPr>
  </w:style>
  <w:style w:type="character" w:customStyle="1" w:styleId="256">
    <w:name w:val="HTML 预设格式 Char"/>
    <w:basedOn w:val="47"/>
    <w:link w:val="39"/>
    <w:qFormat/>
    <w:uiPriority w:val="0"/>
    <w:rPr>
      <w:rFonts w:ascii="Arial" w:hAnsi="Arial" w:eastAsia="宋体" w:cs="Arial"/>
      <w:szCs w:val="20"/>
      <w:lang w:val="en-US" w:eastAsia="zh-CN" w:bidi="ar-SA"/>
    </w:rPr>
  </w:style>
  <w:style w:type="paragraph" w:customStyle="1" w:styleId="257">
    <w:name w:val="msonormal"/>
    <w:basedOn w:val="1"/>
    <w:qFormat/>
    <w:uiPriority w:val="0"/>
    <w:pPr>
      <w:widowControl/>
      <w:spacing w:before="100" w:beforeAutospacing="1" w:after="100" w:afterAutospacing="1"/>
    </w:pPr>
    <w:rPr>
      <w:rFonts w:ascii="宋体" w:hAnsi="宋体" w:eastAsia="宋体" w:cs="宋体"/>
      <w:color w:val="auto"/>
      <w:lang w:val="en-US" w:eastAsia="zh-CN" w:bidi="ar-SA"/>
    </w:rPr>
  </w:style>
  <w:style w:type="paragraph" w:customStyle="1" w:styleId="258">
    <w:name w:val="目录 11"/>
    <w:basedOn w:val="1"/>
    <w:next w:val="1"/>
    <w:qFormat/>
    <w:uiPriority w:val="39"/>
    <w:pPr>
      <w:spacing w:before="120" w:after="120"/>
    </w:pPr>
    <w:rPr>
      <w:rFonts w:ascii="Calibri" w:hAnsi="Calibri" w:eastAsia="宋体" w:cs="Times New Roman"/>
      <w:b/>
      <w:bCs/>
      <w:caps/>
      <w:color w:val="auto"/>
      <w:kern w:val="2"/>
      <w:sz w:val="20"/>
      <w:szCs w:val="20"/>
      <w:lang w:val="en-US" w:eastAsia="zh-CN" w:bidi="ar-SA"/>
    </w:rPr>
  </w:style>
  <w:style w:type="character" w:customStyle="1" w:styleId="259">
    <w:name w:val="批注文字 Char"/>
    <w:link w:val="17"/>
    <w:qFormat/>
    <w:locked/>
    <w:uiPriority w:val="99"/>
    <w:rPr>
      <w:rFonts w:ascii="Times New Roman" w:hAnsi="Times New Roman" w:eastAsia="宋体" w:cs="Times New Roman"/>
      <w:kern w:val="2"/>
      <w:sz w:val="21"/>
      <w:lang w:bidi="ar-SA"/>
    </w:rPr>
  </w:style>
  <w:style w:type="character" w:customStyle="1" w:styleId="260">
    <w:name w:val="批注文字 字符"/>
    <w:basedOn w:val="47"/>
    <w:qFormat/>
    <w:uiPriority w:val="99"/>
    <w:rPr>
      <w:rFonts w:eastAsia="Microsoft JhengHei Light"/>
      <w:color w:val="000000"/>
    </w:rPr>
  </w:style>
  <w:style w:type="character" w:customStyle="1" w:styleId="261">
    <w:name w:val="页眉 字符1"/>
    <w:qFormat/>
    <w:locked/>
    <w:uiPriority w:val="0"/>
    <w:rPr>
      <w:rFonts w:hint="eastAsia" w:ascii="宋体" w:hAnsi="宋体" w:eastAsia="宋体"/>
      <w:kern w:val="2"/>
      <w:sz w:val="18"/>
      <w:szCs w:val="18"/>
      <w:lang w:val="en-US" w:eastAsia="zh-CN" w:bidi="ar-SA"/>
    </w:rPr>
  </w:style>
  <w:style w:type="character" w:customStyle="1" w:styleId="262">
    <w:name w:val="标题 Char"/>
    <w:link w:val="42"/>
    <w:qFormat/>
    <w:locked/>
    <w:uiPriority w:val="0"/>
    <w:rPr>
      <w:rFonts w:ascii="Arial" w:hAnsi="Arial" w:eastAsia="宋体" w:cs="Times New Roman"/>
      <w:b/>
      <w:bCs/>
      <w:kern w:val="2"/>
      <w:sz w:val="32"/>
      <w:szCs w:val="32"/>
      <w:lang w:bidi="ar-SA"/>
    </w:rPr>
  </w:style>
  <w:style w:type="character" w:customStyle="1" w:styleId="263">
    <w:name w:val="标题 字符"/>
    <w:basedOn w:val="47"/>
    <w:qFormat/>
    <w:uiPriority w:val="0"/>
    <w:rPr>
      <w:rFonts w:asciiTheme="majorHAnsi" w:hAnsiTheme="majorHAnsi" w:eastAsiaTheme="majorEastAsia" w:cstheme="majorBidi"/>
      <w:b/>
      <w:bCs/>
      <w:color w:val="000000"/>
      <w:sz w:val="32"/>
      <w:szCs w:val="32"/>
    </w:rPr>
  </w:style>
  <w:style w:type="character" w:customStyle="1" w:styleId="264">
    <w:name w:val="正文文本 Char"/>
    <w:basedOn w:val="47"/>
    <w:link w:val="2"/>
    <w:qFormat/>
    <w:uiPriority w:val="0"/>
    <w:rPr>
      <w:rFonts w:ascii="Times New Roman" w:hAnsi="Times New Roman" w:eastAsia="宋体" w:cs="Times New Roman"/>
      <w:kern w:val="2"/>
      <w:sz w:val="18"/>
      <w:lang w:val="en-US" w:eastAsia="zh-CN" w:bidi="ar-SA"/>
    </w:rPr>
  </w:style>
  <w:style w:type="character" w:customStyle="1" w:styleId="265">
    <w:name w:val="正文文本缩进 Char"/>
    <w:link w:val="19"/>
    <w:qFormat/>
    <w:locked/>
    <w:uiPriority w:val="0"/>
    <w:rPr>
      <w:rFonts w:ascii="宋体" w:hAnsi="宋体" w:eastAsia="宋体" w:cs="Times New Roman"/>
      <w:color w:val="000000"/>
      <w:kern w:val="20"/>
      <w:sz w:val="28"/>
      <w:lang w:bidi="ar-SA"/>
    </w:rPr>
  </w:style>
  <w:style w:type="character" w:customStyle="1" w:styleId="266">
    <w:name w:val="正文文本缩进 字符"/>
    <w:basedOn w:val="47"/>
    <w:qFormat/>
    <w:uiPriority w:val="0"/>
    <w:rPr>
      <w:rFonts w:eastAsia="Microsoft JhengHei Light"/>
      <w:color w:val="000000"/>
    </w:rPr>
  </w:style>
  <w:style w:type="paragraph" w:customStyle="1" w:styleId="267">
    <w:name w:val="正文首行缩进1"/>
    <w:basedOn w:val="2"/>
    <w:qFormat/>
    <w:uiPriority w:val="0"/>
    <w:pPr>
      <w:spacing w:after="120"/>
      <w:ind w:firstLine="420" w:firstLineChars="100"/>
    </w:pPr>
    <w:rPr>
      <w:sz w:val="21"/>
    </w:rPr>
  </w:style>
  <w:style w:type="character" w:customStyle="1" w:styleId="268">
    <w:name w:val="正文首行缩进 2 Char1"/>
    <w:basedOn w:val="266"/>
    <w:link w:val="44"/>
    <w:qFormat/>
    <w:uiPriority w:val="0"/>
    <w:rPr>
      <w:rFonts w:ascii="宋体" w:hAnsi="宋体" w:eastAsia="宋体" w:cs="Times New Roman"/>
      <w:color w:val="000000"/>
      <w:kern w:val="24"/>
      <w:sz w:val="28"/>
      <w:lang w:bidi="ar-SA"/>
    </w:rPr>
  </w:style>
  <w:style w:type="character" w:customStyle="1" w:styleId="269">
    <w:name w:val="注释标题 Char"/>
    <w:basedOn w:val="47"/>
    <w:link w:val="13"/>
    <w:qFormat/>
    <w:uiPriority w:val="0"/>
    <w:rPr>
      <w:rFonts w:ascii="宋体" w:hAnsi="Times New Roman" w:eastAsia="宋体" w:cs="Times New Roman"/>
      <w:kern w:val="2"/>
      <w:sz w:val="21"/>
      <w:szCs w:val="20"/>
      <w:lang w:val="en-US" w:eastAsia="zh-CN" w:bidi="ar-SA"/>
    </w:rPr>
  </w:style>
  <w:style w:type="character" w:customStyle="1" w:styleId="270">
    <w:name w:val="正文文本 2 Char"/>
    <w:basedOn w:val="47"/>
    <w:link w:val="38"/>
    <w:qFormat/>
    <w:uiPriority w:val="0"/>
    <w:rPr>
      <w:rFonts w:ascii="Times New Roman" w:hAnsi="Times New Roman" w:eastAsia="宋体" w:cs="Times New Roman"/>
      <w:kern w:val="2"/>
      <w:sz w:val="21"/>
      <w:lang w:val="en-US" w:eastAsia="zh-CN" w:bidi="ar-SA"/>
    </w:rPr>
  </w:style>
  <w:style w:type="character" w:customStyle="1" w:styleId="271">
    <w:name w:val="正文文本 3 Char"/>
    <w:basedOn w:val="47"/>
    <w:link w:val="18"/>
    <w:qFormat/>
    <w:uiPriority w:val="0"/>
    <w:rPr>
      <w:rFonts w:ascii="宋体" w:hAnsi="宋体" w:eastAsia="宋体" w:cs="Times New Roman"/>
      <w:color w:val="000000"/>
      <w:kern w:val="2"/>
      <w:sz w:val="21"/>
      <w:lang w:val="en-US" w:eastAsia="zh-CN" w:bidi="ar-SA"/>
    </w:rPr>
  </w:style>
  <w:style w:type="character" w:customStyle="1" w:styleId="272">
    <w:name w:val="正文文本缩进 2 Char"/>
    <w:basedOn w:val="47"/>
    <w:link w:val="27"/>
    <w:qFormat/>
    <w:uiPriority w:val="0"/>
    <w:rPr>
      <w:rFonts w:ascii="Times New Roman" w:hAnsi="Times New Roman" w:eastAsia="宋体" w:cs="Times New Roman"/>
      <w:kern w:val="2"/>
      <w:sz w:val="21"/>
      <w:lang w:val="en-US" w:eastAsia="zh-CN" w:bidi="ar-SA"/>
    </w:rPr>
  </w:style>
  <w:style w:type="character" w:customStyle="1" w:styleId="273">
    <w:name w:val="正文文本缩进 3 Char"/>
    <w:basedOn w:val="47"/>
    <w:link w:val="35"/>
    <w:qFormat/>
    <w:uiPriority w:val="0"/>
    <w:rPr>
      <w:rFonts w:ascii="Times New Roman" w:hAnsi="Times New Roman" w:eastAsia="宋体" w:cs="Times New Roman"/>
      <w:kern w:val="2"/>
      <w:sz w:val="16"/>
      <w:szCs w:val="16"/>
      <w:lang w:val="en-US" w:eastAsia="zh-CN" w:bidi="ar-SA"/>
    </w:rPr>
  </w:style>
  <w:style w:type="character" w:customStyle="1" w:styleId="274">
    <w:name w:val="文档结构图 Char"/>
    <w:basedOn w:val="47"/>
    <w:link w:val="16"/>
    <w:semiHidden/>
    <w:qFormat/>
    <w:uiPriority w:val="0"/>
    <w:rPr>
      <w:rFonts w:ascii="Times New Roman" w:hAnsi="Times New Roman" w:eastAsia="宋体" w:cs="Times New Roman"/>
      <w:kern w:val="2"/>
      <w:sz w:val="21"/>
      <w:shd w:val="clear" w:color="auto" w:fill="000080"/>
      <w:lang w:val="en-US" w:eastAsia="zh-CN" w:bidi="ar-SA"/>
    </w:rPr>
  </w:style>
  <w:style w:type="character" w:customStyle="1" w:styleId="275">
    <w:name w:val="纯文本 Char"/>
    <w:link w:val="24"/>
    <w:qFormat/>
    <w:locked/>
    <w:uiPriority w:val="0"/>
    <w:rPr>
      <w:rFonts w:ascii="宋体" w:hAnsi="Courier New" w:eastAsia="宋体" w:cs="Courier New"/>
      <w:kern w:val="2"/>
      <w:sz w:val="21"/>
      <w:szCs w:val="21"/>
    </w:rPr>
  </w:style>
  <w:style w:type="character" w:customStyle="1" w:styleId="276">
    <w:name w:val="纯文本 字符"/>
    <w:basedOn w:val="47"/>
    <w:qFormat/>
    <w:uiPriority w:val="0"/>
    <w:rPr>
      <w:rFonts w:hAnsi="Courier New" w:cs="Courier New" w:asciiTheme="minorEastAsia"/>
      <w:color w:val="000000"/>
    </w:rPr>
  </w:style>
  <w:style w:type="character" w:customStyle="1" w:styleId="277">
    <w:name w:val="批注主题 Char"/>
    <w:link w:val="43"/>
    <w:qFormat/>
    <w:locked/>
    <w:uiPriority w:val="0"/>
    <w:rPr>
      <w:rFonts w:ascii="Times New Roman" w:hAnsi="Times New Roman" w:eastAsia="宋体" w:cs="Times New Roman"/>
      <w:b/>
      <w:bCs/>
      <w:kern w:val="2"/>
      <w:sz w:val="21"/>
      <w:lang w:bidi="ar-SA"/>
    </w:rPr>
  </w:style>
  <w:style w:type="character" w:customStyle="1" w:styleId="278">
    <w:name w:val="批注主题 字符"/>
    <w:basedOn w:val="260"/>
    <w:qFormat/>
    <w:uiPriority w:val="0"/>
    <w:rPr>
      <w:rFonts w:eastAsia="Microsoft JhengHei Light"/>
      <w:b/>
      <w:bCs/>
      <w:color w:val="000000"/>
    </w:rPr>
  </w:style>
  <w:style w:type="paragraph" w:customStyle="1" w:styleId="279">
    <w:name w:val="xl26"/>
    <w:basedOn w:val="1"/>
    <w:qFormat/>
    <w:uiPriority w:val="0"/>
    <w:pPr>
      <w:widowControl/>
      <w:pBdr>
        <w:bottom w:val="single" w:color="auto" w:sz="4" w:space="0"/>
        <w:right w:val="single" w:color="auto" w:sz="4" w:space="0"/>
      </w:pBdr>
      <w:spacing w:before="100" w:beforeAutospacing="1" w:after="100" w:afterAutospacing="1"/>
      <w:jc w:val="center"/>
    </w:pPr>
    <w:rPr>
      <w:rFonts w:ascii="Times New Roman" w:hAnsi="Times New Roman" w:eastAsia="宋体" w:cs="Times New Roman"/>
      <w:color w:val="auto"/>
      <w:sz w:val="21"/>
      <w:szCs w:val="21"/>
      <w:lang w:val="en-US" w:eastAsia="zh-CN" w:bidi="ar-SA"/>
    </w:rPr>
  </w:style>
  <w:style w:type="paragraph" w:customStyle="1" w:styleId="280">
    <w:name w:val="xl34"/>
    <w:basedOn w:val="1"/>
    <w:qFormat/>
    <w:uiPriority w:val="0"/>
    <w:pPr>
      <w:widowControl/>
      <w:pBdr>
        <w:bottom w:val="single" w:color="auto" w:sz="4" w:space="0"/>
        <w:right w:val="single" w:color="auto" w:sz="4" w:space="0"/>
      </w:pBdr>
      <w:spacing w:before="100" w:beforeAutospacing="1" w:after="100" w:afterAutospacing="1"/>
      <w:jc w:val="center"/>
    </w:pPr>
    <w:rPr>
      <w:rFonts w:ascii="Times New Roman" w:hAnsi="Times New Roman" w:eastAsia="宋体" w:cs="Times New Roman"/>
      <w:color w:val="auto"/>
      <w:lang w:val="en-US" w:eastAsia="zh-CN" w:bidi="ar-SA"/>
    </w:rPr>
  </w:style>
  <w:style w:type="paragraph" w:customStyle="1" w:styleId="281">
    <w:name w:val="xl29"/>
    <w:basedOn w:val="1"/>
    <w:qFormat/>
    <w:uiPriority w:val="0"/>
    <w:pPr>
      <w:widowControl/>
      <w:pBdr>
        <w:left w:val="single" w:color="auto" w:sz="4" w:space="0"/>
        <w:right w:val="single" w:color="auto" w:sz="4" w:space="0"/>
      </w:pBdr>
      <w:spacing w:before="100" w:beforeAutospacing="1" w:after="100" w:afterAutospacing="1"/>
      <w:jc w:val="center"/>
    </w:pPr>
    <w:rPr>
      <w:rFonts w:ascii="宋体" w:hAnsi="宋体" w:eastAsia="宋体" w:cs="Times New Roman"/>
      <w:color w:val="auto"/>
      <w:sz w:val="28"/>
      <w:szCs w:val="28"/>
      <w:lang w:val="en-US" w:eastAsia="zh-CN" w:bidi="ar-SA"/>
    </w:rPr>
  </w:style>
  <w:style w:type="paragraph" w:customStyle="1" w:styleId="282">
    <w:name w:val="样式 样式1 + 首行缩进:  2 字符"/>
    <w:basedOn w:val="1"/>
    <w:qFormat/>
    <w:uiPriority w:val="0"/>
    <w:pPr>
      <w:spacing w:line="360" w:lineRule="auto"/>
      <w:ind w:firstLine="200" w:firstLineChars="200"/>
      <w:jc w:val="both"/>
    </w:pPr>
    <w:rPr>
      <w:rFonts w:ascii="Times New Roman" w:hAnsi="Times New Roman" w:eastAsia="宋体" w:cs="宋体"/>
      <w:color w:val="auto"/>
      <w:kern w:val="2"/>
      <w:sz w:val="28"/>
      <w:szCs w:val="28"/>
      <w:lang w:val="en-US" w:eastAsia="zh-CN" w:bidi="ar-SA"/>
    </w:rPr>
  </w:style>
  <w:style w:type="paragraph" w:customStyle="1" w:styleId="283">
    <w:name w:val="报告标题3"/>
    <w:basedOn w:val="1"/>
    <w:qFormat/>
    <w:uiPriority w:val="0"/>
    <w:pPr>
      <w:spacing w:beforeLines="50" w:line="600" w:lineRule="atLeast"/>
      <w:jc w:val="both"/>
    </w:pPr>
    <w:rPr>
      <w:rFonts w:ascii="Times New Roman" w:hAnsi="Times New Roman" w:eastAsia="黑体" w:cs="Times New Roman"/>
      <w:color w:val="auto"/>
      <w:kern w:val="2"/>
      <w:sz w:val="28"/>
      <w:lang w:val="en-US" w:eastAsia="zh-CN" w:bidi="ar-SA"/>
    </w:rPr>
  </w:style>
  <w:style w:type="character" w:customStyle="1" w:styleId="284">
    <w:name w:val="样式 正文文本 + 首行缩进:  2 字符 Char"/>
    <w:link w:val="285"/>
    <w:qFormat/>
    <w:locked/>
    <w:uiPriority w:val="0"/>
    <w:rPr>
      <w:rFonts w:ascii="宋体" w:hAnsi="宋体" w:eastAsia="宋体" w:cs="宋体"/>
      <w:kern w:val="2"/>
      <w:sz w:val="28"/>
      <w:szCs w:val="28"/>
      <w:lang w:val="en-US" w:eastAsia="zh-CN" w:bidi="ar-SA"/>
    </w:rPr>
  </w:style>
  <w:style w:type="paragraph" w:customStyle="1" w:styleId="285">
    <w:name w:val="样式 正文文本 + 首行缩进:  2 字符"/>
    <w:basedOn w:val="2"/>
    <w:link w:val="284"/>
    <w:qFormat/>
    <w:uiPriority w:val="0"/>
    <w:pPr>
      <w:spacing w:line="360" w:lineRule="auto"/>
      <w:ind w:firstLine="200" w:firstLineChars="200"/>
    </w:pPr>
    <w:rPr>
      <w:rFonts w:hint="eastAsia" w:ascii="宋体" w:hAnsi="宋体" w:cs="宋体"/>
      <w:sz w:val="28"/>
      <w:szCs w:val="28"/>
    </w:rPr>
  </w:style>
  <w:style w:type="paragraph" w:customStyle="1" w:styleId="286">
    <w:name w:val="样式9"/>
    <w:basedOn w:val="1"/>
    <w:qFormat/>
    <w:uiPriority w:val="0"/>
    <w:pPr>
      <w:jc w:val="both"/>
    </w:pPr>
    <w:rPr>
      <w:rFonts w:ascii="Times New Roman" w:hAnsi="Times New Roman" w:eastAsia="宋体" w:cs="Times New Roman"/>
      <w:color w:val="auto"/>
      <w:kern w:val="2"/>
      <w:sz w:val="21"/>
      <w:lang w:val="en-US" w:eastAsia="zh-CN" w:bidi="ar-SA"/>
    </w:rPr>
  </w:style>
  <w:style w:type="character" w:customStyle="1" w:styleId="287">
    <w:name w:val="样式 样式1 + 首行缩进:  2 字符1 Char"/>
    <w:link w:val="288"/>
    <w:qFormat/>
    <w:locked/>
    <w:uiPriority w:val="0"/>
    <w:rPr>
      <w:rFonts w:ascii="宋体" w:hAnsi="宋体" w:eastAsia="宋体" w:cs="宋体"/>
      <w:kern w:val="2"/>
      <w:sz w:val="28"/>
      <w:lang w:val="en-US" w:eastAsia="zh-CN" w:bidi="ar-SA"/>
    </w:rPr>
  </w:style>
  <w:style w:type="paragraph" w:customStyle="1" w:styleId="288">
    <w:name w:val="样式 样式1 + 首行缩进:  2 字符1"/>
    <w:basedOn w:val="1"/>
    <w:next w:val="1"/>
    <w:link w:val="287"/>
    <w:qFormat/>
    <w:uiPriority w:val="0"/>
    <w:pPr>
      <w:spacing w:line="360" w:lineRule="auto"/>
      <w:ind w:firstLine="200" w:firstLineChars="200"/>
      <w:jc w:val="both"/>
    </w:pPr>
    <w:rPr>
      <w:rFonts w:hint="eastAsia" w:ascii="宋体" w:hAnsi="宋体" w:eastAsia="宋体" w:cs="宋体"/>
      <w:color w:val="auto"/>
      <w:kern w:val="2"/>
      <w:sz w:val="28"/>
      <w:lang w:val="en-US" w:eastAsia="zh-CN" w:bidi="ar-SA"/>
    </w:rPr>
  </w:style>
  <w:style w:type="paragraph" w:customStyle="1" w:styleId="289">
    <w:name w:val="表头"/>
    <w:basedOn w:val="1"/>
    <w:qFormat/>
    <w:uiPriority w:val="0"/>
    <w:pPr>
      <w:keepNext/>
      <w:spacing w:before="120" w:after="60" w:line="400" w:lineRule="exact"/>
      <w:ind w:firstLine="493"/>
    </w:pPr>
    <w:rPr>
      <w:rFonts w:ascii="黑体" w:hAnsi="Times New Roman" w:eastAsia="黑体" w:cs="Times New Roman"/>
      <w:color w:val="auto"/>
      <w:spacing w:val="8"/>
      <w:kern w:val="21"/>
      <w:sz w:val="21"/>
      <w:szCs w:val="20"/>
      <w:lang w:val="en-US" w:eastAsia="zh-CN" w:bidi="ar-SA"/>
    </w:rPr>
  </w:style>
  <w:style w:type="paragraph" w:customStyle="1" w:styleId="290">
    <w:name w:val="font5"/>
    <w:basedOn w:val="1"/>
    <w:qFormat/>
    <w:uiPriority w:val="0"/>
    <w:pPr>
      <w:widowControl/>
      <w:spacing w:before="100" w:beforeAutospacing="1" w:after="100" w:afterAutospacing="1"/>
    </w:pPr>
    <w:rPr>
      <w:rFonts w:ascii="宋体" w:hAnsi="宋体" w:eastAsia="宋体" w:cs="Times New Roman"/>
      <w:color w:val="auto"/>
      <w:lang w:val="en-US" w:eastAsia="zh-CN" w:bidi="ar-SA"/>
    </w:rPr>
  </w:style>
  <w:style w:type="paragraph" w:customStyle="1" w:styleId="291">
    <w:name w:val="font6"/>
    <w:basedOn w:val="1"/>
    <w:qFormat/>
    <w:uiPriority w:val="0"/>
    <w:pPr>
      <w:widowControl/>
      <w:spacing w:before="100" w:beforeAutospacing="1" w:after="100" w:afterAutospacing="1"/>
    </w:pPr>
    <w:rPr>
      <w:rFonts w:ascii="宋体" w:hAnsi="宋体" w:eastAsia="宋体" w:cs="Times New Roman"/>
      <w:color w:val="auto"/>
      <w:sz w:val="18"/>
      <w:szCs w:val="18"/>
      <w:lang w:val="en-US" w:eastAsia="zh-CN" w:bidi="ar-SA"/>
    </w:rPr>
  </w:style>
  <w:style w:type="paragraph" w:customStyle="1" w:styleId="292">
    <w:name w:val="font7"/>
    <w:basedOn w:val="1"/>
    <w:qFormat/>
    <w:uiPriority w:val="0"/>
    <w:pPr>
      <w:widowControl/>
      <w:spacing w:before="100" w:beforeAutospacing="1" w:after="100" w:afterAutospacing="1"/>
    </w:pPr>
    <w:rPr>
      <w:rFonts w:ascii="Times New Roman" w:hAnsi="Times New Roman" w:eastAsia="宋体" w:cs="Times New Roman"/>
      <w:color w:val="auto"/>
      <w:lang w:val="en-US" w:eastAsia="zh-CN" w:bidi="ar-SA"/>
    </w:rPr>
  </w:style>
  <w:style w:type="paragraph" w:customStyle="1" w:styleId="293">
    <w:name w:val="xl2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Times New Roman"/>
      <w:color w:val="auto"/>
      <w:lang w:val="en-US" w:eastAsia="zh-CN" w:bidi="ar-SA"/>
    </w:rPr>
  </w:style>
  <w:style w:type="paragraph" w:customStyle="1" w:styleId="294">
    <w:name w:val="xl2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Times New Roman"/>
      <w:color w:val="auto"/>
      <w:lang w:val="en-US" w:eastAsia="zh-CN" w:bidi="ar-SA"/>
    </w:rPr>
  </w:style>
  <w:style w:type="paragraph" w:customStyle="1" w:styleId="295">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Times New Roman"/>
      <w:color w:val="auto"/>
      <w:lang w:val="en-US" w:eastAsia="zh-CN" w:bidi="ar-SA"/>
    </w:rPr>
  </w:style>
  <w:style w:type="paragraph" w:customStyle="1" w:styleId="296">
    <w:name w:val="15"/>
    <w:basedOn w:val="1"/>
    <w:next w:val="14"/>
    <w:qFormat/>
    <w:uiPriority w:val="0"/>
    <w:pPr>
      <w:ind w:firstLine="420" w:firstLineChars="200"/>
      <w:jc w:val="both"/>
    </w:pPr>
    <w:rPr>
      <w:rFonts w:ascii="Times New Roman" w:hAnsi="Times New Roman" w:eastAsia="宋体" w:cs="Times New Roman"/>
      <w:color w:val="auto"/>
      <w:kern w:val="2"/>
      <w:sz w:val="28"/>
      <w:lang w:val="en-US" w:eastAsia="zh-CN" w:bidi="ar-SA"/>
    </w:rPr>
  </w:style>
  <w:style w:type="paragraph" w:customStyle="1" w:styleId="297">
    <w:name w:val="font9"/>
    <w:basedOn w:val="1"/>
    <w:qFormat/>
    <w:uiPriority w:val="0"/>
    <w:pPr>
      <w:widowControl/>
      <w:spacing w:before="100" w:beforeAutospacing="1" w:after="100" w:afterAutospacing="1"/>
    </w:pPr>
    <w:rPr>
      <w:rFonts w:ascii="Times New Roman" w:hAnsi="Times New Roman" w:eastAsia="宋体" w:cs="Times New Roman"/>
      <w:sz w:val="21"/>
      <w:szCs w:val="21"/>
      <w:lang w:val="en-US" w:eastAsia="zh-CN" w:bidi="ar-SA"/>
    </w:rPr>
  </w:style>
  <w:style w:type="paragraph" w:customStyle="1" w:styleId="298">
    <w:name w:val="14"/>
    <w:basedOn w:val="1"/>
    <w:next w:val="2"/>
    <w:qFormat/>
    <w:uiPriority w:val="0"/>
    <w:pPr>
      <w:spacing w:beforeLines="100"/>
      <w:jc w:val="both"/>
    </w:pPr>
    <w:rPr>
      <w:rFonts w:ascii="Times New Roman" w:hAnsi="Times New Roman" w:eastAsia="宋体" w:cs="Times New Roman"/>
      <w:color w:val="auto"/>
      <w:kern w:val="2"/>
      <w:sz w:val="28"/>
      <w:lang w:val="en-US" w:eastAsia="zh-CN" w:bidi="ar-SA"/>
    </w:rPr>
  </w:style>
  <w:style w:type="paragraph" w:customStyle="1" w:styleId="299">
    <w:name w:val="13"/>
    <w:basedOn w:val="1"/>
    <w:next w:val="40"/>
    <w:qFormat/>
    <w:uiPriority w:val="0"/>
    <w:pPr>
      <w:widowControl/>
      <w:spacing w:before="100" w:beforeAutospacing="1" w:after="100" w:afterAutospacing="1"/>
    </w:pPr>
    <w:rPr>
      <w:rFonts w:ascii="宋体" w:hAnsi="宋体" w:eastAsia="宋体" w:cs="Times New Roman"/>
      <w:color w:val="auto"/>
      <w:lang w:val="en-US" w:eastAsia="zh-CN" w:bidi="ar-SA"/>
    </w:rPr>
  </w:style>
  <w:style w:type="paragraph" w:customStyle="1" w:styleId="300">
    <w:name w:val="12"/>
    <w:basedOn w:val="1"/>
    <w:next w:val="19"/>
    <w:qFormat/>
    <w:uiPriority w:val="0"/>
    <w:pPr>
      <w:spacing w:line="400" w:lineRule="exact"/>
      <w:ind w:left="1039" w:leftChars="266" w:hanging="480" w:hangingChars="200"/>
      <w:jc w:val="both"/>
    </w:pPr>
    <w:rPr>
      <w:rFonts w:ascii="宋体" w:hAnsi="宋体" w:eastAsia="宋体" w:cs="Times New Roman"/>
      <w:color w:val="auto"/>
      <w:kern w:val="2"/>
      <w:lang w:val="en-US" w:eastAsia="zh-CN" w:bidi="ar-SA"/>
    </w:rPr>
  </w:style>
  <w:style w:type="paragraph" w:customStyle="1" w:styleId="301">
    <w:name w:val="xl5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Times New Roman"/>
      <w:sz w:val="22"/>
      <w:szCs w:val="22"/>
      <w:lang w:val="en-US" w:eastAsia="zh-CN" w:bidi="ar-SA"/>
    </w:rPr>
  </w:style>
  <w:style w:type="paragraph" w:customStyle="1" w:styleId="302">
    <w:name w:val="font0"/>
    <w:basedOn w:val="1"/>
    <w:qFormat/>
    <w:uiPriority w:val="0"/>
    <w:pPr>
      <w:widowControl/>
      <w:spacing w:before="100" w:beforeAutospacing="1" w:after="100" w:afterAutospacing="1"/>
    </w:pPr>
    <w:rPr>
      <w:rFonts w:ascii="宋体" w:hAnsi="宋体" w:eastAsia="宋体" w:cs="Times New Roman"/>
      <w:color w:val="auto"/>
      <w:lang w:val="en-US" w:eastAsia="zh-CN" w:bidi="ar-SA"/>
    </w:rPr>
  </w:style>
  <w:style w:type="paragraph" w:customStyle="1" w:styleId="303">
    <w:name w:val="font8"/>
    <w:basedOn w:val="1"/>
    <w:qFormat/>
    <w:uiPriority w:val="0"/>
    <w:pPr>
      <w:widowControl/>
      <w:spacing w:before="100" w:beforeAutospacing="1" w:after="100" w:afterAutospacing="1"/>
    </w:pPr>
    <w:rPr>
      <w:rFonts w:ascii="宋体" w:hAnsi="宋体" w:eastAsia="宋体" w:cs="Times New Roman"/>
      <w:sz w:val="21"/>
      <w:szCs w:val="21"/>
      <w:lang w:val="en-US" w:eastAsia="zh-CN" w:bidi="ar-SA"/>
    </w:rPr>
  </w:style>
  <w:style w:type="paragraph" w:customStyle="1" w:styleId="304">
    <w:name w:val="font10"/>
    <w:basedOn w:val="1"/>
    <w:qFormat/>
    <w:uiPriority w:val="0"/>
    <w:pPr>
      <w:widowControl/>
      <w:spacing w:before="100" w:beforeAutospacing="1" w:after="100" w:afterAutospacing="1"/>
    </w:pPr>
    <w:rPr>
      <w:rFonts w:ascii="宋体" w:hAnsi="宋体" w:eastAsia="宋体" w:cs="Times New Roman"/>
      <w:color w:val="auto"/>
      <w:sz w:val="18"/>
      <w:szCs w:val="18"/>
      <w:lang w:val="en-US" w:eastAsia="zh-CN" w:bidi="ar-SA"/>
    </w:rPr>
  </w:style>
  <w:style w:type="paragraph" w:customStyle="1" w:styleId="305">
    <w:name w:val="font11"/>
    <w:basedOn w:val="1"/>
    <w:qFormat/>
    <w:uiPriority w:val="0"/>
    <w:pPr>
      <w:widowControl/>
      <w:spacing w:before="100" w:beforeAutospacing="1" w:after="100" w:afterAutospacing="1"/>
    </w:pPr>
    <w:rPr>
      <w:rFonts w:ascii="宋体" w:hAnsi="宋体" w:eastAsia="宋体" w:cs="Times New Roman"/>
      <w:b/>
      <w:bCs/>
      <w:color w:val="auto"/>
      <w:sz w:val="32"/>
      <w:szCs w:val="32"/>
      <w:lang w:val="en-US" w:eastAsia="zh-CN" w:bidi="ar-SA"/>
    </w:rPr>
  </w:style>
  <w:style w:type="paragraph" w:customStyle="1" w:styleId="306">
    <w:name w:val="font12"/>
    <w:basedOn w:val="1"/>
    <w:qFormat/>
    <w:uiPriority w:val="0"/>
    <w:pPr>
      <w:widowControl/>
      <w:spacing w:before="100" w:beforeAutospacing="1" w:after="100" w:afterAutospacing="1"/>
    </w:pPr>
    <w:rPr>
      <w:rFonts w:ascii="Times New Roman" w:hAnsi="Times New Roman" w:eastAsia="宋体" w:cs="Times New Roman"/>
      <w:color w:val="auto"/>
      <w:lang w:val="en-US" w:eastAsia="zh-CN" w:bidi="ar-SA"/>
    </w:rPr>
  </w:style>
  <w:style w:type="paragraph" w:customStyle="1" w:styleId="307">
    <w:name w:val="font13"/>
    <w:basedOn w:val="1"/>
    <w:qFormat/>
    <w:uiPriority w:val="0"/>
    <w:pPr>
      <w:widowControl/>
      <w:spacing w:before="100" w:beforeAutospacing="1" w:after="100" w:afterAutospacing="1"/>
    </w:pPr>
    <w:rPr>
      <w:rFonts w:ascii="宋体" w:hAnsi="宋体" w:eastAsia="宋体" w:cs="Times New Roman"/>
      <w:lang w:val="en-US" w:eastAsia="zh-CN" w:bidi="ar-SA"/>
    </w:rPr>
  </w:style>
  <w:style w:type="paragraph" w:customStyle="1" w:styleId="308">
    <w:name w:val="font14"/>
    <w:basedOn w:val="1"/>
    <w:qFormat/>
    <w:uiPriority w:val="0"/>
    <w:pPr>
      <w:widowControl/>
      <w:spacing w:before="100" w:beforeAutospacing="1" w:after="100" w:afterAutospacing="1"/>
    </w:pPr>
    <w:rPr>
      <w:rFonts w:ascii="宋体" w:hAnsi="宋体" w:eastAsia="宋体" w:cs="Times New Roman"/>
      <w:sz w:val="22"/>
      <w:szCs w:val="22"/>
      <w:lang w:val="en-US" w:eastAsia="zh-CN" w:bidi="ar-SA"/>
    </w:rPr>
  </w:style>
  <w:style w:type="paragraph" w:customStyle="1" w:styleId="309">
    <w:name w:val="font15"/>
    <w:basedOn w:val="1"/>
    <w:qFormat/>
    <w:uiPriority w:val="0"/>
    <w:pPr>
      <w:widowControl/>
      <w:spacing w:before="100" w:beforeAutospacing="1" w:after="100" w:afterAutospacing="1"/>
    </w:pPr>
    <w:rPr>
      <w:rFonts w:ascii="Times New Roman" w:hAnsi="Times New Roman" w:eastAsia="宋体" w:cs="Times New Roman"/>
      <w:sz w:val="22"/>
      <w:szCs w:val="22"/>
      <w:lang w:val="en-US" w:eastAsia="zh-CN" w:bidi="ar-SA"/>
    </w:rPr>
  </w:style>
  <w:style w:type="paragraph" w:customStyle="1" w:styleId="310">
    <w:name w:val="font16"/>
    <w:basedOn w:val="1"/>
    <w:qFormat/>
    <w:uiPriority w:val="0"/>
    <w:pPr>
      <w:widowControl/>
      <w:spacing w:before="100" w:beforeAutospacing="1" w:after="100" w:afterAutospacing="1"/>
    </w:pPr>
    <w:rPr>
      <w:rFonts w:ascii="Times New Roman" w:hAnsi="Times New Roman" w:eastAsia="宋体" w:cs="Times New Roman"/>
      <w:lang w:val="en-US" w:eastAsia="zh-CN" w:bidi="ar-SA"/>
    </w:rPr>
  </w:style>
  <w:style w:type="paragraph" w:customStyle="1" w:styleId="311">
    <w:name w:val="font17"/>
    <w:basedOn w:val="1"/>
    <w:qFormat/>
    <w:uiPriority w:val="0"/>
    <w:pPr>
      <w:widowControl/>
      <w:spacing w:before="100" w:beforeAutospacing="1" w:after="100" w:afterAutospacing="1"/>
    </w:pPr>
    <w:rPr>
      <w:rFonts w:ascii="仿宋_GB2312" w:hAnsi="宋体" w:eastAsia="仿宋_GB2312" w:cs="Times New Roman"/>
      <w:b/>
      <w:bCs/>
      <w:color w:val="auto"/>
      <w:sz w:val="32"/>
      <w:szCs w:val="32"/>
      <w:lang w:val="en-US" w:eastAsia="zh-CN" w:bidi="ar-SA"/>
    </w:rPr>
  </w:style>
  <w:style w:type="paragraph" w:customStyle="1" w:styleId="312">
    <w:name w:val="font18"/>
    <w:basedOn w:val="1"/>
    <w:qFormat/>
    <w:uiPriority w:val="0"/>
    <w:pPr>
      <w:widowControl/>
      <w:spacing w:before="100" w:beforeAutospacing="1" w:after="100" w:afterAutospacing="1"/>
    </w:pPr>
    <w:rPr>
      <w:rFonts w:ascii="Times New Roman" w:hAnsi="Times New Roman" w:eastAsia="宋体" w:cs="Times New Roman"/>
      <w:b/>
      <w:bCs/>
      <w:color w:val="auto"/>
      <w:sz w:val="32"/>
      <w:szCs w:val="32"/>
      <w:lang w:val="en-US" w:eastAsia="zh-CN" w:bidi="ar-SA"/>
    </w:rPr>
  </w:style>
  <w:style w:type="paragraph" w:customStyle="1" w:styleId="313">
    <w:name w:val="xl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宋体" w:hAnsi="宋体" w:eastAsia="宋体" w:cs="Times New Roman"/>
      <w:color w:val="auto"/>
      <w:lang w:val="en-US" w:eastAsia="zh-CN" w:bidi="ar-SA"/>
    </w:rPr>
  </w:style>
  <w:style w:type="paragraph" w:customStyle="1" w:styleId="314">
    <w:name w:val="xl28"/>
    <w:basedOn w:val="1"/>
    <w:qFormat/>
    <w:uiPriority w:val="0"/>
    <w:pPr>
      <w:widowControl/>
      <w:pBdr>
        <w:bottom w:val="single" w:color="auto" w:sz="4" w:space="0"/>
        <w:right w:val="single" w:color="auto" w:sz="4" w:space="0"/>
      </w:pBdr>
      <w:spacing w:before="100" w:beforeAutospacing="1" w:after="100" w:afterAutospacing="1"/>
    </w:pPr>
    <w:rPr>
      <w:rFonts w:ascii="Times New Roman" w:hAnsi="Times New Roman" w:eastAsia="宋体" w:cs="Times New Roman"/>
      <w:color w:val="auto"/>
      <w:sz w:val="21"/>
      <w:szCs w:val="21"/>
      <w:lang w:val="en-US" w:eastAsia="zh-CN" w:bidi="ar-SA"/>
    </w:rPr>
  </w:style>
  <w:style w:type="paragraph" w:customStyle="1" w:styleId="315">
    <w:name w:val="xl30"/>
    <w:basedOn w:val="1"/>
    <w:qFormat/>
    <w:uiPriority w:val="0"/>
    <w:pPr>
      <w:widowControl/>
      <w:pBdr>
        <w:bottom w:val="single" w:color="auto" w:sz="4" w:space="0"/>
        <w:right w:val="single" w:color="auto" w:sz="4" w:space="0"/>
      </w:pBdr>
      <w:spacing w:before="100" w:beforeAutospacing="1" w:after="100" w:afterAutospacing="1"/>
    </w:pPr>
    <w:rPr>
      <w:rFonts w:ascii="Times New Roman" w:hAnsi="Times New Roman" w:eastAsia="宋体" w:cs="Times New Roman"/>
      <w:sz w:val="21"/>
      <w:szCs w:val="21"/>
      <w:lang w:val="en-US" w:eastAsia="zh-CN" w:bidi="ar-SA"/>
    </w:rPr>
  </w:style>
  <w:style w:type="paragraph" w:customStyle="1" w:styleId="316">
    <w:name w:val="xl31"/>
    <w:basedOn w:val="1"/>
    <w:qFormat/>
    <w:uiPriority w:val="0"/>
    <w:pPr>
      <w:widowControl/>
      <w:pBdr>
        <w:bottom w:val="single" w:color="auto" w:sz="4" w:space="0"/>
        <w:right w:val="single" w:color="auto" w:sz="4" w:space="0"/>
      </w:pBdr>
      <w:spacing w:before="100" w:beforeAutospacing="1" w:after="100" w:afterAutospacing="1"/>
      <w:jc w:val="both"/>
    </w:pPr>
    <w:rPr>
      <w:rFonts w:ascii="Times New Roman" w:hAnsi="Times New Roman" w:eastAsia="宋体" w:cs="Times New Roman"/>
      <w:sz w:val="21"/>
      <w:szCs w:val="21"/>
      <w:lang w:val="en-US" w:eastAsia="zh-CN" w:bidi="ar-SA"/>
    </w:rPr>
  </w:style>
  <w:style w:type="paragraph" w:customStyle="1" w:styleId="317">
    <w:name w:val="xl32"/>
    <w:basedOn w:val="1"/>
    <w:qFormat/>
    <w:uiPriority w:val="0"/>
    <w:pPr>
      <w:widowControl/>
      <w:pBdr>
        <w:bottom w:val="single" w:color="auto" w:sz="4" w:space="0"/>
        <w:right w:val="single" w:color="auto" w:sz="4" w:space="0"/>
      </w:pBdr>
      <w:spacing w:before="100" w:beforeAutospacing="1" w:after="100" w:afterAutospacing="1"/>
    </w:pPr>
    <w:rPr>
      <w:rFonts w:ascii="宋体" w:hAnsi="宋体" w:eastAsia="宋体" w:cs="Times New Roman"/>
      <w:sz w:val="21"/>
      <w:szCs w:val="21"/>
      <w:lang w:val="en-US" w:eastAsia="zh-CN" w:bidi="ar-SA"/>
    </w:rPr>
  </w:style>
  <w:style w:type="paragraph" w:customStyle="1" w:styleId="318">
    <w:name w:val="xl3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Times New Roman"/>
      <w:color w:val="auto"/>
      <w:lang w:val="en-US" w:eastAsia="zh-CN" w:bidi="ar-SA"/>
    </w:rPr>
  </w:style>
  <w:style w:type="paragraph" w:customStyle="1" w:styleId="319">
    <w:name w:val="xl35"/>
    <w:basedOn w:val="1"/>
    <w:qFormat/>
    <w:uiPriority w:val="0"/>
    <w:pPr>
      <w:widowControl/>
      <w:pBdr>
        <w:bottom w:val="single" w:color="auto" w:sz="4" w:space="0"/>
        <w:right w:val="single" w:color="auto" w:sz="4" w:space="0"/>
      </w:pBdr>
      <w:spacing w:before="100" w:beforeAutospacing="1" w:after="100" w:afterAutospacing="1"/>
      <w:jc w:val="center"/>
    </w:pPr>
    <w:rPr>
      <w:rFonts w:ascii="宋体" w:hAnsi="宋体" w:eastAsia="宋体" w:cs="Times New Roman"/>
      <w:color w:val="auto"/>
      <w:lang w:val="en-US" w:eastAsia="zh-CN" w:bidi="ar-SA"/>
    </w:rPr>
  </w:style>
  <w:style w:type="paragraph" w:customStyle="1" w:styleId="320">
    <w:name w:val="xl36"/>
    <w:basedOn w:val="1"/>
    <w:qFormat/>
    <w:uiPriority w:val="0"/>
    <w:pPr>
      <w:widowControl/>
      <w:pBdr>
        <w:bottom w:val="single" w:color="auto" w:sz="4" w:space="0"/>
        <w:right w:val="single" w:color="auto" w:sz="4" w:space="0"/>
      </w:pBdr>
      <w:spacing w:before="100" w:beforeAutospacing="1" w:after="100" w:afterAutospacing="1"/>
      <w:jc w:val="center"/>
    </w:pPr>
    <w:rPr>
      <w:rFonts w:ascii="宋体" w:hAnsi="宋体" w:eastAsia="宋体" w:cs="Times New Roman"/>
      <w:color w:val="auto"/>
      <w:lang w:val="en-US" w:eastAsia="zh-CN" w:bidi="ar-SA"/>
    </w:rPr>
  </w:style>
  <w:style w:type="paragraph" w:customStyle="1" w:styleId="321">
    <w:name w:val="xl37"/>
    <w:basedOn w:val="1"/>
    <w:qFormat/>
    <w:uiPriority w:val="0"/>
    <w:pPr>
      <w:widowControl/>
      <w:pBdr>
        <w:top w:val="single" w:color="auto" w:sz="4" w:space="0"/>
        <w:left w:val="single" w:color="auto" w:sz="4" w:space="0"/>
        <w:bottom w:val="single" w:color="auto" w:sz="4" w:space="0"/>
      </w:pBdr>
      <w:spacing w:before="100" w:beforeAutospacing="1" w:after="100" w:afterAutospacing="1"/>
    </w:pPr>
    <w:rPr>
      <w:rFonts w:ascii="宋体" w:hAnsi="宋体" w:eastAsia="宋体" w:cs="Times New Roman"/>
      <w:color w:val="auto"/>
      <w:sz w:val="21"/>
      <w:szCs w:val="21"/>
      <w:lang w:val="en-US" w:eastAsia="zh-CN" w:bidi="ar-SA"/>
    </w:rPr>
  </w:style>
  <w:style w:type="paragraph" w:customStyle="1" w:styleId="322">
    <w:name w:val="xl38"/>
    <w:basedOn w:val="1"/>
    <w:qFormat/>
    <w:uiPriority w:val="0"/>
    <w:pPr>
      <w:widowControl/>
      <w:pBdr>
        <w:bottom w:val="single" w:color="auto" w:sz="4" w:space="0"/>
      </w:pBdr>
      <w:spacing w:before="100" w:beforeAutospacing="1" w:after="100" w:afterAutospacing="1"/>
    </w:pPr>
    <w:rPr>
      <w:rFonts w:ascii="宋体" w:hAnsi="宋体" w:eastAsia="宋体" w:cs="Times New Roman"/>
      <w:color w:val="auto"/>
      <w:sz w:val="21"/>
      <w:szCs w:val="21"/>
      <w:lang w:val="en-US" w:eastAsia="zh-CN" w:bidi="ar-SA"/>
    </w:rPr>
  </w:style>
  <w:style w:type="paragraph" w:customStyle="1" w:styleId="323">
    <w:name w:val="xl39"/>
    <w:basedOn w:val="1"/>
    <w:qFormat/>
    <w:uiPriority w:val="0"/>
    <w:pPr>
      <w:widowControl/>
      <w:pBdr>
        <w:top w:val="single" w:color="auto" w:sz="4" w:space="0"/>
        <w:right w:val="single" w:color="auto" w:sz="4" w:space="0"/>
      </w:pBdr>
      <w:spacing w:before="100" w:beforeAutospacing="1" w:after="100" w:afterAutospacing="1"/>
      <w:jc w:val="center"/>
    </w:pPr>
    <w:rPr>
      <w:rFonts w:ascii="宋体" w:hAnsi="宋体" w:eastAsia="宋体" w:cs="Times New Roman"/>
      <w:color w:val="auto"/>
      <w:lang w:val="en-US" w:eastAsia="zh-CN" w:bidi="ar-SA"/>
    </w:rPr>
  </w:style>
  <w:style w:type="paragraph" w:customStyle="1" w:styleId="324">
    <w:name w:val="xl4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宋体" w:hAnsi="宋体" w:eastAsia="宋体" w:cs="Times New Roman"/>
      <w:sz w:val="21"/>
      <w:szCs w:val="21"/>
      <w:lang w:val="en-US" w:eastAsia="zh-CN" w:bidi="ar-SA"/>
    </w:rPr>
  </w:style>
  <w:style w:type="paragraph" w:customStyle="1" w:styleId="325">
    <w:name w:val="xl4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Times New Roman" w:hAnsi="Times New Roman" w:eastAsia="宋体" w:cs="Times New Roman"/>
      <w:color w:val="auto"/>
      <w:lang w:val="en-US" w:eastAsia="zh-CN" w:bidi="ar-SA"/>
    </w:rPr>
  </w:style>
  <w:style w:type="paragraph" w:customStyle="1" w:styleId="326">
    <w:name w:val="xl4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宋体" w:hAnsi="宋体" w:eastAsia="宋体" w:cs="Times New Roman"/>
      <w:color w:val="auto"/>
      <w:sz w:val="21"/>
      <w:szCs w:val="21"/>
      <w:lang w:val="en-US" w:eastAsia="zh-CN" w:bidi="ar-SA"/>
    </w:rPr>
  </w:style>
  <w:style w:type="paragraph" w:customStyle="1" w:styleId="327">
    <w:name w:val="xl43"/>
    <w:basedOn w:val="1"/>
    <w:qFormat/>
    <w:uiPriority w:val="0"/>
    <w:pPr>
      <w:widowControl/>
      <w:pBdr>
        <w:bottom w:val="single" w:color="auto" w:sz="4" w:space="0"/>
        <w:right w:val="single" w:color="auto" w:sz="4" w:space="0"/>
      </w:pBdr>
      <w:spacing w:before="100" w:beforeAutospacing="1" w:after="100" w:afterAutospacing="1"/>
      <w:jc w:val="both"/>
    </w:pPr>
    <w:rPr>
      <w:rFonts w:ascii="宋体" w:hAnsi="宋体" w:eastAsia="宋体" w:cs="Times New Roman"/>
      <w:sz w:val="21"/>
      <w:szCs w:val="21"/>
      <w:lang w:val="en-US" w:eastAsia="zh-CN" w:bidi="ar-SA"/>
    </w:rPr>
  </w:style>
  <w:style w:type="paragraph" w:customStyle="1" w:styleId="328">
    <w:name w:val="xl4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Times New Roman" w:hAnsi="Times New Roman" w:eastAsia="宋体" w:cs="Times New Roman"/>
      <w:color w:val="auto"/>
      <w:sz w:val="21"/>
      <w:szCs w:val="21"/>
      <w:lang w:val="en-US" w:eastAsia="zh-CN" w:bidi="ar-SA"/>
    </w:rPr>
  </w:style>
  <w:style w:type="paragraph" w:customStyle="1" w:styleId="329">
    <w:name w:val="xl4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Times New Roman"/>
      <w:color w:val="auto"/>
      <w:lang w:val="en-US" w:eastAsia="zh-CN" w:bidi="ar-SA"/>
    </w:rPr>
  </w:style>
  <w:style w:type="paragraph" w:customStyle="1" w:styleId="330">
    <w:name w:val="xl4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Times New Roman" w:hAnsi="Times New Roman" w:eastAsia="宋体" w:cs="Times New Roman"/>
      <w:color w:val="auto"/>
      <w:lang w:val="en-US" w:eastAsia="zh-CN" w:bidi="ar-SA"/>
    </w:rPr>
  </w:style>
  <w:style w:type="paragraph" w:customStyle="1" w:styleId="331">
    <w:name w:val="xl47"/>
    <w:basedOn w:val="1"/>
    <w:qFormat/>
    <w:uiPriority w:val="0"/>
    <w:pPr>
      <w:widowControl/>
      <w:pBdr>
        <w:bottom w:val="single" w:color="auto" w:sz="4" w:space="0"/>
        <w:right w:val="single" w:color="auto" w:sz="4" w:space="0"/>
      </w:pBdr>
      <w:spacing w:before="100" w:beforeAutospacing="1" w:after="100" w:afterAutospacing="1"/>
      <w:jc w:val="center"/>
    </w:pPr>
    <w:rPr>
      <w:rFonts w:ascii="宋体" w:hAnsi="宋体" w:eastAsia="宋体" w:cs="Times New Roman"/>
      <w:color w:val="auto"/>
      <w:sz w:val="21"/>
      <w:szCs w:val="21"/>
      <w:lang w:val="en-US" w:eastAsia="zh-CN" w:bidi="ar-SA"/>
    </w:rPr>
  </w:style>
  <w:style w:type="paragraph" w:customStyle="1" w:styleId="332">
    <w:name w:val="xl4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Times New Roman"/>
      <w:color w:val="auto"/>
      <w:sz w:val="21"/>
      <w:szCs w:val="21"/>
      <w:lang w:val="en-US" w:eastAsia="zh-CN" w:bidi="ar-SA"/>
    </w:rPr>
  </w:style>
  <w:style w:type="paragraph" w:customStyle="1" w:styleId="333">
    <w:name w:val="xl49"/>
    <w:basedOn w:val="1"/>
    <w:qFormat/>
    <w:uiPriority w:val="0"/>
    <w:pPr>
      <w:widowControl/>
      <w:pBdr>
        <w:bottom w:val="single" w:color="auto" w:sz="4" w:space="0"/>
        <w:right w:val="single" w:color="auto" w:sz="4" w:space="0"/>
      </w:pBdr>
      <w:spacing w:before="100" w:beforeAutospacing="1" w:after="100" w:afterAutospacing="1"/>
      <w:jc w:val="center"/>
    </w:pPr>
    <w:rPr>
      <w:rFonts w:ascii="Times New Roman" w:hAnsi="Times New Roman" w:eastAsia="宋体" w:cs="Times New Roman"/>
      <w:color w:val="auto"/>
      <w:sz w:val="21"/>
      <w:szCs w:val="21"/>
      <w:lang w:val="en-US" w:eastAsia="zh-CN" w:bidi="ar-SA"/>
    </w:rPr>
  </w:style>
  <w:style w:type="paragraph" w:customStyle="1" w:styleId="334">
    <w:name w:val="xl5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Times New Roman"/>
      <w:color w:val="auto"/>
      <w:sz w:val="21"/>
      <w:szCs w:val="21"/>
      <w:lang w:val="en-US" w:eastAsia="zh-CN" w:bidi="ar-SA"/>
    </w:rPr>
  </w:style>
  <w:style w:type="paragraph" w:customStyle="1" w:styleId="335">
    <w:name w:val="xl51"/>
    <w:basedOn w:val="1"/>
    <w:qFormat/>
    <w:uiPriority w:val="0"/>
    <w:pPr>
      <w:widowControl/>
      <w:spacing w:before="100" w:beforeAutospacing="1" w:after="100" w:afterAutospacing="1"/>
      <w:jc w:val="center"/>
    </w:pPr>
    <w:rPr>
      <w:rFonts w:ascii="仿宋_GB2312" w:hAnsi="宋体" w:eastAsia="仿宋_GB2312" w:cs="Times New Roman"/>
      <w:b/>
      <w:bCs/>
      <w:color w:val="auto"/>
      <w:sz w:val="32"/>
      <w:szCs w:val="32"/>
      <w:lang w:val="en-US" w:eastAsia="zh-CN" w:bidi="ar-SA"/>
    </w:rPr>
  </w:style>
  <w:style w:type="paragraph" w:customStyle="1" w:styleId="336">
    <w:name w:val="xl52"/>
    <w:basedOn w:val="1"/>
    <w:qFormat/>
    <w:uiPriority w:val="0"/>
    <w:pPr>
      <w:widowControl/>
      <w:spacing w:before="100" w:beforeAutospacing="1" w:after="100" w:afterAutospacing="1"/>
      <w:jc w:val="center"/>
    </w:pPr>
    <w:rPr>
      <w:rFonts w:ascii="宋体" w:hAnsi="宋体" w:eastAsia="宋体" w:cs="Times New Roman"/>
      <w:b/>
      <w:bCs/>
      <w:color w:val="auto"/>
      <w:sz w:val="32"/>
      <w:szCs w:val="32"/>
      <w:lang w:val="en-US" w:eastAsia="zh-CN" w:bidi="ar-SA"/>
    </w:rPr>
  </w:style>
  <w:style w:type="paragraph" w:customStyle="1" w:styleId="337">
    <w:name w:val="xl5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Times New Roman"/>
      <w:color w:val="auto"/>
      <w:sz w:val="22"/>
      <w:szCs w:val="22"/>
      <w:lang w:val="en-US" w:eastAsia="zh-CN" w:bidi="ar-SA"/>
    </w:rPr>
  </w:style>
  <w:style w:type="paragraph" w:customStyle="1" w:styleId="338">
    <w:name w:val="xl55"/>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eastAsia="宋体" w:cs="Times New Roman"/>
      <w:sz w:val="21"/>
      <w:szCs w:val="21"/>
      <w:lang w:val="en-US" w:eastAsia="zh-CN" w:bidi="ar-SA"/>
    </w:rPr>
  </w:style>
  <w:style w:type="paragraph" w:customStyle="1" w:styleId="339">
    <w:name w:val="xl56"/>
    <w:basedOn w:val="1"/>
    <w:qFormat/>
    <w:uiPriority w:val="0"/>
    <w:pPr>
      <w:widowControl/>
      <w:pBdr>
        <w:left w:val="single" w:color="auto" w:sz="4" w:space="0"/>
        <w:right w:val="single" w:color="auto" w:sz="4" w:space="0"/>
      </w:pBdr>
      <w:spacing w:before="100" w:beforeAutospacing="1" w:after="100" w:afterAutospacing="1"/>
      <w:jc w:val="center"/>
    </w:pPr>
    <w:rPr>
      <w:rFonts w:ascii="宋体" w:hAnsi="宋体" w:eastAsia="宋体" w:cs="Times New Roman"/>
      <w:sz w:val="21"/>
      <w:szCs w:val="21"/>
      <w:lang w:val="en-US" w:eastAsia="zh-CN" w:bidi="ar-SA"/>
    </w:rPr>
  </w:style>
  <w:style w:type="paragraph" w:customStyle="1" w:styleId="340">
    <w:name w:val="xl57"/>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Times New Roman"/>
      <w:sz w:val="21"/>
      <w:szCs w:val="21"/>
      <w:lang w:val="en-US" w:eastAsia="zh-CN" w:bidi="ar-SA"/>
    </w:rPr>
  </w:style>
  <w:style w:type="paragraph" w:customStyle="1" w:styleId="341">
    <w:name w:val="xl58"/>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eastAsia="宋体" w:cs="Times New Roman"/>
      <w:color w:val="auto"/>
      <w:lang w:val="en-US" w:eastAsia="zh-CN" w:bidi="ar-SA"/>
    </w:rPr>
  </w:style>
  <w:style w:type="paragraph" w:customStyle="1" w:styleId="342">
    <w:name w:val="xl59"/>
    <w:basedOn w:val="1"/>
    <w:qFormat/>
    <w:uiPriority w:val="0"/>
    <w:pPr>
      <w:widowControl/>
      <w:pBdr>
        <w:left w:val="single" w:color="auto" w:sz="4" w:space="0"/>
        <w:right w:val="single" w:color="auto" w:sz="4" w:space="0"/>
      </w:pBdr>
      <w:spacing w:before="100" w:beforeAutospacing="1" w:after="100" w:afterAutospacing="1"/>
      <w:jc w:val="center"/>
    </w:pPr>
    <w:rPr>
      <w:rFonts w:ascii="宋体" w:hAnsi="宋体" w:eastAsia="宋体" w:cs="Times New Roman"/>
      <w:color w:val="auto"/>
      <w:lang w:val="en-US" w:eastAsia="zh-CN" w:bidi="ar-SA"/>
    </w:rPr>
  </w:style>
  <w:style w:type="paragraph" w:customStyle="1" w:styleId="343">
    <w:name w:val="xl60"/>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Times New Roman"/>
      <w:color w:val="auto"/>
      <w:lang w:val="en-US" w:eastAsia="zh-CN" w:bidi="ar-SA"/>
    </w:rPr>
  </w:style>
  <w:style w:type="paragraph" w:customStyle="1" w:styleId="344">
    <w:name w:val="xl61"/>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eastAsia="宋体" w:cs="Times New Roman"/>
      <w:color w:val="auto"/>
      <w:lang w:val="en-US" w:eastAsia="zh-CN" w:bidi="ar-SA"/>
    </w:rPr>
  </w:style>
  <w:style w:type="paragraph" w:customStyle="1" w:styleId="345">
    <w:name w:val="xl62"/>
    <w:basedOn w:val="1"/>
    <w:qFormat/>
    <w:uiPriority w:val="0"/>
    <w:pPr>
      <w:widowControl/>
      <w:pBdr>
        <w:left w:val="single" w:color="auto" w:sz="4" w:space="0"/>
        <w:right w:val="single" w:color="auto" w:sz="4" w:space="0"/>
      </w:pBdr>
      <w:spacing w:before="100" w:beforeAutospacing="1" w:after="100" w:afterAutospacing="1"/>
      <w:jc w:val="center"/>
    </w:pPr>
    <w:rPr>
      <w:rFonts w:ascii="宋体" w:hAnsi="宋体" w:eastAsia="宋体" w:cs="Times New Roman"/>
      <w:color w:val="auto"/>
      <w:lang w:val="en-US" w:eastAsia="zh-CN" w:bidi="ar-SA"/>
    </w:rPr>
  </w:style>
  <w:style w:type="paragraph" w:customStyle="1" w:styleId="346">
    <w:name w:val="xl63"/>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Times New Roman"/>
      <w:color w:val="auto"/>
      <w:lang w:val="en-US" w:eastAsia="zh-CN" w:bidi="ar-SA"/>
    </w:rPr>
  </w:style>
  <w:style w:type="paragraph" w:customStyle="1" w:styleId="347">
    <w:name w:val="xl64"/>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eastAsia="宋体" w:cs="Times New Roman"/>
      <w:color w:val="auto"/>
      <w:lang w:val="en-US" w:eastAsia="zh-CN" w:bidi="ar-SA"/>
    </w:rPr>
  </w:style>
  <w:style w:type="paragraph" w:customStyle="1" w:styleId="348">
    <w:name w:val="xl65"/>
    <w:basedOn w:val="1"/>
    <w:qFormat/>
    <w:uiPriority w:val="0"/>
    <w:pPr>
      <w:widowControl/>
      <w:pBdr>
        <w:left w:val="single" w:color="auto" w:sz="4" w:space="0"/>
        <w:right w:val="single" w:color="auto" w:sz="4" w:space="0"/>
      </w:pBdr>
      <w:spacing w:before="100" w:beforeAutospacing="1" w:after="100" w:afterAutospacing="1"/>
      <w:jc w:val="center"/>
    </w:pPr>
    <w:rPr>
      <w:rFonts w:ascii="宋体" w:hAnsi="宋体" w:eastAsia="宋体" w:cs="Times New Roman"/>
      <w:color w:val="auto"/>
      <w:lang w:val="en-US" w:eastAsia="zh-CN" w:bidi="ar-SA"/>
    </w:rPr>
  </w:style>
  <w:style w:type="paragraph" w:customStyle="1" w:styleId="349">
    <w:name w:val="xl66"/>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Times New Roman"/>
      <w:color w:val="auto"/>
      <w:lang w:val="en-US" w:eastAsia="zh-CN" w:bidi="ar-SA"/>
    </w:rPr>
  </w:style>
  <w:style w:type="paragraph" w:customStyle="1" w:styleId="350">
    <w:name w:val="xl67"/>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eastAsia="宋体" w:cs="Times New Roman"/>
      <w:color w:val="auto"/>
      <w:sz w:val="21"/>
      <w:szCs w:val="21"/>
      <w:lang w:val="en-US" w:eastAsia="zh-CN" w:bidi="ar-SA"/>
    </w:rPr>
  </w:style>
  <w:style w:type="paragraph" w:customStyle="1" w:styleId="351">
    <w:name w:val="xl68"/>
    <w:basedOn w:val="1"/>
    <w:qFormat/>
    <w:uiPriority w:val="0"/>
    <w:pPr>
      <w:widowControl/>
      <w:pBdr>
        <w:left w:val="single" w:color="auto" w:sz="4" w:space="0"/>
        <w:right w:val="single" w:color="auto" w:sz="4" w:space="0"/>
      </w:pBdr>
      <w:spacing w:before="100" w:beforeAutospacing="1" w:after="100" w:afterAutospacing="1"/>
      <w:jc w:val="center"/>
    </w:pPr>
    <w:rPr>
      <w:rFonts w:ascii="宋体" w:hAnsi="宋体" w:eastAsia="宋体" w:cs="Times New Roman"/>
      <w:color w:val="auto"/>
      <w:sz w:val="21"/>
      <w:szCs w:val="21"/>
      <w:lang w:val="en-US" w:eastAsia="zh-CN" w:bidi="ar-SA"/>
    </w:rPr>
  </w:style>
  <w:style w:type="paragraph" w:customStyle="1" w:styleId="352">
    <w:name w:val="xl69"/>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Times New Roman"/>
      <w:color w:val="auto"/>
      <w:sz w:val="21"/>
      <w:szCs w:val="21"/>
      <w:lang w:val="en-US" w:eastAsia="zh-CN" w:bidi="ar-SA"/>
    </w:rPr>
  </w:style>
  <w:style w:type="paragraph" w:customStyle="1" w:styleId="353">
    <w:name w:val="xl70"/>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eastAsia="宋体" w:cs="Times New Roman"/>
      <w:lang w:val="en-US" w:eastAsia="zh-CN" w:bidi="ar-SA"/>
    </w:rPr>
  </w:style>
  <w:style w:type="paragraph" w:customStyle="1" w:styleId="354">
    <w:name w:val="xl71"/>
    <w:basedOn w:val="1"/>
    <w:qFormat/>
    <w:uiPriority w:val="0"/>
    <w:pPr>
      <w:widowControl/>
      <w:pBdr>
        <w:left w:val="single" w:color="auto" w:sz="4" w:space="0"/>
        <w:right w:val="single" w:color="auto" w:sz="4" w:space="0"/>
      </w:pBdr>
      <w:spacing w:before="100" w:beforeAutospacing="1" w:after="100" w:afterAutospacing="1"/>
      <w:jc w:val="center"/>
    </w:pPr>
    <w:rPr>
      <w:rFonts w:ascii="宋体" w:hAnsi="宋体" w:eastAsia="宋体" w:cs="Times New Roman"/>
      <w:lang w:val="en-US" w:eastAsia="zh-CN" w:bidi="ar-SA"/>
    </w:rPr>
  </w:style>
  <w:style w:type="paragraph" w:customStyle="1" w:styleId="355">
    <w:name w:val="xl72"/>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Times New Roman"/>
      <w:lang w:val="en-US" w:eastAsia="zh-CN" w:bidi="ar-SA"/>
    </w:rPr>
  </w:style>
  <w:style w:type="paragraph" w:customStyle="1" w:styleId="356">
    <w:name w:val="xl73"/>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宋体" w:hAnsi="宋体" w:eastAsia="宋体" w:cs="Times New Roman"/>
      <w:color w:val="auto"/>
      <w:lang w:val="en-US" w:eastAsia="zh-CN" w:bidi="ar-SA"/>
    </w:rPr>
  </w:style>
  <w:style w:type="paragraph" w:customStyle="1" w:styleId="357">
    <w:name w:val="xl74"/>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宋体" w:hAnsi="宋体" w:eastAsia="宋体" w:cs="Times New Roman"/>
      <w:color w:val="auto"/>
      <w:lang w:val="en-US" w:eastAsia="zh-CN" w:bidi="ar-SA"/>
    </w:rPr>
  </w:style>
  <w:style w:type="paragraph" w:customStyle="1" w:styleId="358">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Times New Roman" w:hAnsi="Times New Roman" w:eastAsia="宋体" w:cs="Times New Roman"/>
      <w:color w:val="auto"/>
      <w:sz w:val="21"/>
      <w:szCs w:val="21"/>
      <w:lang w:val="en-US" w:eastAsia="zh-CN" w:bidi="ar-SA"/>
    </w:rPr>
  </w:style>
  <w:style w:type="paragraph" w:customStyle="1" w:styleId="359">
    <w:name w:val="xl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Times New Roman" w:hAnsi="Times New Roman" w:eastAsia="宋体" w:cs="Times New Roman"/>
      <w:color w:val="auto"/>
      <w:sz w:val="21"/>
      <w:szCs w:val="21"/>
      <w:lang w:val="en-US" w:eastAsia="zh-CN" w:bidi="ar-SA"/>
    </w:rPr>
  </w:style>
  <w:style w:type="paragraph" w:customStyle="1" w:styleId="360">
    <w:name w:val="100"/>
    <w:basedOn w:val="279"/>
    <w:qFormat/>
    <w:uiPriority w:val="0"/>
    <w:pPr>
      <w:widowControl w:val="0"/>
      <w:pBdr>
        <w:bottom w:val="none" w:color="auto" w:sz="0" w:space="0"/>
        <w:right w:val="none" w:color="auto" w:sz="0" w:space="0"/>
      </w:pBdr>
      <w:spacing w:before="0" w:beforeAutospacing="0" w:after="0" w:afterAutospacing="0"/>
      <w:ind w:left="4082" w:leftChars="1944"/>
    </w:pPr>
    <w:rPr>
      <w:rFonts w:eastAsia="仿宋_GB2312"/>
      <w:kern w:val="2"/>
      <w:szCs w:val="24"/>
    </w:rPr>
  </w:style>
  <w:style w:type="paragraph" w:customStyle="1" w:styleId="361">
    <w:name w:val="50"/>
    <w:basedOn w:val="360"/>
    <w:qFormat/>
    <w:uiPriority w:val="0"/>
  </w:style>
  <w:style w:type="paragraph" w:customStyle="1" w:styleId="362">
    <w:name w:val="h1"/>
    <w:basedOn w:val="1"/>
    <w:qFormat/>
    <w:uiPriority w:val="0"/>
    <w:pPr>
      <w:widowControl/>
      <w:spacing w:before="100" w:beforeAutospacing="1" w:after="100" w:afterAutospacing="1" w:line="400" w:lineRule="atLeast"/>
    </w:pPr>
    <w:rPr>
      <w:rFonts w:ascii="宋体" w:hAnsi="宋体" w:eastAsia="宋体" w:cs="Times New Roman"/>
      <w:sz w:val="18"/>
      <w:szCs w:val="18"/>
      <w:lang w:val="en-US" w:eastAsia="zh-CN" w:bidi="ar-SA"/>
    </w:rPr>
  </w:style>
  <w:style w:type="paragraph" w:customStyle="1" w:styleId="363">
    <w:name w:val="正文文字缩进1"/>
    <w:basedOn w:val="19"/>
    <w:next w:val="267"/>
    <w:qFormat/>
    <w:uiPriority w:val="0"/>
    <w:pPr>
      <w:snapToGrid w:val="0"/>
      <w:spacing w:line="400" w:lineRule="exact"/>
      <w:ind w:left="964" w:firstLine="493" w:firstLineChars="0"/>
    </w:pPr>
    <w:rPr>
      <w:rFonts w:ascii="Times New Roman" w:hAnsi="Times New Roman"/>
      <w:color w:val="auto"/>
      <w:spacing w:val="8"/>
      <w:kern w:val="24"/>
      <w:sz w:val="24"/>
      <w:szCs w:val="20"/>
    </w:rPr>
  </w:style>
  <w:style w:type="paragraph" w:customStyle="1" w:styleId="364">
    <w:name w:val="正文文字缩进2"/>
    <w:basedOn w:val="363"/>
    <w:next w:val="267"/>
    <w:qFormat/>
    <w:uiPriority w:val="0"/>
    <w:pPr>
      <w:ind w:left="1446" w:firstLine="397"/>
    </w:pPr>
  </w:style>
  <w:style w:type="paragraph" w:customStyle="1" w:styleId="365">
    <w:name w:val="11"/>
    <w:basedOn w:val="1"/>
    <w:next w:val="19"/>
    <w:qFormat/>
    <w:uiPriority w:val="0"/>
    <w:pPr>
      <w:adjustRightInd w:val="0"/>
      <w:snapToGrid w:val="0"/>
      <w:spacing w:line="500" w:lineRule="atLeast"/>
      <w:ind w:firstLine="561"/>
      <w:jc w:val="both"/>
    </w:pPr>
    <w:rPr>
      <w:rFonts w:ascii="楷体_GB2312" w:hAnsi="Times New Roman" w:eastAsia="楷体_GB2312" w:cs="Times New Roman"/>
      <w:color w:val="auto"/>
      <w:kern w:val="2"/>
      <w:sz w:val="28"/>
      <w:szCs w:val="32"/>
      <w:lang w:val="en-US" w:eastAsia="zh-CN" w:bidi="ar-SA"/>
    </w:rPr>
  </w:style>
  <w:style w:type="paragraph" w:customStyle="1" w:styleId="366">
    <w:name w:val="9"/>
    <w:basedOn w:val="1"/>
    <w:next w:val="2"/>
    <w:qFormat/>
    <w:uiPriority w:val="0"/>
    <w:pPr>
      <w:spacing w:beforeLines="100"/>
      <w:jc w:val="both"/>
    </w:pPr>
    <w:rPr>
      <w:rFonts w:ascii="Times New Roman" w:hAnsi="Times New Roman" w:eastAsia="宋体" w:cs="Times New Roman"/>
      <w:color w:val="auto"/>
      <w:kern w:val="2"/>
      <w:sz w:val="28"/>
      <w:lang w:val="en-US" w:eastAsia="zh-CN" w:bidi="ar-SA"/>
    </w:rPr>
  </w:style>
  <w:style w:type="paragraph" w:customStyle="1" w:styleId="367">
    <w:name w:val="8"/>
    <w:basedOn w:val="1"/>
    <w:next w:val="19"/>
    <w:qFormat/>
    <w:uiPriority w:val="0"/>
    <w:pPr>
      <w:ind w:firstLine="538" w:firstLineChars="192"/>
      <w:jc w:val="both"/>
    </w:pPr>
    <w:rPr>
      <w:rFonts w:ascii="宋体" w:hAnsi="宋体" w:eastAsia="宋体" w:cs="Times New Roman"/>
      <w:kern w:val="20"/>
      <w:sz w:val="28"/>
      <w:lang w:val="en-US" w:eastAsia="zh-CN" w:bidi="ar-SA"/>
    </w:rPr>
  </w:style>
  <w:style w:type="paragraph" w:customStyle="1" w:styleId="368">
    <w:name w:val="7"/>
    <w:basedOn w:val="1"/>
    <w:next w:val="19"/>
    <w:qFormat/>
    <w:uiPriority w:val="0"/>
    <w:pPr>
      <w:ind w:firstLine="538" w:firstLineChars="192"/>
      <w:jc w:val="both"/>
    </w:pPr>
    <w:rPr>
      <w:rFonts w:ascii="宋体" w:hAnsi="宋体" w:eastAsia="宋体" w:cs="Times New Roman"/>
      <w:kern w:val="20"/>
      <w:sz w:val="28"/>
      <w:lang w:val="en-US" w:eastAsia="zh-CN" w:bidi="ar-SA"/>
    </w:rPr>
  </w:style>
  <w:style w:type="paragraph" w:customStyle="1" w:styleId="369">
    <w:name w:val="6"/>
    <w:basedOn w:val="1"/>
    <w:next w:val="24"/>
    <w:qFormat/>
    <w:uiPriority w:val="0"/>
    <w:pPr>
      <w:jc w:val="both"/>
    </w:pPr>
    <w:rPr>
      <w:rFonts w:ascii="宋体" w:hAnsi="Courier New" w:eastAsia="宋体" w:cs="Courier New"/>
      <w:color w:val="auto"/>
      <w:kern w:val="2"/>
      <w:sz w:val="21"/>
      <w:szCs w:val="21"/>
      <w:lang w:val="en-US" w:eastAsia="zh-CN" w:bidi="ar-SA"/>
    </w:rPr>
  </w:style>
  <w:style w:type="paragraph" w:customStyle="1" w:styleId="370">
    <w:name w:val="5"/>
    <w:basedOn w:val="1"/>
    <w:next w:val="2"/>
    <w:qFormat/>
    <w:uiPriority w:val="0"/>
    <w:pPr>
      <w:spacing w:beforeLines="100"/>
      <w:jc w:val="both"/>
    </w:pPr>
    <w:rPr>
      <w:rFonts w:ascii="Times New Roman" w:hAnsi="Times New Roman" w:eastAsia="宋体" w:cs="Times New Roman"/>
      <w:color w:val="auto"/>
      <w:kern w:val="2"/>
      <w:sz w:val="28"/>
      <w:lang w:val="en-US" w:eastAsia="zh-CN" w:bidi="ar-SA"/>
    </w:rPr>
  </w:style>
  <w:style w:type="paragraph" w:customStyle="1" w:styleId="371">
    <w:name w:val="4"/>
    <w:basedOn w:val="1"/>
    <w:next w:val="27"/>
    <w:qFormat/>
    <w:uiPriority w:val="0"/>
    <w:pPr>
      <w:ind w:firstLine="538" w:firstLineChars="192"/>
      <w:jc w:val="both"/>
    </w:pPr>
    <w:rPr>
      <w:rFonts w:ascii="Times New Roman" w:hAnsi="Times New Roman" w:eastAsia="宋体" w:cs="Times New Roman"/>
      <w:color w:val="auto"/>
      <w:kern w:val="2"/>
      <w:sz w:val="28"/>
      <w:lang w:val="en-US" w:eastAsia="zh-CN" w:bidi="ar-SA"/>
    </w:rPr>
  </w:style>
  <w:style w:type="paragraph" w:customStyle="1" w:styleId="372">
    <w:name w:val="1"/>
    <w:basedOn w:val="1"/>
    <w:next w:val="19"/>
    <w:qFormat/>
    <w:uiPriority w:val="0"/>
    <w:pPr>
      <w:adjustRightInd w:val="0"/>
      <w:snapToGrid w:val="0"/>
      <w:spacing w:line="500" w:lineRule="atLeast"/>
      <w:ind w:firstLine="561"/>
      <w:jc w:val="both"/>
    </w:pPr>
    <w:rPr>
      <w:rFonts w:ascii="楷体_GB2312" w:hAnsi="Times New Roman" w:eastAsia="楷体_GB2312" w:cs="Times New Roman"/>
      <w:color w:val="auto"/>
      <w:kern w:val="2"/>
      <w:sz w:val="28"/>
      <w:szCs w:val="32"/>
      <w:lang w:val="en-US" w:eastAsia="zh-CN" w:bidi="ar-SA"/>
    </w:rPr>
  </w:style>
  <w:style w:type="paragraph" w:customStyle="1" w:styleId="373">
    <w:name w:val="表文"/>
    <w:qFormat/>
    <w:uiPriority w:val="0"/>
    <w:pPr>
      <w:widowControl/>
      <w:spacing w:line="400" w:lineRule="exact"/>
      <w:jc w:val="center"/>
    </w:pPr>
    <w:rPr>
      <w:rFonts w:ascii="Times New Roman" w:hAnsi="Times New Roman" w:eastAsia="宋体" w:cs="Times New Roman"/>
      <w:sz w:val="21"/>
      <w:szCs w:val="20"/>
      <w:lang w:val="en-US" w:eastAsia="zh-CN" w:bidi="ar-SA"/>
    </w:rPr>
  </w:style>
  <w:style w:type="paragraph" w:customStyle="1" w:styleId="374">
    <w:name w:val="BIG BOLD"/>
    <w:basedOn w:val="1"/>
    <w:qFormat/>
    <w:uiPriority w:val="0"/>
    <w:pPr>
      <w:tabs>
        <w:tab w:val="left" w:leader="underscore" w:pos="1134"/>
      </w:tabs>
      <w:jc w:val="both"/>
    </w:pPr>
    <w:rPr>
      <w:rFonts w:ascii="Times New Roman" w:hAnsi="Times New Roman" w:eastAsia="宋体" w:cs="Times New Roman"/>
      <w:color w:val="auto"/>
      <w:kern w:val="2"/>
      <w:sz w:val="21"/>
      <w:szCs w:val="20"/>
      <w:lang w:val="en-US" w:eastAsia="zh-CN" w:bidi="ar-SA"/>
    </w:rPr>
  </w:style>
  <w:style w:type="paragraph" w:customStyle="1" w:styleId="375">
    <w:name w:val="附录表标题"/>
    <w:next w:val="1"/>
    <w:qFormat/>
    <w:uiPriority w:val="0"/>
    <w:pPr>
      <w:widowControl/>
      <w:numPr>
        <w:ilvl w:val="0"/>
        <w:numId w:val="3"/>
      </w:numPr>
      <w:jc w:val="center"/>
    </w:pPr>
    <w:rPr>
      <w:rFonts w:ascii="黑体" w:hAnsi="Times New Roman" w:eastAsia="黑体" w:cs="Times New Roman"/>
      <w:kern w:val="21"/>
      <w:sz w:val="21"/>
      <w:szCs w:val="20"/>
      <w:lang w:val="en-US" w:eastAsia="zh-CN" w:bidi="ar-SA"/>
    </w:rPr>
  </w:style>
  <w:style w:type="paragraph" w:customStyle="1" w:styleId="376">
    <w:name w:val="Char Char Char Char"/>
    <w:basedOn w:val="1"/>
    <w:qFormat/>
    <w:uiPriority w:val="0"/>
    <w:pPr>
      <w:widowControl/>
      <w:adjustRightInd w:val="0"/>
      <w:spacing w:after="160" w:line="240" w:lineRule="exact"/>
    </w:pPr>
    <w:rPr>
      <w:rFonts w:ascii="Arial" w:hAnsi="Arial" w:eastAsia="Times New Roman" w:cs="Verdana"/>
      <w:b/>
      <w:color w:val="auto"/>
      <w:lang w:val="en-US" w:eastAsia="en-US" w:bidi="ar-SA"/>
    </w:rPr>
  </w:style>
  <w:style w:type="paragraph" w:customStyle="1" w:styleId="377">
    <w:name w:val="样式111"/>
    <w:qFormat/>
    <w:uiPriority w:val="0"/>
    <w:pPr>
      <w:widowControl w:val="0"/>
      <w:adjustRightInd w:val="0"/>
      <w:snapToGrid w:val="0"/>
      <w:spacing w:line="360" w:lineRule="atLeast"/>
      <w:jc w:val="both"/>
    </w:pPr>
    <w:rPr>
      <w:rFonts w:ascii="宋体" w:hAnsi="Times New Roman" w:eastAsia="宋体" w:cs="Times New Roman"/>
      <w:sz w:val="21"/>
      <w:szCs w:val="20"/>
      <w:lang w:val="en-US" w:eastAsia="zh-CN" w:bidi="ar-SA"/>
    </w:rPr>
  </w:style>
  <w:style w:type="paragraph" w:customStyle="1" w:styleId="378">
    <w:name w:val="Char Char Char Char Char Char Char Char Char Char"/>
    <w:basedOn w:val="1"/>
    <w:qFormat/>
    <w:uiPriority w:val="0"/>
    <w:pPr>
      <w:jc w:val="both"/>
    </w:pPr>
    <w:rPr>
      <w:rFonts w:ascii="Times New Roman" w:hAnsi="Times New Roman" w:eastAsia="宋体" w:cs="Times New Roman"/>
      <w:color w:val="auto"/>
      <w:kern w:val="2"/>
      <w:lang w:val="en-US" w:eastAsia="zh-CN" w:bidi="ar-SA"/>
    </w:rPr>
  </w:style>
  <w:style w:type="paragraph" w:customStyle="1" w:styleId="379">
    <w:name w:val="Tblhead"/>
    <w:basedOn w:val="1"/>
    <w:next w:val="1"/>
    <w:qFormat/>
    <w:uiPriority w:val="0"/>
    <w:pPr>
      <w:pageBreakBefore/>
      <w:suppressAutoHyphens/>
      <w:autoSpaceDE w:val="0"/>
      <w:autoSpaceDN w:val="0"/>
      <w:adjustRightInd w:val="0"/>
      <w:jc w:val="center"/>
    </w:pPr>
    <w:rPr>
      <w:rFonts w:ascii="宋体" w:hAnsi="Times New Roman" w:eastAsia="宋体" w:cs="Times New Roman"/>
      <w:color w:val="auto"/>
      <w:spacing w:val="-3"/>
      <w:szCs w:val="20"/>
      <w:lang w:val="en-US" w:eastAsia="zh-CN" w:bidi="ar-SA"/>
    </w:rPr>
  </w:style>
  <w:style w:type="paragraph" w:customStyle="1" w:styleId="380">
    <w:name w:val="样板表头"/>
    <w:basedOn w:val="1"/>
    <w:qFormat/>
    <w:uiPriority w:val="0"/>
    <w:pPr>
      <w:spacing w:line="500" w:lineRule="exact"/>
      <w:jc w:val="both"/>
    </w:pPr>
    <w:rPr>
      <w:rFonts w:ascii="黑体" w:hAnsi="宋体" w:eastAsia="黑体" w:cs="Times New Roman"/>
      <w:bCs/>
      <w:color w:val="auto"/>
      <w:kern w:val="2"/>
      <w:sz w:val="28"/>
      <w:lang w:val="en-US" w:eastAsia="zh-CN" w:bidi="ar-SA"/>
    </w:rPr>
  </w:style>
  <w:style w:type="paragraph" w:customStyle="1" w:styleId="381">
    <w:name w:val="样式 正文文本 + 首行缩进:  2 字符1"/>
    <w:basedOn w:val="2"/>
    <w:qFormat/>
    <w:uiPriority w:val="0"/>
    <w:pPr>
      <w:autoSpaceDE w:val="0"/>
      <w:autoSpaceDN w:val="0"/>
      <w:adjustRightInd w:val="0"/>
      <w:spacing w:line="360" w:lineRule="auto"/>
      <w:ind w:firstLine="200" w:firstLineChars="200"/>
    </w:pPr>
    <w:rPr>
      <w:rFonts w:cs="宋体"/>
      <w:kern w:val="0"/>
      <w:sz w:val="28"/>
      <w:szCs w:val="28"/>
      <w:lang w:val="zh-CN"/>
    </w:rPr>
  </w:style>
  <w:style w:type="paragraph" w:customStyle="1" w:styleId="382">
    <w:name w:val="正文样式1"/>
    <w:basedOn w:val="1"/>
    <w:qFormat/>
    <w:uiPriority w:val="0"/>
    <w:pPr>
      <w:jc w:val="both"/>
    </w:pPr>
    <w:rPr>
      <w:rFonts w:ascii="Times New Roman" w:hAnsi="Times New Roman" w:eastAsia="宋体" w:cs="Times New Roman"/>
      <w:color w:val="auto"/>
      <w:kern w:val="2"/>
      <w:sz w:val="28"/>
      <w:lang w:val="en-US" w:eastAsia="zh-CN" w:bidi="ar-SA"/>
    </w:rPr>
  </w:style>
  <w:style w:type="paragraph" w:customStyle="1" w:styleId="383">
    <w:name w:val="样式 宋体 四号"/>
    <w:basedOn w:val="1"/>
    <w:qFormat/>
    <w:uiPriority w:val="0"/>
    <w:pPr>
      <w:ind w:firstLine="560" w:firstLineChars="200"/>
      <w:jc w:val="both"/>
    </w:pPr>
    <w:rPr>
      <w:rFonts w:ascii="宋体" w:hAnsi="宋体" w:eastAsia="宋体" w:cs="宋体"/>
      <w:color w:val="auto"/>
      <w:kern w:val="2"/>
      <w:sz w:val="28"/>
      <w:szCs w:val="20"/>
      <w:lang w:val="en-US" w:eastAsia="zh-CN" w:bidi="ar-SA"/>
    </w:rPr>
  </w:style>
  <w:style w:type="paragraph" w:customStyle="1" w:styleId="384">
    <w:name w:val="样式 样式 样式1 + 首行缩进:  2 字符 + 首行缩进:  2 字符"/>
    <w:basedOn w:val="1"/>
    <w:qFormat/>
    <w:uiPriority w:val="0"/>
    <w:pPr>
      <w:spacing w:line="360" w:lineRule="auto"/>
      <w:ind w:firstLine="200" w:firstLineChars="200"/>
      <w:jc w:val="both"/>
    </w:pPr>
    <w:rPr>
      <w:rFonts w:ascii="Times New Roman" w:hAnsi="Times New Roman" w:eastAsia="宋体" w:cs="宋体"/>
      <w:color w:val="auto"/>
      <w:kern w:val="2"/>
      <w:sz w:val="28"/>
      <w:szCs w:val="28"/>
      <w:lang w:val="en-US" w:eastAsia="zh-CN" w:bidi="ar-SA"/>
    </w:rPr>
  </w:style>
  <w:style w:type="paragraph" w:customStyle="1" w:styleId="385">
    <w:name w:val="样式1"/>
    <w:basedOn w:val="1"/>
    <w:qFormat/>
    <w:uiPriority w:val="0"/>
    <w:pPr>
      <w:spacing w:line="360" w:lineRule="auto"/>
      <w:ind w:firstLine="200" w:firstLineChars="200"/>
      <w:jc w:val="both"/>
    </w:pPr>
    <w:rPr>
      <w:rFonts w:ascii="Times New Roman" w:hAnsi="Times New Roman" w:eastAsia="宋体" w:cs="Times New Roman"/>
      <w:color w:val="auto"/>
      <w:kern w:val="2"/>
      <w:sz w:val="28"/>
      <w:lang w:val="en-US" w:eastAsia="zh-CN" w:bidi="ar-SA"/>
    </w:rPr>
  </w:style>
  <w:style w:type="paragraph" w:customStyle="1" w:styleId="386">
    <w:name w:val="首行缩进"/>
    <w:basedOn w:val="1"/>
    <w:qFormat/>
    <w:uiPriority w:val="0"/>
    <w:pPr>
      <w:ind w:firstLine="200" w:firstLineChars="200"/>
      <w:jc w:val="both"/>
    </w:pPr>
    <w:rPr>
      <w:rFonts w:ascii="Times New Roman" w:hAnsi="Times New Roman" w:eastAsia="仿宋_GB2312" w:cs="Times New Roman"/>
      <w:color w:val="auto"/>
      <w:kern w:val="2"/>
      <w:sz w:val="28"/>
      <w:szCs w:val="28"/>
      <w:lang w:val="en-US" w:eastAsia="zh-CN" w:bidi="ar-SA"/>
    </w:rPr>
  </w:style>
  <w:style w:type="paragraph" w:customStyle="1" w:styleId="387">
    <w:name w:val="样式 样式 样式 正文文本 + 首行缩进:  2 字符1 + 首行缩进:  2 字符1 + 首行缩进:  2 字符"/>
    <w:basedOn w:val="1"/>
    <w:qFormat/>
    <w:uiPriority w:val="0"/>
    <w:pPr>
      <w:autoSpaceDE w:val="0"/>
      <w:autoSpaceDN w:val="0"/>
      <w:adjustRightInd w:val="0"/>
      <w:spacing w:line="360" w:lineRule="auto"/>
      <w:ind w:firstLine="200" w:firstLineChars="200"/>
      <w:jc w:val="both"/>
    </w:pPr>
    <w:rPr>
      <w:rFonts w:ascii="Times New Roman" w:hAnsi="Times New Roman" w:eastAsia="宋体" w:cs="宋体"/>
      <w:color w:val="auto"/>
      <w:sz w:val="28"/>
      <w:szCs w:val="20"/>
      <w:lang w:val="zh-CN" w:eastAsia="zh-CN" w:bidi="ar-SA"/>
    </w:rPr>
  </w:style>
  <w:style w:type="paragraph" w:customStyle="1" w:styleId="388">
    <w:name w:val="样式 标题 2节2h2l22nd levelTitre2Header 2节标题 1.1标题 2 Char1标..."/>
    <w:basedOn w:val="4"/>
    <w:qFormat/>
    <w:uiPriority w:val="0"/>
    <w:pPr>
      <w:spacing w:before="240" w:after="240" w:line="360" w:lineRule="auto"/>
    </w:pPr>
    <w:rPr>
      <w:rFonts w:ascii="Times New Roman" w:hAnsi="Times New Roman"/>
      <w:b w:val="0"/>
      <w:bCs w:val="0"/>
      <w:color w:val="000000"/>
      <w:sz w:val="28"/>
      <w:szCs w:val="28"/>
    </w:rPr>
  </w:style>
  <w:style w:type="paragraph" w:customStyle="1" w:styleId="389">
    <w:name w:val="样式 样式 样式 样式 正文文本 + 首行缩进:  2 字符1 + 首行缩进:  2 字符1 + 首行缩进:  2 字符 + 首..."/>
    <w:basedOn w:val="387"/>
    <w:qFormat/>
    <w:uiPriority w:val="0"/>
    <w:rPr>
      <w:szCs w:val="28"/>
    </w:rPr>
  </w:style>
  <w:style w:type="paragraph" w:customStyle="1" w:styleId="390">
    <w:name w:val="样式3"/>
    <w:basedOn w:val="385"/>
    <w:qFormat/>
    <w:uiPriority w:val="0"/>
    <w:pPr>
      <w:ind w:firstLine="0" w:firstLineChars="0"/>
    </w:pPr>
  </w:style>
  <w:style w:type="paragraph" w:customStyle="1" w:styleId="391">
    <w:name w:val="样式4"/>
    <w:basedOn w:val="1"/>
    <w:qFormat/>
    <w:uiPriority w:val="0"/>
    <w:pPr>
      <w:spacing w:line="440" w:lineRule="exact"/>
      <w:jc w:val="center"/>
    </w:pPr>
    <w:rPr>
      <w:rFonts w:ascii="Times New Roman" w:hAnsi="Times New Roman" w:eastAsia="宋体" w:cs="Times New Roman"/>
      <w:color w:val="auto"/>
      <w:kern w:val="2"/>
      <w:lang w:val="en-US" w:eastAsia="zh-CN" w:bidi="ar-SA"/>
    </w:rPr>
  </w:style>
  <w:style w:type="paragraph" w:customStyle="1" w:styleId="392">
    <w:name w:val="样式5"/>
    <w:basedOn w:val="1"/>
    <w:qFormat/>
    <w:uiPriority w:val="0"/>
    <w:pPr>
      <w:spacing w:line="440" w:lineRule="exact"/>
      <w:jc w:val="both"/>
    </w:pPr>
    <w:rPr>
      <w:rFonts w:ascii="Times New Roman" w:hAnsi="Times New Roman" w:eastAsia="宋体" w:cs="Times New Roman"/>
      <w:color w:val="auto"/>
      <w:kern w:val="2"/>
      <w:lang w:val="en-US" w:eastAsia="zh-CN" w:bidi="ar-SA"/>
    </w:rPr>
  </w:style>
  <w:style w:type="character" w:customStyle="1" w:styleId="393">
    <w:name w:val="样式7 Char Char"/>
    <w:link w:val="394"/>
    <w:qFormat/>
    <w:locked/>
    <w:uiPriority w:val="0"/>
    <w:rPr>
      <w:rFonts w:ascii="宋体" w:hAnsi="宋体" w:eastAsia="宋体"/>
      <w:kern w:val="2"/>
      <w:sz w:val="28"/>
      <w:lang w:val="en-US" w:eastAsia="zh-CN" w:bidi="ar-SA"/>
    </w:rPr>
  </w:style>
  <w:style w:type="paragraph" w:customStyle="1" w:styleId="394">
    <w:name w:val="样式7"/>
    <w:basedOn w:val="1"/>
    <w:link w:val="393"/>
    <w:qFormat/>
    <w:uiPriority w:val="0"/>
    <w:pPr>
      <w:spacing w:beforeLines="100" w:line="360" w:lineRule="auto"/>
      <w:ind w:firstLine="560" w:firstLineChars="200"/>
      <w:jc w:val="center"/>
    </w:pPr>
    <w:rPr>
      <w:rFonts w:hint="eastAsia" w:ascii="宋体" w:hAnsi="宋体" w:eastAsia="宋体"/>
      <w:color w:val="auto"/>
      <w:kern w:val="2"/>
      <w:sz w:val="28"/>
      <w:lang w:val="en-US" w:eastAsia="zh-CN" w:bidi="ar-SA"/>
    </w:rPr>
  </w:style>
  <w:style w:type="paragraph" w:customStyle="1" w:styleId="395">
    <w:name w:val="样式 标题 3 + 左侧:  0.75 厘米 首行缩进:  0 厘米 段前: 1 行 段后: 0.5 行1"/>
    <w:basedOn w:val="5"/>
    <w:next w:val="14"/>
    <w:qFormat/>
    <w:uiPriority w:val="0"/>
    <w:pPr>
      <w:adjustRightInd w:val="0"/>
      <w:snapToGrid w:val="0"/>
      <w:spacing w:beforeLines="100" w:afterLines="50" w:line="360" w:lineRule="auto"/>
      <w:ind w:firstLine="560" w:firstLineChars="200"/>
      <w:jc w:val="left"/>
    </w:pPr>
    <w:rPr>
      <w:rFonts w:ascii="宋体" w:hAnsi="宋体"/>
      <w:b w:val="0"/>
      <w:kern w:val="0"/>
      <w:sz w:val="28"/>
      <w:szCs w:val="20"/>
    </w:rPr>
  </w:style>
  <w:style w:type="paragraph" w:customStyle="1" w:styleId="396">
    <w:name w:val="样式 标题 3 + 左侧:  0.75 厘米 首行缩进:  0 厘米 段前: 1 行 段后: 0.5 行"/>
    <w:basedOn w:val="5"/>
    <w:qFormat/>
    <w:uiPriority w:val="0"/>
    <w:pPr>
      <w:tabs>
        <w:tab w:val="left" w:pos="360"/>
      </w:tabs>
      <w:adjustRightInd w:val="0"/>
      <w:snapToGrid w:val="0"/>
      <w:spacing w:beforeLines="100" w:afterLines="50" w:line="360" w:lineRule="auto"/>
      <w:ind w:firstLine="200" w:firstLineChars="200"/>
      <w:jc w:val="left"/>
    </w:pPr>
    <w:rPr>
      <w:rFonts w:ascii="宋体" w:hAnsi="宋体"/>
      <w:b w:val="0"/>
      <w:kern w:val="0"/>
      <w:sz w:val="28"/>
      <w:szCs w:val="20"/>
    </w:rPr>
  </w:style>
  <w:style w:type="paragraph" w:customStyle="1" w:styleId="397">
    <w:name w:val="正文首行缩进 21"/>
    <w:basedOn w:val="1"/>
    <w:link w:val="398"/>
    <w:qFormat/>
    <w:uiPriority w:val="0"/>
    <w:pPr>
      <w:jc w:val="both"/>
    </w:pPr>
    <w:rPr>
      <w:rFonts w:ascii="Times New Roman" w:hAnsi="Times New Roman" w:eastAsia="宋体" w:cs="Times New Roman"/>
      <w:kern w:val="2"/>
      <w:sz w:val="21"/>
      <w:lang w:val="en-US" w:eastAsia="zh-CN" w:bidi="ar-SA"/>
    </w:rPr>
  </w:style>
  <w:style w:type="character" w:customStyle="1" w:styleId="398">
    <w:name w:val="正文首行缩进 2 Char"/>
    <w:basedOn w:val="265"/>
    <w:link w:val="397"/>
    <w:qFormat/>
    <w:locked/>
    <w:uiPriority w:val="0"/>
    <w:rPr>
      <w:rFonts w:ascii="Times New Roman" w:hAnsi="Times New Roman" w:eastAsia="宋体" w:cs="Times New Roman"/>
      <w:color w:val="000000"/>
      <w:kern w:val="2"/>
      <w:sz w:val="21"/>
      <w:lang w:val="en-US" w:eastAsia="zh-CN" w:bidi="ar-SA"/>
    </w:rPr>
  </w:style>
  <w:style w:type="paragraph" w:customStyle="1" w:styleId="399">
    <w:name w:val="样式 标题 1 + 首行缩进:  2 字符"/>
    <w:basedOn w:val="3"/>
    <w:next w:val="397"/>
    <w:qFormat/>
    <w:uiPriority w:val="0"/>
    <w:pPr>
      <w:tabs>
        <w:tab w:val="left" w:pos="425"/>
      </w:tabs>
      <w:spacing w:before="340" w:line="576" w:lineRule="auto"/>
      <w:ind w:left="425" w:hanging="425" w:firstLineChars="1200"/>
    </w:pPr>
    <w:rPr>
      <w:rFonts w:ascii="宋体" w:hAnsi="宋体" w:eastAsia="宋体"/>
      <w:b/>
      <w:bCs/>
      <w:snapToGrid/>
      <w:kern w:val="32"/>
      <w:szCs w:val="20"/>
    </w:rPr>
  </w:style>
  <w:style w:type="paragraph" w:customStyle="1" w:styleId="400">
    <w:name w:val="样式 样式 标题 1 + 首行缩进:  2 字符 + (西文) 宋体"/>
    <w:basedOn w:val="399"/>
    <w:qFormat/>
    <w:uiPriority w:val="0"/>
    <w:pPr>
      <w:pageBreakBefore/>
      <w:tabs>
        <w:tab w:val="left" w:pos="555"/>
        <w:tab w:val="clear" w:pos="425"/>
      </w:tabs>
      <w:ind w:left="555" w:hanging="555"/>
    </w:pPr>
  </w:style>
  <w:style w:type="paragraph" w:customStyle="1" w:styleId="401">
    <w:name w:val="样式6"/>
    <w:basedOn w:val="1"/>
    <w:qFormat/>
    <w:uiPriority w:val="0"/>
    <w:pPr>
      <w:spacing w:line="360" w:lineRule="auto"/>
      <w:ind w:firstLine="200" w:firstLineChars="200"/>
      <w:jc w:val="both"/>
    </w:pPr>
    <w:rPr>
      <w:rFonts w:ascii="Times New Roman" w:hAnsi="Times New Roman" w:eastAsia="宋体" w:cs="Times New Roman"/>
      <w:color w:val="auto"/>
      <w:kern w:val="2"/>
      <w:sz w:val="28"/>
      <w:lang w:val="en-US" w:eastAsia="zh-CN" w:bidi="ar-SA"/>
    </w:rPr>
  </w:style>
  <w:style w:type="paragraph" w:customStyle="1" w:styleId="402">
    <w:name w:val="表题"/>
    <w:qFormat/>
    <w:uiPriority w:val="0"/>
    <w:pPr>
      <w:widowControl w:val="0"/>
      <w:spacing w:line="360" w:lineRule="auto"/>
      <w:jc w:val="center"/>
    </w:pPr>
    <w:rPr>
      <w:rFonts w:ascii="Times New Roman" w:hAnsi="Times New Roman" w:eastAsia="楷体_GB2312" w:cs="Times New Roman"/>
      <w:b/>
      <w:sz w:val="32"/>
      <w:szCs w:val="20"/>
      <w:lang w:val="en-US" w:eastAsia="zh-CN" w:bidi="ar-SA"/>
    </w:rPr>
  </w:style>
  <w:style w:type="paragraph" w:customStyle="1" w:styleId="403">
    <w:name w:val="图表五号"/>
    <w:basedOn w:val="1"/>
    <w:qFormat/>
    <w:uiPriority w:val="0"/>
    <w:pPr>
      <w:autoSpaceDE w:val="0"/>
      <w:autoSpaceDN w:val="0"/>
      <w:adjustRightInd w:val="0"/>
      <w:snapToGrid w:val="0"/>
      <w:spacing w:line="20" w:lineRule="atLeast"/>
      <w:jc w:val="center"/>
    </w:pPr>
    <w:rPr>
      <w:rFonts w:ascii="Times New Roman" w:hAnsi="Times New Roman" w:eastAsia="宋体" w:cs="Times New Roman"/>
      <w:color w:val="auto"/>
      <w:kern w:val="2"/>
      <w:sz w:val="21"/>
      <w:szCs w:val="20"/>
      <w:lang w:val="en-US" w:eastAsia="zh-CN" w:bidi="ar-SA"/>
    </w:rPr>
  </w:style>
  <w:style w:type="paragraph" w:customStyle="1" w:styleId="404">
    <w:name w:val="图题"/>
    <w:basedOn w:val="1"/>
    <w:qFormat/>
    <w:uiPriority w:val="0"/>
    <w:pPr>
      <w:spacing w:line="480" w:lineRule="exact"/>
      <w:ind w:firstLine="200" w:firstLineChars="200"/>
      <w:jc w:val="center"/>
    </w:pPr>
    <w:rPr>
      <w:rFonts w:ascii="Arial" w:hAnsi="Arial" w:eastAsia="黑体" w:cs="Times New Roman"/>
      <w:color w:val="auto"/>
      <w:kern w:val="2"/>
      <w:sz w:val="28"/>
      <w:lang w:val="en-US" w:eastAsia="zh-CN" w:bidi="ar-SA"/>
    </w:rPr>
  </w:style>
  <w:style w:type="paragraph" w:customStyle="1" w:styleId="405">
    <w:name w:val="图文1"/>
    <w:qFormat/>
    <w:uiPriority w:val="0"/>
    <w:pPr>
      <w:widowControl/>
      <w:spacing w:line="200" w:lineRule="exact"/>
      <w:jc w:val="center"/>
    </w:pPr>
    <w:rPr>
      <w:rFonts w:ascii="Times New Roman" w:hAnsi="Times New Roman" w:eastAsia="楷体_GB2312" w:cs="Times New Roman"/>
      <w:sz w:val="21"/>
      <w:szCs w:val="20"/>
      <w:lang w:val="en-US" w:eastAsia="zh-CN" w:bidi="ar-SA"/>
    </w:rPr>
  </w:style>
  <w:style w:type="paragraph" w:customStyle="1" w:styleId="406">
    <w:name w:val="表注"/>
    <w:qFormat/>
    <w:uiPriority w:val="0"/>
    <w:pPr>
      <w:widowControl/>
      <w:spacing w:afterLines="50" w:line="360" w:lineRule="auto"/>
      <w:ind w:firstLine="200" w:firstLineChars="200"/>
    </w:pPr>
    <w:rPr>
      <w:rFonts w:ascii="Times New Roman" w:hAnsi="Times New Roman" w:eastAsia="楷体_GB2312" w:cs="Times New Roman"/>
      <w:sz w:val="24"/>
      <w:szCs w:val="20"/>
      <w:lang w:val="en-US" w:eastAsia="zh-CN" w:bidi="ar-SA"/>
    </w:rPr>
  </w:style>
  <w:style w:type="paragraph" w:customStyle="1" w:styleId="407">
    <w:name w:val="样式11"/>
    <w:basedOn w:val="1"/>
    <w:qFormat/>
    <w:uiPriority w:val="0"/>
    <w:pPr>
      <w:spacing w:line="360" w:lineRule="auto"/>
      <w:ind w:firstLine="200" w:firstLineChars="200"/>
      <w:jc w:val="both"/>
    </w:pPr>
    <w:rPr>
      <w:rFonts w:ascii="Times New Roman" w:hAnsi="Times New Roman" w:eastAsia="宋体" w:cs="Times New Roman"/>
      <w:kern w:val="2"/>
      <w:sz w:val="28"/>
      <w:lang w:val="en-US" w:eastAsia="zh-CN" w:bidi="ar-SA"/>
    </w:rPr>
  </w:style>
  <w:style w:type="paragraph" w:customStyle="1" w:styleId="408">
    <w:name w:val="样式 标题 3 + 首行缩进:  2 字符"/>
    <w:basedOn w:val="5"/>
    <w:qFormat/>
    <w:uiPriority w:val="0"/>
    <w:pPr>
      <w:spacing w:before="240" w:after="240" w:line="360" w:lineRule="auto"/>
      <w:ind w:firstLine="200" w:firstLineChars="200"/>
    </w:pPr>
    <w:rPr>
      <w:rFonts w:eastAsia="黑体" w:cs="宋体"/>
      <w:b w:val="0"/>
      <w:bCs w:val="0"/>
      <w:sz w:val="28"/>
      <w:szCs w:val="28"/>
    </w:rPr>
  </w:style>
  <w:style w:type="paragraph" w:customStyle="1" w:styleId="409">
    <w:name w:val="样式 标题 2 + 首行缩进:  2 字符1"/>
    <w:basedOn w:val="4"/>
    <w:qFormat/>
    <w:uiPriority w:val="0"/>
    <w:pPr>
      <w:keepNext w:val="0"/>
      <w:keepLines w:val="0"/>
      <w:widowControl/>
      <w:snapToGrid w:val="0"/>
      <w:spacing w:beforeLines="100" w:afterLines="100" w:line="360" w:lineRule="auto"/>
      <w:jc w:val="center"/>
    </w:pPr>
    <w:rPr>
      <w:rFonts w:ascii="Times New Roman" w:hAnsi="Times New Roman" w:eastAsia="楷体_GB2312" w:cs="宋体"/>
      <w:b w:val="0"/>
      <w:bCs w:val="0"/>
      <w:color w:val="000000"/>
      <w:kern w:val="0"/>
      <w:szCs w:val="28"/>
    </w:rPr>
  </w:style>
  <w:style w:type="paragraph" w:customStyle="1" w:styleId="410">
    <w:name w:val="样式 标题 1标题 1 Char章章标题 1-*+h11st levelSection Headl1 + 行距:..."/>
    <w:basedOn w:val="3"/>
    <w:qFormat/>
    <w:uiPriority w:val="0"/>
    <w:pPr>
      <w:snapToGrid w:val="0"/>
      <w:spacing w:before="240" w:line="360" w:lineRule="auto"/>
    </w:pPr>
    <w:rPr>
      <w:rFonts w:ascii="Times New Roman" w:hAnsi="宋体" w:eastAsia="宋体" w:cs="宋体"/>
      <w:snapToGrid/>
      <w:kern w:val="32"/>
    </w:rPr>
  </w:style>
  <w:style w:type="paragraph" w:customStyle="1" w:styleId="411">
    <w:name w:val="样式 样式 正文文本 + 首行缩进:  2 字符1 + 首行缩进:  2 字符"/>
    <w:basedOn w:val="381"/>
    <w:qFormat/>
    <w:uiPriority w:val="0"/>
    <w:pPr>
      <w:snapToGrid w:val="0"/>
    </w:pPr>
  </w:style>
  <w:style w:type="paragraph" w:customStyle="1" w:styleId="412">
    <w:name w:val="样式 样式 正文文本 + 首行缩进:  2 字符1 + 首行缩进:  2 字符1"/>
    <w:basedOn w:val="381"/>
    <w:qFormat/>
    <w:uiPriority w:val="0"/>
    <w:rPr>
      <w:szCs w:val="20"/>
    </w:rPr>
  </w:style>
  <w:style w:type="paragraph" w:customStyle="1" w:styleId="413">
    <w:name w:val="样式 样式 标题 1标题 1 Char章章标题 1-*+h11st levelSection Headl1 + 行距:... +..."/>
    <w:basedOn w:val="410"/>
    <w:qFormat/>
    <w:uiPriority w:val="0"/>
    <w:pPr>
      <w:snapToGrid/>
    </w:pPr>
    <w:rPr>
      <w:color w:val="000000"/>
    </w:rPr>
  </w:style>
  <w:style w:type="paragraph" w:customStyle="1" w:styleId="414">
    <w:name w:val="样式 正文文字 + 楷体_GB2312 四号 首行缩进:  0.93 厘米"/>
    <w:basedOn w:val="2"/>
    <w:qFormat/>
    <w:uiPriority w:val="0"/>
    <w:pPr>
      <w:widowControl/>
      <w:spacing w:line="560" w:lineRule="exact"/>
      <w:ind w:firstLine="552" w:firstLineChars="200"/>
    </w:pPr>
    <w:rPr>
      <w:rFonts w:ascii="宋体" w:hAnsi="宋体"/>
      <w:spacing w:val="-2"/>
      <w:sz w:val="28"/>
      <w:szCs w:val="28"/>
    </w:rPr>
  </w:style>
  <w:style w:type="paragraph" w:customStyle="1" w:styleId="415">
    <w:name w:val="表格内容"/>
    <w:qFormat/>
    <w:uiPriority w:val="0"/>
    <w:pPr>
      <w:widowControl/>
      <w:jc w:val="both"/>
    </w:pPr>
    <w:rPr>
      <w:rFonts w:ascii="Times New Roman" w:hAnsi="Times New Roman" w:eastAsia="楷体_GB2312" w:cs="Times New Roman"/>
      <w:color w:val="000000"/>
      <w:kern w:val="2"/>
      <w:sz w:val="21"/>
      <w:szCs w:val="24"/>
      <w:lang w:val="en-US" w:eastAsia="zh-CN" w:bidi="ar-SA"/>
    </w:rPr>
  </w:style>
  <w:style w:type="paragraph" w:customStyle="1" w:styleId="416">
    <w:name w:val="样式 标题 2 + 首行缩进:  2 字符"/>
    <w:basedOn w:val="4"/>
    <w:qFormat/>
    <w:uiPriority w:val="0"/>
    <w:pPr>
      <w:keepNext w:val="0"/>
      <w:spacing w:before="120" w:after="120" w:line="480" w:lineRule="exact"/>
      <w:ind w:firstLine="200" w:firstLineChars="200"/>
      <w:jc w:val="left"/>
    </w:pPr>
    <w:rPr>
      <w:rFonts w:ascii="Times New Roman" w:hAnsi="Times New Roman" w:eastAsia="汉鼎简特宋" w:cs="宋体"/>
      <w:b w:val="0"/>
      <w:color w:val="000000"/>
      <w:spacing w:val="6"/>
      <w:sz w:val="28"/>
      <w:szCs w:val="28"/>
    </w:rPr>
  </w:style>
  <w:style w:type="paragraph" w:customStyle="1" w:styleId="417">
    <w:name w:val="样式 正文文字 + 首行缩进:  0.99 厘米"/>
    <w:basedOn w:val="2"/>
    <w:qFormat/>
    <w:uiPriority w:val="0"/>
    <w:pPr>
      <w:spacing w:line="400" w:lineRule="exact"/>
      <w:ind w:firstLine="561"/>
    </w:pPr>
    <w:rPr>
      <w:rFonts w:eastAsia="楷体_GB2312"/>
      <w:kern w:val="0"/>
      <w:sz w:val="28"/>
      <w:szCs w:val="28"/>
    </w:rPr>
  </w:style>
  <w:style w:type="paragraph" w:customStyle="1" w:styleId="418">
    <w:name w:val="gongshi"/>
    <w:basedOn w:val="1"/>
    <w:qFormat/>
    <w:uiPriority w:val="0"/>
    <w:pPr>
      <w:tabs>
        <w:tab w:val="right" w:pos="8400"/>
      </w:tabs>
      <w:wordWrap w:val="0"/>
      <w:spacing w:line="300" w:lineRule="auto"/>
      <w:ind w:left="1200" w:leftChars="1200"/>
    </w:pPr>
    <w:rPr>
      <w:rFonts w:ascii="Times New Roman" w:hAnsi="Times New Roman" w:eastAsia="宋体" w:cs="Times New Roman"/>
      <w:color w:val="auto"/>
      <w:lang w:val="en-US" w:eastAsia="zh-CN" w:bidi="ar-SA"/>
    </w:rPr>
  </w:style>
  <w:style w:type="paragraph" w:customStyle="1" w:styleId="419">
    <w:name w:val="标题3"/>
    <w:qFormat/>
    <w:uiPriority w:val="0"/>
    <w:pPr>
      <w:widowControl/>
      <w:outlineLvl w:val="2"/>
    </w:pPr>
    <w:rPr>
      <w:rFonts w:ascii="Arial" w:hAnsi="Arial" w:eastAsia="黑体" w:cs="Times New Roman"/>
      <w:sz w:val="28"/>
      <w:szCs w:val="20"/>
      <w:lang w:val="en-US" w:eastAsia="zh-CN" w:bidi="ar-SA"/>
    </w:rPr>
  </w:style>
  <w:style w:type="paragraph" w:customStyle="1" w:styleId="420">
    <w:name w:val="项目名称"/>
    <w:basedOn w:val="1"/>
    <w:qFormat/>
    <w:uiPriority w:val="0"/>
    <w:pPr>
      <w:adjustRightInd w:val="0"/>
      <w:spacing w:line="360" w:lineRule="auto"/>
      <w:ind w:firstLine="540"/>
      <w:jc w:val="both"/>
    </w:pPr>
    <w:rPr>
      <w:rFonts w:ascii="宋体" w:hAnsi="宋体" w:eastAsia="宋体" w:cs="Times New Roman"/>
      <w:kern w:val="2"/>
      <w:sz w:val="28"/>
      <w:szCs w:val="28"/>
      <w:lang w:val="en-US" w:eastAsia="zh-CN" w:bidi="ar-SA"/>
    </w:rPr>
  </w:style>
  <w:style w:type="paragraph" w:customStyle="1" w:styleId="421">
    <w:name w:val="a9"/>
    <w:basedOn w:val="1"/>
    <w:qFormat/>
    <w:uiPriority w:val="0"/>
    <w:pPr>
      <w:widowControl/>
      <w:spacing w:before="100" w:beforeAutospacing="1" w:after="100" w:afterAutospacing="1"/>
    </w:pPr>
    <w:rPr>
      <w:rFonts w:ascii="宋体" w:hAnsi="宋体" w:eastAsia="宋体" w:cs="Times New Roman"/>
      <w:color w:val="auto"/>
      <w:lang w:val="en-US" w:eastAsia="zh-CN" w:bidi="ar-SA"/>
    </w:rPr>
  </w:style>
  <w:style w:type="paragraph" w:customStyle="1" w:styleId="422">
    <w:name w:val="xl122"/>
    <w:basedOn w:val="1"/>
    <w:qFormat/>
    <w:uiPriority w:val="0"/>
    <w:pPr>
      <w:widowControl/>
      <w:pBdr>
        <w:left w:val="single" w:color="auto" w:sz="4" w:space="0"/>
        <w:right w:val="single" w:color="auto" w:sz="4" w:space="0"/>
      </w:pBdr>
      <w:spacing w:before="100" w:beforeAutospacing="1" w:after="100" w:afterAutospacing="1"/>
      <w:jc w:val="center"/>
    </w:pPr>
    <w:rPr>
      <w:rFonts w:ascii="Arial Unicode MS" w:hAnsi="Arial Unicode MS" w:eastAsia="Arial Unicode MS" w:cs="Arial Unicode MS"/>
      <w:color w:val="auto"/>
      <w:lang w:val="en-US" w:eastAsia="zh-CN" w:bidi="ar-SA"/>
    </w:rPr>
  </w:style>
  <w:style w:type="paragraph" w:customStyle="1" w:styleId="423">
    <w:name w:val="表中文字"/>
    <w:basedOn w:val="1"/>
    <w:qFormat/>
    <w:uiPriority w:val="0"/>
    <w:pPr>
      <w:spacing w:before="60" w:after="60" w:line="360" w:lineRule="auto"/>
      <w:jc w:val="both"/>
    </w:pPr>
    <w:rPr>
      <w:rFonts w:ascii="Times New Roman" w:hAnsi="Times New Roman" w:eastAsia="宋体" w:cs="Times New Roman"/>
      <w:color w:val="auto"/>
      <w:kern w:val="2"/>
      <w:szCs w:val="20"/>
      <w:lang w:val="en-US" w:eastAsia="zh-CN" w:bidi="ar-SA"/>
    </w:rPr>
  </w:style>
  <w:style w:type="paragraph" w:customStyle="1" w:styleId="424">
    <w:name w:val="样式 标题 2 + (西文) Times New Roman (中文) 楷体_GB2312"/>
    <w:basedOn w:val="4"/>
    <w:next w:val="267"/>
    <w:qFormat/>
    <w:uiPriority w:val="0"/>
    <w:pPr>
      <w:spacing w:before="160" w:after="120"/>
    </w:pPr>
    <w:rPr>
      <w:rFonts w:ascii="Times New Roman" w:hAnsi="Times New Roman" w:eastAsia="楷体_GB2312"/>
    </w:rPr>
  </w:style>
  <w:style w:type="paragraph" w:customStyle="1" w:styleId="425">
    <w:name w:val="样式上"/>
    <w:basedOn w:val="1"/>
    <w:qFormat/>
    <w:uiPriority w:val="0"/>
    <w:pPr>
      <w:snapToGrid w:val="0"/>
      <w:jc w:val="center"/>
    </w:pPr>
    <w:rPr>
      <w:rFonts w:ascii="Times New Roman" w:hAnsi="Times New Roman" w:eastAsia="宋体" w:cs="Times New Roman"/>
      <w:color w:val="auto"/>
      <w:kern w:val="2"/>
      <w:sz w:val="28"/>
      <w:szCs w:val="28"/>
      <w:lang w:val="en-US" w:eastAsia="zh-CN" w:bidi="ar-SA"/>
    </w:rPr>
  </w:style>
  <w:style w:type="paragraph" w:customStyle="1" w:styleId="426">
    <w:name w:val="样式 样式 四号 右侧:  -0.26 厘米 + 首行缩进:  2 字符1"/>
    <w:basedOn w:val="1"/>
    <w:qFormat/>
    <w:uiPriority w:val="0"/>
    <w:pPr>
      <w:spacing w:line="360" w:lineRule="auto"/>
      <w:ind w:firstLine="560" w:firstLineChars="200"/>
      <w:jc w:val="both"/>
    </w:pPr>
    <w:rPr>
      <w:rFonts w:ascii="Times New Roman" w:hAnsi="Times New Roman" w:eastAsia="宋体" w:cs="宋体"/>
      <w:color w:val="auto"/>
      <w:kern w:val="2"/>
      <w:sz w:val="28"/>
      <w:szCs w:val="20"/>
      <w:lang w:val="en-US" w:eastAsia="zh-CN" w:bidi="ar-SA"/>
    </w:rPr>
  </w:style>
  <w:style w:type="paragraph" w:customStyle="1" w:styleId="427">
    <w:name w:val="款项"/>
    <w:basedOn w:val="1"/>
    <w:qFormat/>
    <w:uiPriority w:val="0"/>
    <w:pPr>
      <w:spacing w:beforeLines="50" w:afterLines="50"/>
      <w:jc w:val="both"/>
    </w:pPr>
    <w:rPr>
      <w:rFonts w:ascii="黑体" w:hAnsi="Times New Roman" w:eastAsia="黑体" w:cs="Times New Roman"/>
      <w:color w:val="auto"/>
      <w:kern w:val="2"/>
      <w:szCs w:val="21"/>
      <w:lang w:val="en-US" w:eastAsia="zh-CN" w:bidi="ar-SA"/>
    </w:rPr>
  </w:style>
  <w:style w:type="paragraph" w:customStyle="1" w:styleId="428">
    <w:name w:val="封面标准英文名称"/>
    <w:qFormat/>
    <w:uiPriority w:val="0"/>
    <w:pPr>
      <w:widowControl w:val="0"/>
      <w:spacing w:before="370" w:line="400" w:lineRule="exact"/>
      <w:jc w:val="center"/>
    </w:pPr>
    <w:rPr>
      <w:rFonts w:ascii="Times New Roman" w:hAnsi="Times New Roman" w:eastAsia="宋体" w:cs="Times New Roman"/>
      <w:sz w:val="28"/>
      <w:szCs w:val="20"/>
      <w:lang w:val="en-US" w:eastAsia="zh-CN" w:bidi="ar-SA"/>
    </w:rPr>
  </w:style>
  <w:style w:type="paragraph" w:customStyle="1" w:styleId="429">
    <w:name w:val="正文表标题"/>
    <w:next w:val="1"/>
    <w:qFormat/>
    <w:uiPriority w:val="0"/>
    <w:pPr>
      <w:widowControl/>
      <w:tabs>
        <w:tab w:val="left" w:pos="360"/>
      </w:tabs>
      <w:ind w:left="360" w:hanging="360"/>
      <w:jc w:val="center"/>
    </w:pPr>
    <w:rPr>
      <w:rFonts w:ascii="黑体" w:hAnsi="Times New Roman" w:eastAsia="黑体" w:cs="Times New Roman"/>
      <w:sz w:val="21"/>
      <w:szCs w:val="20"/>
      <w:lang w:val="en-US" w:eastAsia="zh-CN" w:bidi="ar-SA"/>
    </w:rPr>
  </w:style>
  <w:style w:type="paragraph" w:customStyle="1" w:styleId="430">
    <w:name w:val="标准"/>
    <w:basedOn w:val="1"/>
    <w:qFormat/>
    <w:uiPriority w:val="0"/>
    <w:pPr>
      <w:tabs>
        <w:tab w:val="left" w:pos="2700"/>
      </w:tabs>
      <w:adjustRightInd w:val="0"/>
      <w:spacing w:line="560" w:lineRule="atLeast"/>
      <w:jc w:val="both"/>
    </w:pPr>
    <w:rPr>
      <w:rFonts w:ascii="Times New Roman" w:hAnsi="Times New Roman" w:eastAsia="宋体" w:cs="Times New Roman"/>
      <w:color w:val="auto"/>
      <w:spacing w:val="20"/>
      <w:sz w:val="28"/>
      <w:szCs w:val="20"/>
      <w:lang w:val="en-US" w:eastAsia="zh-CN" w:bidi="ar-SA"/>
    </w:rPr>
  </w:style>
  <w:style w:type="paragraph" w:customStyle="1" w:styleId="431">
    <w:name w:val="td2"/>
    <w:basedOn w:val="1"/>
    <w:qFormat/>
    <w:uiPriority w:val="0"/>
    <w:pPr>
      <w:widowControl/>
      <w:spacing w:before="100" w:beforeAutospacing="1" w:after="100" w:afterAutospacing="1"/>
      <w:jc w:val="right"/>
    </w:pPr>
    <w:rPr>
      <w:rFonts w:ascii="宋体" w:hAnsi="宋体" w:eastAsia="宋体" w:cs="Times New Roman"/>
      <w:color w:val="0000FF"/>
      <w:sz w:val="20"/>
      <w:szCs w:val="20"/>
      <w:lang w:val="en-US" w:eastAsia="zh-CN" w:bidi="ar-SA"/>
    </w:rPr>
  </w:style>
  <w:style w:type="paragraph" w:customStyle="1" w:styleId="432">
    <w:name w:val="资料标题"/>
    <w:basedOn w:val="1"/>
    <w:qFormat/>
    <w:uiPriority w:val="0"/>
    <w:pPr>
      <w:jc w:val="both"/>
    </w:pPr>
    <w:rPr>
      <w:rFonts w:ascii="Times New Roman" w:hAnsi="Times New Roman" w:eastAsia="宋体" w:cs="Times New Roman"/>
      <w:b/>
      <w:color w:val="auto"/>
      <w:kern w:val="2"/>
      <w:sz w:val="32"/>
      <w:lang w:val="en-US" w:eastAsia="zh-CN" w:bidi="ar-SA"/>
    </w:rPr>
  </w:style>
  <w:style w:type="paragraph" w:customStyle="1" w:styleId="433">
    <w:name w:val="普通(网站)1"/>
    <w:basedOn w:val="1"/>
    <w:qFormat/>
    <w:uiPriority w:val="0"/>
    <w:pPr>
      <w:widowControl/>
      <w:spacing w:before="100" w:after="100"/>
    </w:pPr>
    <w:rPr>
      <w:rFonts w:ascii="宋体" w:hAnsi="宋体" w:eastAsia="宋体" w:cs="Times New Roman"/>
      <w:color w:val="auto"/>
      <w:szCs w:val="20"/>
      <w:lang w:val="en-US" w:eastAsia="zh-CN" w:bidi="ar-SA"/>
    </w:rPr>
  </w:style>
  <w:style w:type="paragraph" w:customStyle="1" w:styleId="434">
    <w:name w:val="表"/>
    <w:basedOn w:val="1"/>
    <w:qFormat/>
    <w:uiPriority w:val="0"/>
    <w:pPr>
      <w:spacing w:line="440" w:lineRule="exact"/>
    </w:pPr>
    <w:rPr>
      <w:rFonts w:ascii="宋体" w:hAnsi="宋体" w:eastAsia="宋体" w:cs="Times New Roman"/>
      <w:color w:val="auto"/>
      <w:kern w:val="2"/>
      <w:szCs w:val="20"/>
      <w:lang w:val="en-GB" w:eastAsia="zh-CN" w:bidi="ar-SA"/>
    </w:rPr>
  </w:style>
  <w:style w:type="paragraph" w:customStyle="1" w:styleId="435">
    <w:name w:val="表格1"/>
    <w:basedOn w:val="1"/>
    <w:qFormat/>
    <w:uiPriority w:val="0"/>
    <w:pPr>
      <w:adjustRightInd w:val="0"/>
      <w:spacing w:after="120" w:line="20" w:lineRule="atLeast"/>
      <w:jc w:val="center"/>
    </w:pPr>
    <w:rPr>
      <w:rFonts w:ascii="Times New Roman" w:hAnsi="Times New Roman" w:eastAsia="宋体" w:cs="Arial Unicode MS"/>
      <w:sz w:val="21"/>
      <w:szCs w:val="21"/>
      <w:lang w:val="en-US" w:eastAsia="zh-CN" w:bidi="ar-SA"/>
    </w:rPr>
  </w:style>
  <w:style w:type="paragraph" w:customStyle="1" w:styleId="436">
    <w:name w:val="表标题"/>
    <w:basedOn w:val="1"/>
    <w:qFormat/>
    <w:uiPriority w:val="0"/>
    <w:pPr>
      <w:adjustRightInd w:val="0"/>
      <w:spacing w:before="180" w:line="288" w:lineRule="auto"/>
      <w:jc w:val="center"/>
    </w:pPr>
    <w:rPr>
      <w:rFonts w:ascii="Times New Roman" w:hAnsi="Times New Roman" w:eastAsia="宋体" w:cs="Times New Roman"/>
      <w:color w:val="auto"/>
      <w:szCs w:val="20"/>
      <w:lang w:val="en-US" w:eastAsia="zh-CN" w:bidi="ar-SA"/>
    </w:rPr>
  </w:style>
  <w:style w:type="paragraph" w:customStyle="1" w:styleId="437">
    <w:name w:val="标槝1"/>
    <w:basedOn w:val="3"/>
    <w:qFormat/>
    <w:uiPriority w:val="0"/>
    <w:pPr>
      <w:keepNext w:val="0"/>
      <w:keepLines w:val="0"/>
      <w:widowControl/>
      <w:spacing w:line="360" w:lineRule="atLeast"/>
    </w:pPr>
    <w:rPr>
      <w:rFonts w:ascii="宋体" w:hAnsi="宋体" w:eastAsia="宋体"/>
      <w:b/>
      <w:snapToGrid/>
      <w:kern w:val="36"/>
      <w:sz w:val="30"/>
      <w:szCs w:val="48"/>
    </w:rPr>
  </w:style>
  <w:style w:type="paragraph" w:customStyle="1" w:styleId="438">
    <w:name w:val="Char Char Char Char Char Char Char"/>
    <w:basedOn w:val="1"/>
    <w:qFormat/>
    <w:uiPriority w:val="0"/>
    <w:pPr>
      <w:widowControl/>
      <w:spacing w:after="160" w:line="240" w:lineRule="exact"/>
    </w:pPr>
    <w:rPr>
      <w:rFonts w:ascii="Arial" w:hAnsi="Arial" w:eastAsia="Times New Roman" w:cs="Verdana"/>
      <w:b/>
      <w:color w:val="auto"/>
      <w:lang w:val="en-US" w:eastAsia="en-US" w:bidi="ar-SA"/>
    </w:rPr>
  </w:style>
  <w:style w:type="paragraph" w:customStyle="1" w:styleId="439">
    <w:name w:val="_Style 28"/>
    <w:basedOn w:val="1"/>
    <w:qFormat/>
    <w:uiPriority w:val="0"/>
    <w:pPr>
      <w:ind w:firstLine="454"/>
      <w:jc w:val="both"/>
    </w:pPr>
    <w:rPr>
      <w:rFonts w:ascii="Times New Roman" w:hAnsi="Times New Roman" w:eastAsia="宋体" w:cs="Times New Roman"/>
      <w:color w:val="auto"/>
      <w:kern w:val="2"/>
      <w:sz w:val="21"/>
      <w:szCs w:val="20"/>
      <w:lang w:val="en-US" w:eastAsia="zh-CN" w:bidi="ar-SA"/>
    </w:rPr>
  </w:style>
  <w:style w:type="paragraph" w:customStyle="1" w:styleId="440">
    <w:name w:val="网格表 31"/>
    <w:basedOn w:val="3"/>
    <w:next w:val="1"/>
    <w:qFormat/>
    <w:uiPriority w:val="39"/>
    <w:pPr>
      <w:widowControl/>
      <w:adjustRightInd/>
      <w:spacing w:before="480" w:line="276" w:lineRule="auto"/>
      <w:jc w:val="left"/>
      <w:outlineLvl w:val="9"/>
    </w:pPr>
    <w:rPr>
      <w:rFonts w:ascii="Cambria" w:hAnsi="Cambria" w:eastAsia="宋体"/>
      <w:bCs/>
      <w:snapToGrid/>
      <w:color w:val="365F91"/>
      <w:kern w:val="32"/>
      <w:sz w:val="28"/>
      <w:szCs w:val="28"/>
    </w:rPr>
  </w:style>
  <w:style w:type="character" w:customStyle="1" w:styleId="441">
    <w:name w:val="样式 四号 首行缩进:  2 字符 Char"/>
    <w:link w:val="442"/>
    <w:qFormat/>
    <w:locked/>
    <w:uiPriority w:val="0"/>
    <w:rPr>
      <w:rFonts w:ascii="宋体" w:hAnsi="宋体" w:eastAsia="宋体" w:cs="宋体"/>
      <w:kern w:val="2"/>
      <w:sz w:val="28"/>
    </w:rPr>
  </w:style>
  <w:style w:type="paragraph" w:customStyle="1" w:styleId="442">
    <w:name w:val="样式 四号 首行缩进:  2 字符"/>
    <w:basedOn w:val="1"/>
    <w:link w:val="441"/>
    <w:qFormat/>
    <w:uiPriority w:val="0"/>
    <w:pPr>
      <w:ind w:firstLine="560" w:firstLineChars="200"/>
      <w:jc w:val="both"/>
    </w:pPr>
    <w:rPr>
      <w:rFonts w:hint="eastAsia" w:ascii="宋体" w:hAnsi="宋体" w:eastAsia="宋体" w:cs="宋体"/>
      <w:color w:val="auto"/>
      <w:kern w:val="2"/>
      <w:sz w:val="28"/>
    </w:rPr>
  </w:style>
  <w:style w:type="character" w:customStyle="1" w:styleId="443">
    <w:name w:val="样式 Times New Roman Char"/>
    <w:link w:val="444"/>
    <w:qFormat/>
    <w:locked/>
    <w:uiPriority w:val="0"/>
    <w:rPr>
      <w:rFonts w:ascii="宋体" w:hAnsi="宋体" w:eastAsia="宋体" w:cs="宋体"/>
      <w:kern w:val="2"/>
      <w:sz w:val="28"/>
    </w:rPr>
  </w:style>
  <w:style w:type="paragraph" w:customStyle="1" w:styleId="444">
    <w:name w:val="样式 Times New Roman"/>
    <w:basedOn w:val="1"/>
    <w:link w:val="443"/>
    <w:qFormat/>
    <w:uiPriority w:val="0"/>
    <w:pPr>
      <w:ind w:firstLine="200" w:firstLineChars="200"/>
      <w:jc w:val="both"/>
    </w:pPr>
    <w:rPr>
      <w:rFonts w:hint="eastAsia" w:ascii="宋体" w:hAnsi="宋体" w:eastAsia="宋体" w:cs="宋体"/>
      <w:color w:val="auto"/>
      <w:kern w:val="2"/>
      <w:sz w:val="28"/>
    </w:rPr>
  </w:style>
  <w:style w:type="paragraph" w:customStyle="1" w:styleId="445">
    <w:name w:val="列出段落1"/>
    <w:basedOn w:val="1"/>
    <w:qFormat/>
    <w:uiPriority w:val="0"/>
    <w:pPr>
      <w:ind w:firstLine="420" w:firstLineChars="200"/>
      <w:jc w:val="both"/>
    </w:pPr>
    <w:rPr>
      <w:rFonts w:ascii="Calibri" w:hAnsi="Calibri" w:eastAsia="宋体" w:cs="Times New Roman"/>
      <w:color w:val="auto"/>
      <w:kern w:val="2"/>
      <w:sz w:val="21"/>
      <w:szCs w:val="22"/>
      <w:lang w:val="en-US" w:eastAsia="zh-CN" w:bidi="ar-SA"/>
    </w:rPr>
  </w:style>
  <w:style w:type="character" w:customStyle="1" w:styleId="446">
    <w:name w:val="样式 样式2 + 自动设置 Char"/>
    <w:link w:val="447"/>
    <w:qFormat/>
    <w:locked/>
    <w:uiPriority w:val="0"/>
    <w:rPr>
      <w:rFonts w:ascii="宋体" w:hAnsi="宋体" w:eastAsia="宋体"/>
      <w:sz w:val="28"/>
      <w:szCs w:val="28"/>
      <w:lang w:val="en-US" w:eastAsia="zh-CN" w:bidi="ar-SA"/>
    </w:rPr>
  </w:style>
  <w:style w:type="paragraph" w:customStyle="1" w:styleId="447">
    <w:name w:val="样式 样式2 + 自动设置"/>
    <w:basedOn w:val="249"/>
    <w:link w:val="446"/>
    <w:qFormat/>
    <w:uiPriority w:val="0"/>
    <w:pPr>
      <w:tabs>
        <w:tab w:val="clear" w:pos="360"/>
      </w:tabs>
      <w:spacing w:line="600" w:lineRule="exact"/>
      <w:ind w:left="0" w:firstLine="200" w:firstLineChars="200"/>
    </w:pPr>
    <w:rPr>
      <w:rFonts w:hint="eastAsia" w:ascii="宋体" w:hAnsi="宋体" w:cs="Microsoft JhengHei Light"/>
      <w:kern w:val="0"/>
      <w:sz w:val="28"/>
      <w:szCs w:val="28"/>
    </w:rPr>
  </w:style>
  <w:style w:type="paragraph" w:customStyle="1" w:styleId="448">
    <w:name w:val="Char Char Char Char Char Char"/>
    <w:basedOn w:val="1"/>
    <w:qFormat/>
    <w:uiPriority w:val="0"/>
    <w:pPr>
      <w:jc w:val="both"/>
    </w:pPr>
    <w:rPr>
      <w:rFonts w:ascii="Times New Roman" w:hAnsi="Times New Roman" w:eastAsia="宋体" w:cs="Times New Roman"/>
      <w:color w:val="auto"/>
      <w:kern w:val="2"/>
      <w:sz w:val="21"/>
      <w:lang w:val="en-US" w:eastAsia="zh-CN" w:bidi="ar-SA"/>
    </w:rPr>
  </w:style>
  <w:style w:type="character" w:customStyle="1" w:styleId="449">
    <w:name w:val="样式 (西文) Times New Roman 四号 首行缩进:  1.01 厘米 Char Char"/>
    <w:link w:val="450"/>
    <w:qFormat/>
    <w:locked/>
    <w:uiPriority w:val="0"/>
    <w:rPr>
      <w:rFonts w:ascii="仿宋_GB2312" w:hAnsi="宋体" w:eastAsia="宋体" w:cs="宋体"/>
      <w:b/>
      <w:kern w:val="2"/>
      <w:sz w:val="28"/>
      <w:szCs w:val="28"/>
      <w:lang w:val="en-US" w:eastAsia="zh-CN" w:bidi="ar-SA"/>
    </w:rPr>
  </w:style>
  <w:style w:type="paragraph" w:customStyle="1" w:styleId="450">
    <w:name w:val="样式 (西文) Times New Roman 四号 首行缩进:  1.01 厘米"/>
    <w:basedOn w:val="1"/>
    <w:link w:val="449"/>
    <w:qFormat/>
    <w:uiPriority w:val="0"/>
    <w:pPr>
      <w:ind w:firstLine="570"/>
      <w:jc w:val="both"/>
    </w:pPr>
    <w:rPr>
      <w:rFonts w:hint="eastAsia" w:ascii="仿宋_GB2312" w:hAnsi="宋体" w:eastAsia="宋体" w:cs="宋体"/>
      <w:b/>
      <w:color w:val="auto"/>
      <w:kern w:val="2"/>
      <w:sz w:val="28"/>
      <w:szCs w:val="28"/>
      <w:lang w:val="en-US" w:eastAsia="zh-CN" w:bidi="ar-SA"/>
    </w:rPr>
  </w:style>
  <w:style w:type="paragraph" w:customStyle="1" w:styleId="451">
    <w:name w:val="p0"/>
    <w:basedOn w:val="1"/>
    <w:qFormat/>
    <w:uiPriority w:val="0"/>
    <w:pPr>
      <w:widowControl/>
      <w:jc w:val="both"/>
    </w:pPr>
    <w:rPr>
      <w:rFonts w:ascii="Times New Roman" w:hAnsi="Times New Roman" w:eastAsia="宋体" w:cs="Times New Roman"/>
      <w:color w:val="auto"/>
      <w:sz w:val="21"/>
      <w:szCs w:val="21"/>
      <w:lang w:val="en-US" w:eastAsia="zh-CN" w:bidi="ar-SA"/>
    </w:rPr>
  </w:style>
  <w:style w:type="character" w:customStyle="1" w:styleId="452">
    <w:name w:val="样式22 Char Char"/>
    <w:link w:val="453"/>
    <w:qFormat/>
    <w:locked/>
    <w:uiPriority w:val="0"/>
    <w:rPr>
      <w:rFonts w:ascii="宋体" w:hAnsi="宋体" w:eastAsia="宋体" w:cs="宋体"/>
      <w:b/>
      <w:kern w:val="2"/>
      <w:sz w:val="28"/>
      <w:szCs w:val="28"/>
      <w:lang w:val="en-US" w:eastAsia="zh-CN" w:bidi="ar-SA"/>
    </w:rPr>
  </w:style>
  <w:style w:type="paragraph" w:customStyle="1" w:styleId="453">
    <w:name w:val="样式22"/>
    <w:basedOn w:val="1"/>
    <w:link w:val="452"/>
    <w:qFormat/>
    <w:uiPriority w:val="0"/>
    <w:pPr>
      <w:spacing w:line="600" w:lineRule="exact"/>
      <w:ind w:firstLine="560" w:firstLineChars="200"/>
    </w:pPr>
    <w:rPr>
      <w:rFonts w:hint="eastAsia" w:ascii="宋体" w:hAnsi="宋体" w:eastAsia="宋体" w:cs="宋体"/>
      <w:b/>
      <w:color w:val="auto"/>
      <w:kern w:val="2"/>
      <w:sz w:val="28"/>
      <w:szCs w:val="28"/>
      <w:lang w:val="en-US" w:eastAsia="zh-CN" w:bidi="ar-SA"/>
    </w:rPr>
  </w:style>
  <w:style w:type="character" w:customStyle="1" w:styleId="454">
    <w:name w:val="样式 首行缩进:  2 字符 Char Char"/>
    <w:link w:val="455"/>
    <w:qFormat/>
    <w:locked/>
    <w:uiPriority w:val="0"/>
    <w:rPr>
      <w:rFonts w:ascii="宋体" w:hAnsi="宋体" w:eastAsia="宋体" w:cs="宋体"/>
      <w:kern w:val="2"/>
      <w:sz w:val="28"/>
      <w:lang w:val="en-US" w:eastAsia="zh-CN" w:bidi="ar-SA"/>
    </w:rPr>
  </w:style>
  <w:style w:type="paragraph" w:customStyle="1" w:styleId="455">
    <w:name w:val="样式 首行缩进:  2 字符"/>
    <w:basedOn w:val="1"/>
    <w:link w:val="454"/>
    <w:qFormat/>
    <w:uiPriority w:val="0"/>
    <w:pPr>
      <w:ind w:firstLine="560" w:firstLineChars="200"/>
      <w:jc w:val="both"/>
    </w:pPr>
    <w:rPr>
      <w:rFonts w:hint="eastAsia" w:ascii="宋体" w:hAnsi="宋体" w:eastAsia="宋体" w:cs="宋体"/>
      <w:color w:val="auto"/>
      <w:kern w:val="2"/>
      <w:sz w:val="28"/>
      <w:lang w:val="en-US" w:eastAsia="zh-CN" w:bidi="ar-SA"/>
    </w:rPr>
  </w:style>
  <w:style w:type="paragraph" w:customStyle="1" w:styleId="456">
    <w:name w:val="样式28"/>
    <w:basedOn w:val="1"/>
    <w:qFormat/>
    <w:uiPriority w:val="0"/>
    <w:pPr>
      <w:adjustRightInd w:val="0"/>
      <w:snapToGrid w:val="0"/>
      <w:spacing w:line="500" w:lineRule="exact"/>
      <w:ind w:firstLine="560" w:firstLineChars="200"/>
      <w:jc w:val="both"/>
    </w:pPr>
    <w:rPr>
      <w:rFonts w:ascii="宋体" w:hAnsi="宋体" w:eastAsia="宋体" w:cs="Times New Roman"/>
      <w:color w:val="auto"/>
      <w:kern w:val="2"/>
      <w:sz w:val="28"/>
      <w:szCs w:val="21"/>
      <w:lang w:val="en-US" w:eastAsia="zh-CN" w:bidi="ar-SA"/>
    </w:rPr>
  </w:style>
  <w:style w:type="paragraph" w:customStyle="1" w:styleId="457">
    <w:name w:val="表头1"/>
    <w:basedOn w:val="1"/>
    <w:qFormat/>
    <w:uiPriority w:val="0"/>
    <w:pPr>
      <w:jc w:val="center"/>
    </w:pPr>
    <w:rPr>
      <w:rFonts w:ascii="宋体" w:hAnsi="宋体" w:eastAsia="宋体" w:cs="Times New Roman"/>
      <w:color w:val="auto"/>
      <w:kern w:val="2"/>
      <w:sz w:val="28"/>
      <w:szCs w:val="28"/>
      <w:lang w:val="en-US" w:eastAsia="zh-CN" w:bidi="ar-SA"/>
    </w:rPr>
  </w:style>
  <w:style w:type="character" w:customStyle="1" w:styleId="458">
    <w:name w:val="表格内容格式 Char"/>
    <w:link w:val="459"/>
    <w:qFormat/>
    <w:locked/>
    <w:uiPriority w:val="0"/>
    <w:rPr>
      <w:rFonts w:ascii="仿宋_GB2312" w:eastAsia="仿宋_GB2312"/>
      <w:color w:val="000000"/>
      <w:szCs w:val="21"/>
    </w:rPr>
  </w:style>
  <w:style w:type="paragraph" w:customStyle="1" w:styleId="459">
    <w:name w:val="表格内容格式"/>
    <w:basedOn w:val="1"/>
    <w:link w:val="458"/>
    <w:qFormat/>
    <w:uiPriority w:val="0"/>
    <w:pPr>
      <w:tabs>
        <w:tab w:val="left" w:pos="1080"/>
        <w:tab w:val="left" w:pos="2160"/>
      </w:tabs>
      <w:autoSpaceDE w:val="0"/>
      <w:autoSpaceDN w:val="0"/>
      <w:jc w:val="center"/>
    </w:pPr>
    <w:rPr>
      <w:rFonts w:hint="eastAsia" w:ascii="仿宋_GB2312" w:eastAsia="仿宋_GB2312"/>
      <w:szCs w:val="21"/>
    </w:rPr>
  </w:style>
  <w:style w:type="character" w:customStyle="1" w:styleId="460">
    <w:name w:val="页脚 字符1"/>
    <w:qFormat/>
    <w:locked/>
    <w:uiPriority w:val="99"/>
    <w:rPr>
      <w:kern w:val="2"/>
      <w:sz w:val="18"/>
      <w:szCs w:val="18"/>
    </w:rPr>
  </w:style>
  <w:style w:type="character" w:customStyle="1" w:styleId="461">
    <w:name w:val="正文1"/>
    <w:basedOn w:val="47"/>
    <w:qFormat/>
    <w:uiPriority w:val="0"/>
  </w:style>
  <w:style w:type="character" w:customStyle="1" w:styleId="462">
    <w:name w:val="hei121"/>
    <w:qFormat/>
    <w:uiPriority w:val="0"/>
    <w:rPr>
      <w:sz w:val="18"/>
      <w:szCs w:val="18"/>
      <w:u w:val="none"/>
    </w:rPr>
  </w:style>
  <w:style w:type="character" w:customStyle="1" w:styleId="463">
    <w:name w:val="zhenwen141"/>
    <w:qFormat/>
    <w:uiPriority w:val="0"/>
    <w:rPr>
      <w:rFonts w:hint="default" w:ascii="ˎ̥" w:hAnsi="ˎ̥" w:cs="Times New Roman"/>
      <w:sz w:val="28"/>
      <w:szCs w:val="28"/>
    </w:rPr>
  </w:style>
  <w:style w:type="character" w:customStyle="1" w:styleId="464">
    <w:name w:val="style311"/>
    <w:qFormat/>
    <w:uiPriority w:val="0"/>
    <w:rPr>
      <w:b/>
      <w:bCs/>
      <w:color w:val="000000"/>
      <w:sz w:val="18"/>
      <w:szCs w:val="18"/>
    </w:rPr>
  </w:style>
  <w:style w:type="character" w:customStyle="1" w:styleId="465">
    <w:name w:val="ttitle1"/>
    <w:qFormat/>
    <w:uiPriority w:val="0"/>
    <w:rPr>
      <w:spacing w:val="120"/>
      <w:sz w:val="21"/>
      <w:szCs w:val="21"/>
    </w:rPr>
  </w:style>
  <w:style w:type="character" w:customStyle="1" w:styleId="466">
    <w:name w:val="正文文本1"/>
    <w:qFormat/>
    <w:uiPriority w:val="0"/>
    <w:rPr>
      <w:rFonts w:hint="eastAsia" w:ascii="宋体" w:hAnsi="宋体" w:eastAsia="宋体"/>
      <w:color w:val="000000"/>
      <w:kern w:val="2"/>
      <w:sz w:val="28"/>
      <w:szCs w:val="24"/>
      <w:lang w:val="en-US" w:eastAsia="zh-CN" w:bidi="ar-SA"/>
    </w:rPr>
  </w:style>
  <w:style w:type="character" w:customStyle="1" w:styleId="467">
    <w:name w:val="标题1"/>
    <w:basedOn w:val="47"/>
    <w:qFormat/>
    <w:uiPriority w:val="0"/>
  </w:style>
  <w:style w:type="character" w:customStyle="1" w:styleId="468">
    <w:name w:val="title21"/>
    <w:qFormat/>
    <w:uiPriority w:val="0"/>
    <w:rPr>
      <w:rFonts w:hint="default" w:ascii="Tahoma" w:hAnsi="Tahoma" w:cs="Tahoma"/>
      <w:color w:val="333333"/>
      <w:sz w:val="30"/>
      <w:szCs w:val="30"/>
    </w:rPr>
  </w:style>
  <w:style w:type="character" w:customStyle="1" w:styleId="469">
    <w:name w:val="标题 1 Char Char"/>
    <w:qFormat/>
    <w:uiPriority w:val="0"/>
    <w:rPr>
      <w:sz w:val="44"/>
      <w:szCs w:val="36"/>
    </w:rPr>
  </w:style>
  <w:style w:type="character" w:customStyle="1" w:styleId="470">
    <w:name w:val="样式 (中文) 楷体_GB2312 四号"/>
    <w:qFormat/>
    <w:uiPriority w:val="0"/>
    <w:rPr>
      <w:rFonts w:hint="default" w:ascii="Times New Roman" w:hAnsi="Times New Roman" w:eastAsia="楷体_GB2312" w:cs="Times New Roman"/>
      <w:sz w:val="28"/>
      <w:szCs w:val="28"/>
    </w:rPr>
  </w:style>
  <w:style w:type="character" w:customStyle="1" w:styleId="471">
    <w:name w:val="样式 楷体_GB2312 四号"/>
    <w:qFormat/>
    <w:uiPriority w:val="0"/>
    <w:rPr>
      <w:rFonts w:hint="default" w:ascii="Times New Roman" w:hAnsi="Times New Roman" w:eastAsia="楷体_GB2312" w:cs="Times New Roman"/>
      <w:sz w:val="28"/>
      <w:szCs w:val="28"/>
    </w:rPr>
  </w:style>
  <w:style w:type="character" w:customStyle="1" w:styleId="472">
    <w:name w:val="p141"/>
    <w:qFormat/>
    <w:uiPriority w:val="0"/>
    <w:rPr>
      <w:color w:val="333333"/>
      <w:sz w:val="21"/>
      <w:szCs w:val="21"/>
    </w:rPr>
  </w:style>
  <w:style w:type="character" w:customStyle="1" w:styleId="473">
    <w:name w:val="fnrfont1"/>
    <w:qFormat/>
    <w:uiPriority w:val="0"/>
    <w:rPr>
      <w:color w:val="000000"/>
    </w:rPr>
  </w:style>
  <w:style w:type="character" w:customStyle="1" w:styleId="474">
    <w:name w:val="font141"/>
    <w:qFormat/>
    <w:uiPriority w:val="0"/>
    <w:rPr>
      <w:color w:val="333333"/>
      <w:sz w:val="23"/>
      <w:szCs w:val="23"/>
    </w:rPr>
  </w:style>
  <w:style w:type="character" w:customStyle="1" w:styleId="475">
    <w:name w:val="标题2"/>
    <w:basedOn w:val="47"/>
    <w:qFormat/>
    <w:uiPriority w:val="0"/>
  </w:style>
  <w:style w:type="character" w:customStyle="1" w:styleId="476">
    <w:name w:val="news_c_da1"/>
    <w:qFormat/>
    <w:uiPriority w:val="0"/>
    <w:rPr>
      <w:rFonts w:hint="default" w:ascii="ˎ̥" w:hAnsi="ˎ̥" w:cs="Times New Roman"/>
      <w:b/>
      <w:bCs/>
      <w:color w:val="000000"/>
      <w:sz w:val="24"/>
      <w:szCs w:val="24"/>
    </w:rPr>
  </w:style>
  <w:style w:type="character" w:customStyle="1" w:styleId="477">
    <w:name w:val="digest1"/>
    <w:qFormat/>
    <w:uiPriority w:val="0"/>
    <w:rPr>
      <w:color w:val="3A4343"/>
      <w:sz w:val="20"/>
      <w:szCs w:val="20"/>
    </w:rPr>
  </w:style>
  <w:style w:type="character" w:customStyle="1" w:styleId="478">
    <w:name w:val="style11"/>
    <w:qFormat/>
    <w:uiPriority w:val="0"/>
    <w:rPr>
      <w:color w:val="013CA4"/>
    </w:rPr>
  </w:style>
  <w:style w:type="character" w:customStyle="1" w:styleId="479">
    <w:name w:val="t_tag"/>
    <w:basedOn w:val="47"/>
    <w:qFormat/>
    <w:uiPriority w:val="0"/>
  </w:style>
  <w:style w:type="character" w:customStyle="1" w:styleId="480">
    <w:name w:val="Char Char5"/>
    <w:qFormat/>
    <w:uiPriority w:val="0"/>
    <w:rPr>
      <w:rFonts w:hint="eastAsia" w:ascii="仿宋_GB2312" w:hAnsi="宋体" w:eastAsia="宋体"/>
      <w:b/>
      <w:kern w:val="2"/>
      <w:sz w:val="18"/>
      <w:szCs w:val="18"/>
      <w:lang w:val="en-US" w:eastAsia="zh-CN" w:bidi="ar-SA"/>
    </w:rPr>
  </w:style>
  <w:style w:type="character" w:customStyle="1" w:styleId="481">
    <w:name w:val="Char Char6"/>
    <w:qFormat/>
    <w:uiPriority w:val="0"/>
    <w:rPr>
      <w:rFonts w:hint="eastAsia" w:ascii="仿宋_GB2312" w:hAnsi="宋体" w:eastAsia="宋体"/>
      <w:b/>
      <w:kern w:val="2"/>
      <w:sz w:val="18"/>
      <w:szCs w:val="18"/>
      <w:lang w:val="en-US" w:eastAsia="zh-CN" w:bidi="ar-SA"/>
    </w:rPr>
  </w:style>
  <w:style w:type="character" w:customStyle="1" w:styleId="482">
    <w:name w:val="s4 Char"/>
    <w:qFormat/>
    <w:uiPriority w:val="0"/>
    <w:rPr>
      <w:rFonts w:hint="eastAsia" w:ascii="宋体" w:hAnsi="宋体" w:eastAsia="宋体"/>
      <w:kern w:val="2"/>
      <w:sz w:val="21"/>
      <w:szCs w:val="24"/>
      <w:lang w:val="en-US" w:eastAsia="zh-CN" w:bidi="ar-SA"/>
    </w:rPr>
  </w:style>
  <w:style w:type="paragraph" w:customStyle="1" w:styleId="483">
    <w:name w:val="样式8"/>
    <w:basedOn w:val="401"/>
    <w:qFormat/>
    <w:uiPriority w:val="0"/>
    <w:rPr>
      <w:color w:val="000000"/>
    </w:rPr>
  </w:style>
  <w:style w:type="character" w:customStyle="1" w:styleId="484">
    <w:name w:val="页眉 Char"/>
    <w:qFormat/>
    <w:locked/>
    <w:uiPriority w:val="0"/>
    <w:rPr>
      <w:rFonts w:hint="eastAsia" w:ascii="宋体" w:hAnsi="宋体" w:eastAsia="宋体"/>
      <w:kern w:val="2"/>
      <w:sz w:val="18"/>
      <w:szCs w:val="18"/>
      <w:lang w:val="en-US" w:eastAsia="zh-CN" w:bidi="ar-SA"/>
    </w:rPr>
  </w:style>
  <w:style w:type="character" w:customStyle="1" w:styleId="485">
    <w:name w:val="页脚 Char"/>
    <w:qFormat/>
    <w:locked/>
    <w:uiPriority w:val="99"/>
    <w:rPr>
      <w:kern w:val="2"/>
      <w:sz w:val="18"/>
      <w:szCs w:val="18"/>
    </w:rPr>
  </w:style>
  <w:style w:type="paragraph" w:styleId="486">
    <w:name w:val="List Paragraph"/>
    <w:basedOn w:val="1"/>
    <w:qFormat/>
    <w:uiPriority w:val="34"/>
    <w:pPr>
      <w:ind w:firstLine="420" w:firstLineChars="200"/>
    </w:pPr>
  </w:style>
  <w:style w:type="character" w:customStyle="1" w:styleId="487">
    <w:name w:val="普通(网站) Char"/>
    <w:link w:val="40"/>
    <w:qFormat/>
    <w:uiPriority w:val="0"/>
    <w:rPr>
      <w:rFonts w:ascii="宋体" w:hAnsi="宋体" w:eastAsia="宋体" w:cs="宋体"/>
      <w:lang w:val="en-US" w:eastAsia="zh-CN" w:bidi="ar-SA"/>
    </w:rPr>
  </w:style>
  <w:style w:type="character" w:customStyle="1" w:styleId="488">
    <w:name w:val="标题 9 Char"/>
    <w:qFormat/>
    <w:uiPriority w:val="0"/>
    <w:rPr>
      <w:rFonts w:ascii="Arial" w:hAnsi="Arial" w:eastAsia="仿宋_GB2312"/>
      <w:spacing w:val="5"/>
      <w:kern w:val="2"/>
      <w:sz w:val="28"/>
      <w:szCs w:val="28"/>
      <w:lang w:val="en-US" w:eastAsia="zh-CN" w:bidi="ar-SA"/>
    </w:rPr>
  </w:style>
  <w:style w:type="paragraph" w:customStyle="1" w:styleId="489">
    <w:name w:val="zw"/>
    <w:basedOn w:val="1"/>
    <w:qFormat/>
    <w:uiPriority w:val="0"/>
    <w:pPr>
      <w:widowControl/>
      <w:spacing w:before="100" w:beforeAutospacing="1" w:after="100" w:afterAutospacing="1" w:line="440" w:lineRule="atLeast"/>
    </w:pPr>
    <w:rPr>
      <w:rFonts w:ascii="宋体" w:hAnsi="宋体" w:eastAsia="宋体" w:cs="宋体"/>
      <w:color w:val="auto"/>
      <w:sz w:val="22"/>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1.xml"/><Relationship Id="rId51" Type="http://schemas.openxmlformats.org/officeDocument/2006/relationships/fontTable" Target="fontTable.xml"/><Relationship Id="rId50" Type="http://schemas.openxmlformats.org/officeDocument/2006/relationships/customXml" Target="../customXml/item2.xml"/><Relationship Id="rId5" Type="http://schemas.openxmlformats.org/officeDocument/2006/relationships/header" Target="header1.xml"/><Relationship Id="rId49" Type="http://schemas.openxmlformats.org/officeDocument/2006/relationships/numbering" Target="numbering.xml"/><Relationship Id="rId48" Type="http://schemas.openxmlformats.org/officeDocument/2006/relationships/customXml" Target="../customXml/item1.xml"/><Relationship Id="rId47" Type="http://schemas.openxmlformats.org/officeDocument/2006/relationships/image" Target="media/image40.jpeg"/><Relationship Id="rId46" Type="http://schemas.openxmlformats.org/officeDocument/2006/relationships/image" Target="media/image39.jpeg"/><Relationship Id="rId45" Type="http://schemas.openxmlformats.org/officeDocument/2006/relationships/image" Target="media/image38.png"/><Relationship Id="rId44" Type="http://schemas.openxmlformats.org/officeDocument/2006/relationships/image" Target="media/image37.jpeg"/><Relationship Id="rId43" Type="http://schemas.openxmlformats.org/officeDocument/2006/relationships/image" Target="media/image36.jpeg"/><Relationship Id="rId42" Type="http://schemas.openxmlformats.org/officeDocument/2006/relationships/image" Target="media/image35.jpeg"/><Relationship Id="rId41" Type="http://schemas.openxmlformats.org/officeDocument/2006/relationships/image" Target="media/image34.jpeg"/><Relationship Id="rId40" Type="http://schemas.openxmlformats.org/officeDocument/2006/relationships/image" Target="media/image33.jpeg"/><Relationship Id="rId4" Type="http://schemas.openxmlformats.org/officeDocument/2006/relationships/endnotes" Target="endnotes.xml"/><Relationship Id="rId39" Type="http://schemas.openxmlformats.org/officeDocument/2006/relationships/image" Target="media/image32.jpeg"/><Relationship Id="rId38" Type="http://schemas.openxmlformats.org/officeDocument/2006/relationships/image" Target="media/image31.jpeg"/><Relationship Id="rId37" Type="http://schemas.openxmlformats.org/officeDocument/2006/relationships/image" Target="media/image30.jpeg"/><Relationship Id="rId36" Type="http://schemas.openxmlformats.org/officeDocument/2006/relationships/image" Target="media/image29.jpeg"/><Relationship Id="rId35" Type="http://schemas.openxmlformats.org/officeDocument/2006/relationships/image" Target="media/image28.jpeg"/><Relationship Id="rId34" Type="http://schemas.openxmlformats.org/officeDocument/2006/relationships/image" Target="media/image27.jpeg"/><Relationship Id="rId33" Type="http://schemas.openxmlformats.org/officeDocument/2006/relationships/image" Target="media/image26.png"/><Relationship Id="rId32" Type="http://schemas.openxmlformats.org/officeDocument/2006/relationships/image" Target="media/image25.png"/><Relationship Id="rId31" Type="http://schemas.openxmlformats.org/officeDocument/2006/relationships/image" Target="media/image24.jpeg"/><Relationship Id="rId30" Type="http://schemas.openxmlformats.org/officeDocument/2006/relationships/image" Target="media/image23.jpeg"/><Relationship Id="rId3" Type="http://schemas.openxmlformats.org/officeDocument/2006/relationships/footnotes" Target="footnotes.xml"/><Relationship Id="rId29" Type="http://schemas.openxmlformats.org/officeDocument/2006/relationships/image" Target="media/image22.jpeg"/><Relationship Id="rId28" Type="http://schemas.openxmlformats.org/officeDocument/2006/relationships/image" Target="media/image21.jpeg"/><Relationship Id="rId27" Type="http://schemas.openxmlformats.org/officeDocument/2006/relationships/image" Target="media/image20.jpeg"/><Relationship Id="rId26" Type="http://schemas.openxmlformats.org/officeDocument/2006/relationships/image" Target="media/image19.png"/><Relationship Id="rId25" Type="http://schemas.openxmlformats.org/officeDocument/2006/relationships/image" Target="media/image18.png"/><Relationship Id="rId24" Type="http://schemas.openxmlformats.org/officeDocument/2006/relationships/image" Target="media/image17.png"/><Relationship Id="rId23" Type="http://schemas.openxmlformats.org/officeDocument/2006/relationships/image" Target="media/image16.png"/><Relationship Id="rId22" Type="http://schemas.openxmlformats.org/officeDocument/2006/relationships/image" Target="media/image15.png"/><Relationship Id="rId21" Type="http://schemas.openxmlformats.org/officeDocument/2006/relationships/image" Target="media/image14.png"/><Relationship Id="rId20" Type="http://schemas.openxmlformats.org/officeDocument/2006/relationships/image" Target="media/image13.png"/><Relationship Id="rId2" Type="http://schemas.openxmlformats.org/officeDocument/2006/relationships/settings" Target="settings.xml"/><Relationship Id="rId19" Type="http://schemas.openxmlformats.org/officeDocument/2006/relationships/image" Target="media/image12.png"/><Relationship Id="rId18" Type="http://schemas.openxmlformats.org/officeDocument/2006/relationships/image" Target="media/image11.jpeg"/><Relationship Id="rId17" Type="http://schemas.openxmlformats.org/officeDocument/2006/relationships/image" Target="media/image10.jpeg"/><Relationship Id="rId16" Type="http://schemas.openxmlformats.org/officeDocument/2006/relationships/image" Target="media/image9.png"/><Relationship Id="rId15" Type="http://schemas.openxmlformats.org/officeDocument/2006/relationships/image" Target="media/image8.png"/><Relationship Id="rId14" Type="http://schemas.openxmlformats.org/officeDocument/2006/relationships/image" Target="media/image7.png"/><Relationship Id="rId13" Type="http://schemas.openxmlformats.org/officeDocument/2006/relationships/image" Target="media/image6.jpeg"/><Relationship Id="rId12" Type="http://schemas.openxmlformats.org/officeDocument/2006/relationships/image" Target="media/image5.jpeg"/><Relationship Id="rId11" Type="http://schemas.openxmlformats.org/officeDocument/2006/relationships/image" Target="media/image4.jpeg"/><Relationship Id="rId10" Type="http://schemas.openxmlformats.org/officeDocument/2006/relationships/image" Target="media/image3.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611"/>
    <customShpInfo spid="_x0000_s1026"/>
    <customShpInfo spid="_x0000_s1606"/>
    <customShpInfo spid="_x0000_s1605"/>
    <customShpInfo spid="_x0000_s1604"/>
    <customShpInfo spid="_x0000_s1603"/>
    <customShpInfo spid="_x0000_s1602"/>
    <customShpInfo spid="_x0000_s1601"/>
    <customShpInfo spid="_x0000_s1600"/>
    <customShpInfo spid="_x0000_s1599"/>
    <customShpInfo spid="_x0000_s1598"/>
    <customShpInfo spid="_x0000_s1027"/>
    <customShpInfo spid="_x0000_s1029"/>
    <customShpInfo spid="_x0000_s1030"/>
    <customShpInfo spid="_x0000_s1031"/>
    <customShpInfo spid="_x0000_s1032"/>
    <customShpInfo spid="_x0000_s1033"/>
    <customShpInfo spid="_x0000_s1034"/>
    <customShpInfo spid="_x0000_s1035"/>
    <customShpInfo spid="_x0000_s1036"/>
    <customShpInfo spid="_x0000_s1037"/>
    <customShpInfo spid="_x0000_s1038"/>
    <customShpInfo spid="_x0000_s1039"/>
    <customShpInfo spid="_x0000_s1040"/>
    <customShpInfo spid="_x0000_s1041"/>
    <customShpInfo spid="_x0000_s1042"/>
    <customShpInfo spid="_x0000_s1043"/>
    <customShpInfo spid="_x0000_s1044"/>
    <customShpInfo spid="_x0000_s1045"/>
    <customShpInfo spid="_x0000_s1046"/>
    <customShpInfo spid="_x0000_s1047"/>
    <customShpInfo spid="_x0000_s1048"/>
    <customShpInfo spid="_x0000_s1049"/>
    <customShpInfo spid="_x0000_s1050"/>
    <customShpInfo spid="_x0000_s1051"/>
    <customShpInfo spid="_x0000_s1052"/>
    <customShpInfo spid="_x0000_s1053"/>
    <customShpInfo spid="_x0000_s1054"/>
    <customShpInfo spid="_x0000_s1055"/>
    <customShpInfo spid="_x0000_s1056"/>
    <customShpInfo spid="_x0000_s1057"/>
    <customShpInfo spid="_x0000_s1058"/>
    <customShpInfo spid="_x0000_s1059"/>
    <customShpInfo spid="_x0000_s1060"/>
    <customShpInfo spid="_x0000_s1061"/>
    <customShpInfo spid="_x0000_s1062"/>
    <customShpInfo spid="_x0000_s1063"/>
    <customShpInfo spid="_x0000_s1064"/>
    <customShpInfo spid="_x0000_s1065"/>
    <customShpInfo spid="_x0000_s1066"/>
    <customShpInfo spid="_x0000_s1028"/>
    <customShpInfo spid="_x0000_s1597"/>
    <customShpInfo spid="_x0000_s1622"/>
    <customShpInfo spid="_x0000_s1621"/>
    <customShpInfo spid="_x0000_s1623"/>
    <customShpInfo spid="_x0000_s1613"/>
    <customShpInfo spid="_x0000_s1282"/>
    <customShpInfo spid="_x0000_s1283"/>
    <customShpInfo spid="_x0000_s1281"/>
    <customShpInfo spid="_x0000_s1285"/>
    <customShpInfo spid="_x0000_s1286"/>
    <customShpInfo spid="_x0000_s1284"/>
    <customShpInfo spid="_x0000_s1288"/>
    <customShpInfo spid="_x0000_s1289"/>
    <customShpInfo spid="_x0000_s1287"/>
    <customShpInfo spid="_x0000_s1291"/>
    <customShpInfo spid="_x0000_s1292"/>
    <customShpInfo spid="_x0000_s1290"/>
    <customShpInfo spid="_x0000_s1294"/>
    <customShpInfo spid="_x0000_s1295"/>
    <customShpInfo spid="_x0000_s1293"/>
    <customShpInfo spid="_x0000_s1297"/>
    <customShpInfo spid="_x0000_s1298"/>
    <customShpInfo spid="_x0000_s1296"/>
    <customShpInfo spid="_x0000_s1299"/>
    <customShpInfo spid="_x0000_s1280"/>
    <customShpInfo spid="_x0000_s1301"/>
    <customShpInfo spid="_x0000_s1302"/>
    <customShpInfo spid="_x0000_s1303"/>
    <customShpInfo spid="_x0000_s1304"/>
    <customShpInfo spid="_x0000_s1305"/>
    <customShpInfo spid="_x0000_s1306"/>
    <customShpInfo spid="_x0000_s1307"/>
    <customShpInfo spid="_x0000_s1308"/>
    <customShpInfo spid="_x0000_s1309"/>
    <customShpInfo spid="_x0000_s1310"/>
    <customShpInfo spid="_x0000_s1311"/>
    <customShpInfo spid="_x0000_s1312"/>
    <customShpInfo spid="_x0000_s1313"/>
    <customShpInfo spid="_x0000_s1314"/>
    <customShpInfo spid="_x0000_s1315"/>
    <customShpInfo spid="_x0000_s1316"/>
    <customShpInfo spid="_x0000_s1317"/>
    <customShpInfo spid="_x0000_s1318"/>
    <customShpInfo spid="_x0000_s1319"/>
    <customShpInfo spid="_x0000_s1320"/>
    <customShpInfo spid="_x0000_s1321"/>
    <customShpInfo spid="_x0000_s1322"/>
    <customShpInfo spid="_x0000_s1323"/>
    <customShpInfo spid="_x0000_s1324"/>
    <customShpInfo spid="_x0000_s1325"/>
    <customShpInfo spid="_x0000_s1326"/>
    <customShpInfo spid="_x0000_s1327"/>
    <customShpInfo spid="_x0000_s1328"/>
    <customShpInfo spid="_x0000_s1329"/>
    <customShpInfo spid="_x0000_s1330"/>
    <customShpInfo spid="_x0000_s1331"/>
    <customShpInfo spid="_x0000_s1332"/>
    <customShpInfo spid="_x0000_s1333"/>
    <customShpInfo spid="_x0000_s1334"/>
    <customShpInfo spid="_x0000_s1335"/>
    <customShpInfo spid="_x0000_s1336"/>
    <customShpInfo spid="_x0000_s1337"/>
    <customShpInfo spid="_x0000_s1300"/>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8C63995-E6B4-40F5-BC5F-81B4825A56D1}">
  <ds:schemaRefs/>
</ds:datastoreItem>
</file>

<file path=docProps/app.xml><?xml version="1.0" encoding="utf-8"?>
<Properties xmlns="http://schemas.openxmlformats.org/officeDocument/2006/extended-properties" xmlns:vt="http://schemas.openxmlformats.org/officeDocument/2006/docPropsVTypes">
  <Template>Normal</Template>
  <Company>zhnang</Company>
  <Pages>260</Pages>
  <Words>17473</Words>
  <Characters>99599</Characters>
  <Lines>829</Lines>
  <Paragraphs>233</Paragraphs>
  <TotalTime>5</TotalTime>
  <ScaleCrop>false</ScaleCrop>
  <LinksUpToDate>false</LinksUpToDate>
  <CharactersWithSpaces>116839</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2019-01-09T00:28:00Z</dcterms:created>
  <dc:creator>Administrator</dc:creator>
  <cp:lastModifiedBy>逆</cp:lastModifiedBy>
  <cp:lastPrinted>2021-08-30T08:04:00Z</cp:lastPrinted>
  <dcterms:modified xsi:type="dcterms:W3CDTF">2021-11-18T02:12:43Z</dcterms:modified>
  <cp:revision>497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D7B8FBA750AC4751B15B5F7E291C604B</vt:lpwstr>
  </property>
</Properties>
</file>