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4"/>
        <w:tblW w:w="10550" w:type="dxa"/>
        <w:tblInd w:w="-8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4"/>
        <w:gridCol w:w="3266"/>
        <w:gridCol w:w="517"/>
        <w:gridCol w:w="1533"/>
        <w:gridCol w:w="3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884" w:type="dxa"/>
            <w:noWrap w:val="0"/>
            <w:vAlign w:val="center"/>
          </w:tcPr>
          <w:p>
            <w:pPr>
              <w:spacing w:line="24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项目名称</w:t>
            </w:r>
          </w:p>
        </w:tc>
        <w:tc>
          <w:tcPr>
            <w:tcW w:w="8666" w:type="dxa"/>
            <w:gridSpan w:val="4"/>
            <w:noWrap w:val="0"/>
            <w:vAlign w:val="top"/>
          </w:tcPr>
          <w:p>
            <w:pPr>
              <w:spacing w:line="24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东莞市企实石化能源有限公司企石宝石分公司现状评价报告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884" w:type="dxa"/>
            <w:noWrap w:val="0"/>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评价类型</w:t>
            </w:r>
          </w:p>
        </w:tc>
        <w:tc>
          <w:tcPr>
            <w:tcW w:w="8666" w:type="dxa"/>
            <w:gridSpan w:val="4"/>
            <w:noWrap w:val="0"/>
            <w:vAlign w:val="top"/>
          </w:tcPr>
          <w:p>
            <w:pPr>
              <w:adjustRightInd w:val="0"/>
              <w:snapToGrid w:val="0"/>
              <w:spacing w:line="360" w:lineRule="auto"/>
              <w:rPr>
                <w:rFonts w:hint="eastAsia" w:ascii="宋体" w:hAnsi="宋体" w:eastAsia="宋体" w:cs="宋体"/>
                <w:b w:val="0"/>
                <w:bCs w:val="0"/>
                <w:sz w:val="21"/>
                <w:szCs w:val="21"/>
              </w:rPr>
            </w:pP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预评价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验收评价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52"/>
            </w:r>
            <w:r>
              <w:rPr>
                <w:rFonts w:hint="eastAsia" w:ascii="宋体" w:hAnsi="宋体" w:eastAsia="宋体" w:cs="宋体"/>
                <w:b w:val="0"/>
                <w:bCs w:val="0"/>
                <w:sz w:val="21"/>
                <w:szCs w:val="21"/>
              </w:rPr>
              <w:t xml:space="preserve">现状评价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□其它（请注明类别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项目概况</w:t>
            </w:r>
          </w:p>
        </w:tc>
        <w:tc>
          <w:tcPr>
            <w:tcW w:w="8666" w:type="dxa"/>
            <w:gridSpan w:val="4"/>
            <w:noWrap w:val="0"/>
            <w:vAlign w:val="top"/>
          </w:tcPr>
          <w:p>
            <w:pPr>
              <w:spacing w:line="240" w:lineRule="auto"/>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东莞市企实石化能源有限公司企石宝石分公司(以下简称“该加油站”)为东莞市企实石化能源有限公司子公司，原名称为中国石化销售股份有限公司广东东莞市企石宝石加油站（以下简称“原加油站”），于</w:t>
            </w:r>
            <w:r>
              <w:rPr>
                <w:rFonts w:hint="eastAsia" w:ascii="宋体" w:hAnsi="宋体" w:eastAsia="宋体" w:cs="宋体"/>
                <w:b w:val="0"/>
                <w:bCs w:val="0"/>
                <w:sz w:val="21"/>
                <w:szCs w:val="21"/>
                <w:lang w:val="en-US" w:eastAsia="zh-CN"/>
              </w:rPr>
              <w:t>2021</w:t>
            </w:r>
            <w:r>
              <w:rPr>
                <w:rFonts w:hint="eastAsia" w:ascii="宋体" w:hAnsi="宋体" w:eastAsia="宋体" w:cs="宋体"/>
                <w:b w:val="0"/>
                <w:bCs w:val="0"/>
                <w:sz w:val="21"/>
                <w:szCs w:val="21"/>
                <w:lang w:eastAsia="zh-CN"/>
              </w:rPr>
              <w:t>年03月2</w:t>
            </w: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lang w:eastAsia="zh-CN"/>
              </w:rPr>
              <w:t>日经东莞市市场监督管理局批准注册成立，统一社会信用代码:</w:t>
            </w:r>
            <w:r>
              <w:rPr>
                <w:rFonts w:hint="eastAsia" w:ascii="宋体" w:hAnsi="宋体" w:eastAsia="宋体" w:cs="宋体"/>
                <w:b w:val="0"/>
                <w:bCs w:val="0"/>
                <w:sz w:val="21"/>
                <w:szCs w:val="21"/>
                <w:lang w:val="en-US" w:eastAsia="zh-CN"/>
              </w:rPr>
              <w:t>91441900MA564EMF4J</w:t>
            </w:r>
            <w:r>
              <w:rPr>
                <w:rFonts w:hint="eastAsia" w:ascii="宋体" w:hAnsi="宋体" w:eastAsia="宋体" w:cs="宋体"/>
                <w:b w:val="0"/>
                <w:bCs w:val="0"/>
                <w:sz w:val="21"/>
                <w:szCs w:val="21"/>
                <w:lang w:eastAsia="zh-CN"/>
              </w:rPr>
              <w:t>，营业场所位于广东省东莞市企石镇企石振华路</w:t>
            </w:r>
            <w:r>
              <w:rPr>
                <w:rFonts w:hint="eastAsia" w:ascii="宋体" w:hAnsi="宋体" w:eastAsia="宋体" w:cs="宋体"/>
                <w:b w:val="0"/>
                <w:bCs w:val="0"/>
                <w:sz w:val="21"/>
                <w:szCs w:val="21"/>
                <w:lang w:val="en-US" w:eastAsia="zh-CN"/>
              </w:rPr>
              <w:t>191号101室；</w:t>
            </w:r>
            <w:r>
              <w:rPr>
                <w:rFonts w:hint="eastAsia" w:ascii="宋体" w:hAnsi="宋体" w:eastAsia="宋体" w:cs="宋体"/>
                <w:b w:val="0"/>
                <w:bCs w:val="0"/>
                <w:sz w:val="21"/>
                <w:szCs w:val="21"/>
                <w:lang w:eastAsia="zh-CN"/>
              </w:rPr>
              <w:t>负责人：余艳侠，公司类型:有限责任公司分公司(外商投资企业与内资合资)；营业期限:长期；经营范围零售:体育用品及器材、汽车零配件、汽车装饰品、日用品、纺织品、服装、五金制品、家具、家用电器、电子产品、充值卡；润滑油零售；石油制品销售（不含危险化学品）；居民日常生活服务；票务代理服务；汽车租赁；机动车充电销售；设计、制作、发布、代理：国内外各类广告；物业租赁；物业管理。（依法须经批准的项目，经相关部门批准后方可开展经营活动。）</w:t>
            </w:r>
          </w:p>
          <w:p>
            <w:pPr>
              <w:spacing w:line="240" w:lineRule="auto"/>
              <w:jc w:val="left"/>
              <w:rPr>
                <w:rFonts w:hint="eastAsia" w:ascii="宋体" w:hAnsi="宋体" w:eastAsia="宋体" w:cs="宋体"/>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评价结论</w:t>
            </w:r>
          </w:p>
        </w:tc>
        <w:tc>
          <w:tcPr>
            <w:tcW w:w="8666" w:type="dxa"/>
            <w:gridSpan w:val="4"/>
            <w:noWrap w:val="0"/>
            <w:vAlign w:val="top"/>
          </w:tcPr>
          <w:p>
            <w:pPr>
              <w:spacing w:line="240" w:lineRule="auto"/>
              <w:jc w:val="left"/>
              <w:rPr>
                <w:rFonts w:hint="eastAsia" w:ascii="宋体" w:hAnsi="宋体" w:eastAsia="宋体" w:cs="宋体"/>
                <w:b w:val="0"/>
                <w:bCs w:val="0"/>
                <w:sz w:val="21"/>
                <w:szCs w:val="21"/>
              </w:rPr>
            </w:pPr>
            <w:r>
              <w:rPr>
                <w:rFonts w:hint="eastAsia" w:ascii="宋体" w:hAnsi="宋体" w:eastAsia="宋体" w:cs="宋体"/>
                <w:b w:val="0"/>
                <w:bCs w:val="0"/>
                <w:sz w:val="21"/>
                <w:szCs w:val="21"/>
                <w:lang w:eastAsia="zh-CN"/>
              </w:rPr>
              <w:t>东莞市企实石化能源有限公司企石宝石分公司储存经营危险化学品的现状符合安全要求，具备</w:t>
            </w:r>
            <w:r>
              <w:rPr>
                <w:rFonts w:hint="eastAsia" w:ascii="宋体" w:hAnsi="宋体" w:eastAsia="宋体" w:cs="宋体"/>
                <w:b w:val="0"/>
                <w:bCs w:val="0"/>
                <w:sz w:val="21"/>
                <w:szCs w:val="21"/>
              </w:rPr>
              <w:t>《危险化学品经营许可证管理办法》（国家安全生产监督管理总局令</w:t>
            </w:r>
            <w:r>
              <w:rPr>
                <w:rFonts w:hint="eastAsia" w:ascii="宋体" w:hAnsi="宋体" w:eastAsia="宋体" w:cs="宋体"/>
                <w:b w:val="0"/>
                <w:bCs w:val="0"/>
                <w:sz w:val="21"/>
                <w:szCs w:val="21"/>
                <w:lang w:val="en-US" w:eastAsia="zh-CN"/>
              </w:rPr>
              <w:t>[2012]</w:t>
            </w:r>
            <w:r>
              <w:rPr>
                <w:rFonts w:hint="eastAsia" w:ascii="宋体" w:hAnsi="宋体" w:eastAsia="宋体" w:cs="宋体"/>
                <w:b w:val="0"/>
                <w:bCs w:val="0"/>
                <w:sz w:val="21"/>
                <w:szCs w:val="21"/>
              </w:rPr>
              <w:t>第 55 号，国家安全生产监督管理总局令〔</w:t>
            </w:r>
            <w:r>
              <w:rPr>
                <w:rFonts w:hint="eastAsia" w:ascii="宋体" w:hAnsi="宋体" w:eastAsia="宋体" w:cs="宋体"/>
                <w:b w:val="0"/>
                <w:bCs w:val="0"/>
                <w:sz w:val="21"/>
                <w:szCs w:val="21"/>
                <w:lang w:val="en-US" w:eastAsia="zh-CN"/>
              </w:rPr>
              <w:t>2015</w:t>
            </w:r>
            <w:r>
              <w:rPr>
                <w:rFonts w:hint="eastAsia" w:ascii="宋体" w:hAnsi="宋体" w:eastAsia="宋体" w:cs="宋体"/>
                <w:b w:val="0"/>
                <w:bCs w:val="0"/>
                <w:sz w:val="21"/>
                <w:szCs w:val="21"/>
              </w:rPr>
              <w:t>〕第 79 号修改）</w:t>
            </w:r>
            <w:r>
              <w:rPr>
                <w:rFonts w:hint="eastAsia" w:ascii="宋体" w:hAnsi="宋体" w:eastAsia="宋体" w:cs="宋体"/>
                <w:b w:val="0"/>
                <w:bCs w:val="0"/>
                <w:sz w:val="21"/>
                <w:szCs w:val="21"/>
                <w:lang w:eastAsia="zh-CN"/>
              </w:rPr>
              <w:t>规定的危险化学品经营许可证的换证要求。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彭书萍</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项目组成员</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任长江 高领超</w:t>
            </w:r>
          </w:p>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王卫国 梁淑君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报告编写人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彭书萍 任长江 高领超</w:t>
            </w:r>
          </w:p>
          <w:p>
            <w:pPr>
              <w:spacing w:line="360" w:lineRule="auto"/>
              <w:jc w:val="center"/>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王卫国 梁淑君</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报告审核人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段长锋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技术负责人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刘钢</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过控制责任人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乔  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报告出版时间</w:t>
            </w:r>
          </w:p>
        </w:tc>
        <w:tc>
          <w:tcPr>
            <w:tcW w:w="8666" w:type="dxa"/>
            <w:gridSpan w:val="4"/>
            <w:noWrap w:val="0"/>
            <w:vAlign w:val="center"/>
          </w:tcPr>
          <w:p>
            <w:pPr>
              <w:pStyle w:val="21"/>
              <w:widowControl w:val="0"/>
              <w:spacing w:before="0" w:beforeAutospacing="0" w:after="0" w:afterAutospacing="0"/>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2021年4月15日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550" w:type="dxa"/>
            <w:gridSpan w:val="5"/>
            <w:noWrap w:val="0"/>
            <w:vAlign w:val="center"/>
          </w:tcPr>
          <w:p>
            <w:pPr>
              <w:widowControl/>
              <w:jc w:val="center"/>
              <w:rPr>
                <w:rFonts w:hint="eastAsia" w:ascii="宋体" w:hAnsi="宋体" w:eastAsia="宋体" w:cs="宋体"/>
                <w:b w:val="0"/>
                <w:bCs w:val="0"/>
                <w:sz w:val="21"/>
                <w:szCs w:val="21"/>
                <w:lang w:eastAsia="zh-CN"/>
              </w:rPr>
            </w:pPr>
            <w:r>
              <w:rPr>
                <w:rFonts w:hint="eastAsia" w:ascii="宋体" w:hAnsi="宋体" w:cs="宋体"/>
                <w:kern w:val="0"/>
                <w:szCs w:val="21"/>
              </w:rPr>
              <w:t>现场勘查照片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5" w:hRule="atLeast"/>
        </w:trPr>
        <w:tc>
          <w:tcPr>
            <w:tcW w:w="5150"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drawing>
                <wp:inline distT="0" distB="0" distL="114300" distR="114300">
                  <wp:extent cx="3118485" cy="2297430"/>
                  <wp:effectExtent l="0" t="0" r="571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118485" cy="2297430"/>
                          </a:xfrm>
                          <a:prstGeom prst="rect">
                            <a:avLst/>
                          </a:prstGeom>
                          <a:noFill/>
                          <a:ln>
                            <a:noFill/>
                          </a:ln>
                        </pic:spPr>
                      </pic:pic>
                    </a:graphicData>
                  </a:graphic>
                </wp:inline>
              </w:drawing>
            </w:r>
          </w:p>
        </w:tc>
        <w:tc>
          <w:tcPr>
            <w:tcW w:w="5400" w:type="dxa"/>
            <w:gridSpan w:val="3"/>
            <w:noWrap w:val="0"/>
            <w:vAlign w:val="center"/>
          </w:tcPr>
          <w:p>
            <w:pPr>
              <w:pStyle w:val="21"/>
              <w:widowControl w:val="0"/>
              <w:spacing w:before="0" w:beforeAutospacing="0" w:after="0" w:afterAutospacing="0"/>
              <w:jc w:val="both"/>
              <w:rPr>
                <w:rFonts w:hint="eastAsia" w:ascii="宋体" w:hAnsi="宋体" w:eastAsia="宋体" w:cs="宋体"/>
                <w:b w:val="0"/>
                <w:bCs w:val="0"/>
                <w:sz w:val="21"/>
                <w:szCs w:val="21"/>
                <w:lang w:eastAsia="zh-CN"/>
              </w:rPr>
            </w:pPr>
            <w:r>
              <w:drawing>
                <wp:inline distT="0" distB="0" distL="114300" distR="114300">
                  <wp:extent cx="3176270" cy="2405380"/>
                  <wp:effectExtent l="0" t="0" r="5080" b="139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3176270" cy="2405380"/>
                          </a:xfrm>
                          <a:prstGeom prst="rect">
                            <a:avLst/>
                          </a:prstGeom>
                          <a:noFill/>
                          <a:ln>
                            <a:noFill/>
                          </a:ln>
                        </pic:spPr>
                      </pic:pic>
                    </a:graphicData>
                  </a:graphic>
                </wp:inline>
              </w:draw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AD6CCD"/>
    <w:multiLevelType w:val="multilevel"/>
    <w:tmpl w:val="62AD6CCD"/>
    <w:lvl w:ilvl="0" w:tentative="0">
      <w:start w:val="1"/>
      <w:numFmt w:val="decimalEnclosedCircle"/>
      <w:pStyle w:val="4"/>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rPr>
        <w:rFonts w:hint="eastAsia"/>
        <w:lang w:val="en-US"/>
      </w:rPr>
    </w:lvl>
    <w:lvl w:ilvl="2" w:tentative="0">
      <w:start w:val="1"/>
      <w:numFmt w:val="lowerRoman"/>
      <w:pStyle w:val="18"/>
      <w:lvlText w:val="%3."/>
      <w:lvlJc w:val="right"/>
      <w:pPr>
        <w:tabs>
          <w:tab w:val="left" w:pos="1740"/>
        </w:tabs>
        <w:ind w:left="1740" w:hanging="420"/>
      </w:pPr>
      <w:rPr>
        <w:rFonts w:hint="eastAsia"/>
      </w:rPr>
    </w:lvl>
    <w:lvl w:ilvl="3" w:tentative="0">
      <w:start w:val="1"/>
      <w:numFmt w:val="decimal"/>
      <w:pStyle w:val="7"/>
      <w:lvlText w:val="%4."/>
      <w:lvlJc w:val="left"/>
      <w:pPr>
        <w:tabs>
          <w:tab w:val="left" w:pos="2160"/>
        </w:tabs>
        <w:ind w:left="2160" w:hanging="420"/>
      </w:pPr>
      <w:rPr>
        <w:rFonts w:hint="eastAsia"/>
      </w:rPr>
    </w:lvl>
    <w:lvl w:ilvl="4" w:tentative="0">
      <w:start w:val="1"/>
      <w:numFmt w:val="lowerLetter"/>
      <w:pStyle w:val="8"/>
      <w:lvlText w:val="%5)"/>
      <w:lvlJc w:val="left"/>
      <w:pPr>
        <w:tabs>
          <w:tab w:val="left" w:pos="2580"/>
        </w:tabs>
        <w:ind w:left="2580" w:hanging="420"/>
      </w:pPr>
      <w:rPr>
        <w:rFonts w:hint="eastAsia"/>
      </w:rPr>
    </w:lvl>
    <w:lvl w:ilvl="5" w:tentative="0">
      <w:start w:val="1"/>
      <w:numFmt w:val="lowerRoman"/>
      <w:pStyle w:val="9"/>
      <w:lvlText w:val="%6."/>
      <w:lvlJc w:val="right"/>
      <w:pPr>
        <w:tabs>
          <w:tab w:val="left" w:pos="3000"/>
        </w:tabs>
        <w:ind w:left="3000" w:hanging="420"/>
      </w:pPr>
      <w:rPr>
        <w:rFonts w:hint="eastAsia"/>
      </w:rPr>
    </w:lvl>
    <w:lvl w:ilvl="6" w:tentative="0">
      <w:start w:val="1"/>
      <w:numFmt w:val="decimal"/>
      <w:pStyle w:val="10"/>
      <w:lvlText w:val="%7."/>
      <w:lvlJc w:val="left"/>
      <w:pPr>
        <w:tabs>
          <w:tab w:val="left" w:pos="3420"/>
        </w:tabs>
        <w:ind w:left="3420" w:hanging="420"/>
      </w:pPr>
      <w:rPr>
        <w:rFonts w:hint="eastAsia"/>
      </w:rPr>
    </w:lvl>
    <w:lvl w:ilvl="7" w:tentative="0">
      <w:start w:val="1"/>
      <w:numFmt w:val="lowerLetter"/>
      <w:pStyle w:val="11"/>
      <w:lvlText w:val="%8)"/>
      <w:lvlJc w:val="left"/>
      <w:pPr>
        <w:tabs>
          <w:tab w:val="left" w:pos="3840"/>
        </w:tabs>
        <w:ind w:left="3840" w:hanging="420"/>
      </w:pPr>
      <w:rPr>
        <w:rFonts w:hint="eastAsia"/>
      </w:rPr>
    </w:lvl>
    <w:lvl w:ilvl="8" w:tentative="0">
      <w:start w:val="1"/>
      <w:numFmt w:val="lowerRoman"/>
      <w:pStyle w:val="12"/>
      <w:lvlText w:val="%9."/>
      <w:lvlJc w:val="right"/>
      <w:pPr>
        <w:tabs>
          <w:tab w:val="left" w:pos="4260"/>
        </w:tabs>
        <w:ind w:left="426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D2655"/>
    <w:rsid w:val="09422137"/>
    <w:rsid w:val="0FE318D9"/>
    <w:rsid w:val="10915B96"/>
    <w:rsid w:val="131B7CE1"/>
    <w:rsid w:val="174C6E24"/>
    <w:rsid w:val="212236A7"/>
    <w:rsid w:val="22864B9D"/>
    <w:rsid w:val="256C3966"/>
    <w:rsid w:val="2B03004F"/>
    <w:rsid w:val="30323E0B"/>
    <w:rsid w:val="3715219D"/>
    <w:rsid w:val="3A750A18"/>
    <w:rsid w:val="3AEF1BB1"/>
    <w:rsid w:val="3BC75395"/>
    <w:rsid w:val="4C5A6745"/>
    <w:rsid w:val="4C726D79"/>
    <w:rsid w:val="4DC80BCA"/>
    <w:rsid w:val="512E12EF"/>
    <w:rsid w:val="52667EC6"/>
    <w:rsid w:val="5C2B0B02"/>
    <w:rsid w:val="5F0A1553"/>
    <w:rsid w:val="5F5315FE"/>
    <w:rsid w:val="6139407C"/>
    <w:rsid w:val="62480B3E"/>
    <w:rsid w:val="63E427AE"/>
    <w:rsid w:val="66C026B7"/>
    <w:rsid w:val="6CCA37C2"/>
    <w:rsid w:val="6F114AA7"/>
    <w:rsid w:val="6F662491"/>
    <w:rsid w:val="71494C54"/>
    <w:rsid w:val="716A57AF"/>
    <w:rsid w:val="72887E68"/>
    <w:rsid w:val="73715401"/>
    <w:rsid w:val="73801EE5"/>
    <w:rsid w:val="7424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0"/>
    <w:qFormat/>
    <w:uiPriority w:val="0"/>
    <w:pPr>
      <w:keepNext/>
      <w:keepLines/>
      <w:numPr>
        <w:ilvl w:val="0"/>
        <w:numId w:val="1"/>
      </w:numPr>
      <w:spacing w:before="340" w:after="330" w:line="600" w:lineRule="exact"/>
      <w:ind w:left="960" w:hanging="480"/>
      <w:outlineLvl w:val="0"/>
    </w:pPr>
    <w:rPr>
      <w:rFonts w:eastAsia="黑体"/>
      <w:bCs/>
      <w:kern w:val="44"/>
      <w:sz w:val="32"/>
      <w:szCs w:val="44"/>
    </w:rPr>
  </w:style>
  <w:style w:type="paragraph" w:styleId="5">
    <w:name w:val="heading 2"/>
    <w:basedOn w:val="6"/>
    <w:next w:val="1"/>
    <w:link w:val="19"/>
    <w:semiHidden/>
    <w:unhideWhenUsed/>
    <w:qFormat/>
    <w:uiPriority w:val="0"/>
    <w:pPr>
      <w:spacing w:before="50" w:after="50"/>
      <w:outlineLvl w:val="1"/>
    </w:pPr>
    <w:rPr>
      <w:rFonts w:ascii="楷体_GB2312" w:hAnsi="楷体_GB2312" w:eastAsia="楷体" w:cs="Times New Roman"/>
      <w:bCs/>
      <w:color w:val="000000"/>
      <w:sz w:val="32"/>
    </w:rPr>
  </w:style>
  <w:style w:type="paragraph" w:styleId="6">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2160" w:hanging="420"/>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2580" w:hanging="420"/>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3000" w:hanging="420"/>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3420" w:hanging="420"/>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3840" w:hanging="420"/>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4260" w:hanging="420"/>
      <w:outlineLvl w:val="8"/>
    </w:pPr>
    <w:rPr>
      <w:rFonts w:ascii="Arial" w:hAnsi="Arial" w:eastAsia="黑体"/>
      <w:sz w:val="21"/>
    </w:rPr>
  </w:style>
  <w:style w:type="character" w:default="1" w:styleId="16">
    <w:name w:val="Default Paragraph Font"/>
    <w:link w:val="17"/>
    <w:semiHidden/>
    <w:qFormat/>
    <w:uiPriority w:val="0"/>
    <w:rPr>
      <w:rFonts w:ascii="楷体" w:hAnsi="楷体"/>
      <w:kern w:val="0"/>
      <w:sz w:val="24"/>
      <w:szCs w:val="20"/>
      <w:lang w:eastAsia="en-US"/>
    </w:rPr>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420" w:firstLineChars="200"/>
      <w:jc w:val="left"/>
    </w:pPr>
    <w:rPr>
      <w:rFonts w:ascii="宋体" w:hAnsi="宋体"/>
      <w:kern w:val="24"/>
      <w:sz w:val="28"/>
      <w:szCs w:val="24"/>
    </w:rPr>
  </w:style>
  <w:style w:type="paragraph" w:styleId="3">
    <w:name w:val="Body Text Indent"/>
    <w:basedOn w:val="1"/>
    <w:qFormat/>
    <w:uiPriority w:val="0"/>
    <w:pPr>
      <w:spacing w:line="480" w:lineRule="auto"/>
      <w:ind w:firstLine="560" w:firstLineChars="200"/>
    </w:pPr>
    <w:rPr>
      <w:sz w:val="28"/>
    </w:rPr>
  </w:style>
  <w:style w:type="paragraph" w:styleId="13">
    <w:name w:val="Body Text"/>
    <w:basedOn w:val="1"/>
    <w:qFormat/>
    <w:uiPriority w:val="0"/>
    <w:pPr>
      <w:ind w:left="108"/>
    </w:pPr>
    <w:rPr>
      <w:rFonts w:ascii="宋体" w:hAnsi="宋体" w:eastAsia="宋体" w:cs="宋体"/>
      <w:sz w:val="28"/>
      <w:szCs w:val="28"/>
      <w:lang w:eastAsia="en-US"/>
    </w:rPr>
  </w:style>
  <w:style w:type="table" w:styleId="15">
    <w:name w:val="Table Grid"/>
    <w:basedOn w:val="14"/>
    <w:qFormat/>
    <w:uiPriority w:val="0"/>
    <w:pPr>
      <w:widowControl w:val="0"/>
      <w:jc w:val="both"/>
    </w:pPr>
    <w:rPr>
      <w:spacing w:val="-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_Style 30"/>
    <w:basedOn w:val="1"/>
    <w:link w:val="16"/>
    <w:qFormat/>
    <w:uiPriority w:val="0"/>
    <w:pPr>
      <w:widowControl/>
      <w:spacing w:after="160" w:line="240" w:lineRule="exact"/>
      <w:jc w:val="left"/>
    </w:pPr>
    <w:rPr>
      <w:rFonts w:ascii="楷体" w:hAnsi="楷体"/>
      <w:kern w:val="0"/>
      <w:sz w:val="24"/>
      <w:szCs w:val="20"/>
      <w:lang w:eastAsia="en-US"/>
    </w:rPr>
  </w:style>
  <w:style w:type="paragraph" w:customStyle="1" w:styleId="18">
    <w:name w:val="样式3"/>
    <w:basedOn w:val="6"/>
    <w:qFormat/>
    <w:uiPriority w:val="0"/>
    <w:pPr>
      <w:keepLines w:val="0"/>
      <w:numPr>
        <w:ilvl w:val="2"/>
        <w:numId w:val="1"/>
      </w:numPr>
      <w:spacing w:before="0" w:after="0" w:line="240" w:lineRule="auto"/>
      <w:ind w:firstLineChars="200"/>
    </w:pPr>
    <w:rPr>
      <w:rFonts w:ascii="Times New Roman" w:hAnsi="Times New Roman" w:eastAsia="楷体_GB2312"/>
      <w:sz w:val="30"/>
      <w:szCs w:val="30"/>
      <w:lang w:val="en-GB"/>
    </w:rPr>
  </w:style>
  <w:style w:type="character" w:customStyle="1" w:styleId="19">
    <w:name w:val="标题 2 Char"/>
    <w:link w:val="5"/>
    <w:qFormat/>
    <w:uiPriority w:val="0"/>
    <w:rPr>
      <w:rFonts w:ascii="楷体_GB2312" w:hAnsi="楷体_GB2312" w:eastAsia="楷体" w:cs="Times New Roman"/>
      <w:b/>
      <w:bCs/>
      <w:color w:val="000000"/>
      <w:kern w:val="2"/>
      <w:sz w:val="32"/>
      <w:szCs w:val="24"/>
      <w:lang w:val="en-US" w:eastAsia="zh-CN" w:bidi="ar-SA"/>
    </w:rPr>
  </w:style>
  <w:style w:type="character" w:customStyle="1" w:styleId="20">
    <w:name w:val="标题 1 Char"/>
    <w:basedOn w:val="16"/>
    <w:link w:val="4"/>
    <w:qFormat/>
    <w:uiPriority w:val="0"/>
    <w:rPr>
      <w:rFonts w:eastAsia="黑体"/>
      <w:bCs/>
      <w:kern w:val="44"/>
      <w:sz w:val="32"/>
      <w:szCs w:val="44"/>
      <w:lang w:val="en-US" w:eastAsia="zh-CN" w:bidi="ar-SA"/>
    </w:rPr>
  </w:style>
  <w:style w:type="paragraph" w:customStyle="1" w:styleId="21">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2021-09-18T05:45:07Z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C518257B8BCB46B7BD98C47E574C2552</vt:lpwstr>
  </property>
</Properties>
</file>