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4"/>
        <w:tblW w:w="10550" w:type="dxa"/>
        <w:tblInd w:w="-8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4"/>
        <w:gridCol w:w="3266"/>
        <w:gridCol w:w="517"/>
        <w:gridCol w:w="1533"/>
        <w:gridCol w:w="3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884" w:type="dxa"/>
            <w:noWrap w:val="0"/>
            <w:vAlign w:val="center"/>
          </w:tcPr>
          <w:p>
            <w:pPr>
              <w:spacing w:line="24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项目名称</w:t>
            </w:r>
          </w:p>
        </w:tc>
        <w:tc>
          <w:tcPr>
            <w:tcW w:w="8666" w:type="dxa"/>
            <w:gridSpan w:val="4"/>
            <w:noWrap w:val="0"/>
            <w:vAlign w:val="top"/>
          </w:tcPr>
          <w:p>
            <w:pPr>
              <w:spacing w:line="360" w:lineRule="auto"/>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中国石化销售股份有限公司广东东莞厚街白濠加油站新增洗车机项目安全验收评价报告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884" w:type="dxa"/>
            <w:noWrap w:val="0"/>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评价类型</w:t>
            </w:r>
          </w:p>
        </w:tc>
        <w:tc>
          <w:tcPr>
            <w:tcW w:w="8666" w:type="dxa"/>
            <w:gridSpan w:val="4"/>
            <w:noWrap w:val="0"/>
            <w:vAlign w:val="top"/>
          </w:tcPr>
          <w:p>
            <w:pPr>
              <w:adjustRightInd w:val="0"/>
              <w:snapToGrid w:val="0"/>
              <w:spacing w:line="360" w:lineRule="auto"/>
              <w:rPr>
                <w:rFonts w:hint="eastAsia" w:ascii="宋体" w:hAnsi="宋体" w:eastAsia="宋体" w:cs="宋体"/>
                <w:b w:val="0"/>
                <w:bCs w:val="0"/>
                <w:sz w:val="21"/>
                <w:szCs w:val="21"/>
              </w:rPr>
            </w:pP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预评价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52"/>
            </w:r>
            <w:r>
              <w:rPr>
                <w:rFonts w:hint="eastAsia" w:ascii="宋体" w:hAnsi="宋体" w:eastAsia="宋体" w:cs="宋体"/>
                <w:b w:val="0"/>
                <w:bCs w:val="0"/>
                <w:sz w:val="21"/>
                <w:szCs w:val="21"/>
              </w:rPr>
              <w:t xml:space="preserve">验收评价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现状评价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□其它（请注明类别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项目概况</w:t>
            </w:r>
          </w:p>
        </w:tc>
        <w:tc>
          <w:tcPr>
            <w:tcW w:w="8666" w:type="dxa"/>
            <w:gridSpan w:val="4"/>
            <w:noWrap w:val="0"/>
            <w:vAlign w:val="top"/>
          </w:tcPr>
          <w:p>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中国石化销售股份有限公司广东东莞厚街白濠加油站（以下简称“白濠加油站”）位于广东省东莞市厚街镇莞太路厚街段757号101室，营业执照统一社会信用代码：91441900MA4UUU4A4W；该油站从事汽油、柴油等的零售业务。白濠加油站已经东莞市应急管理局批准并取得《危险化学品经营许可证》，登记编号为粤东危化经字（2020）000156号，有效期至2023年07月20日，许可范围：汽油（1630）、柴油</w:t>
            </w:r>
            <w:r>
              <w:rPr>
                <w:rFonts w:hint="default" w:ascii="宋体" w:hAnsi="宋体" w:eastAsia="宋体" w:cs="宋体"/>
                <w:b w:val="0"/>
                <w:bCs w:val="0"/>
                <w:sz w:val="21"/>
                <w:szCs w:val="21"/>
                <w:lang w:val="en-US" w:eastAsia="zh-CN"/>
              </w:rPr>
              <w:t>[闭杯闪点≤60℃]</w:t>
            </w:r>
            <w:r>
              <w:rPr>
                <w:rFonts w:hint="eastAsia" w:ascii="宋体" w:hAnsi="宋体" w:eastAsia="宋体" w:cs="宋体"/>
                <w:b w:val="0"/>
                <w:bCs w:val="0"/>
                <w:sz w:val="21"/>
                <w:szCs w:val="21"/>
                <w:lang w:val="en-US" w:eastAsia="zh-CN"/>
              </w:rPr>
              <w:t>（1674）***（备注：二级加油站，其中汽油罐40m³×2个、汽油罐30m³×1个，柴油罐30m³×1个）***。</w:t>
            </w:r>
            <w:r>
              <w:rPr>
                <w:rFonts w:hint="default" w:ascii="宋体" w:hAnsi="宋体" w:eastAsia="宋体" w:cs="宋体"/>
                <w:b w:val="0"/>
                <w:bCs w:val="0"/>
                <w:sz w:val="21"/>
                <w:szCs w:val="21"/>
                <w:lang w:val="en-US" w:eastAsia="zh-CN"/>
              </w:rPr>
              <w:t>经广东省经济和信息化委员会批准颁发《成品油零售经营批准证书》，证书编号为：油零售证书第44S</w:t>
            </w:r>
            <w:r>
              <w:rPr>
                <w:rFonts w:hint="eastAsia" w:ascii="宋体" w:hAnsi="宋体" w:eastAsia="宋体" w:cs="宋体"/>
                <w:b w:val="0"/>
                <w:bCs w:val="0"/>
                <w:sz w:val="21"/>
                <w:szCs w:val="21"/>
                <w:lang w:val="en-US" w:eastAsia="zh-CN"/>
              </w:rPr>
              <w:t>30063</w:t>
            </w:r>
            <w:r>
              <w:rPr>
                <w:rFonts w:hint="default" w:ascii="宋体" w:hAnsi="宋体" w:eastAsia="宋体" w:cs="宋体"/>
                <w:b w:val="0"/>
                <w:bCs w:val="0"/>
                <w:sz w:val="21"/>
                <w:szCs w:val="21"/>
                <w:lang w:val="en-US" w:eastAsia="zh-CN"/>
              </w:rPr>
              <w:t>号，有效期至202</w:t>
            </w:r>
            <w:r>
              <w:rPr>
                <w:rFonts w:hint="eastAsia" w:ascii="宋体" w:hAnsi="宋体" w:eastAsia="宋体" w:cs="宋体"/>
                <w:b w:val="0"/>
                <w:bCs w:val="0"/>
                <w:sz w:val="21"/>
                <w:szCs w:val="21"/>
                <w:lang w:val="en-US" w:eastAsia="zh-CN"/>
              </w:rPr>
              <w:t>1</w:t>
            </w:r>
            <w:r>
              <w:rPr>
                <w:rFonts w:hint="default" w:ascii="宋体" w:hAnsi="宋体" w:eastAsia="宋体" w:cs="宋体"/>
                <w:b w:val="0"/>
                <w:bCs w:val="0"/>
                <w:sz w:val="21"/>
                <w:szCs w:val="21"/>
                <w:lang w:val="en-US" w:eastAsia="zh-CN"/>
              </w:rPr>
              <w:t>年</w:t>
            </w:r>
            <w:r>
              <w:rPr>
                <w:rFonts w:hint="eastAsia" w:ascii="宋体" w:hAnsi="宋体" w:eastAsia="宋体" w:cs="宋体"/>
                <w:b w:val="0"/>
                <w:bCs w:val="0"/>
                <w:sz w:val="21"/>
                <w:szCs w:val="21"/>
                <w:lang w:val="en-US" w:eastAsia="zh-CN"/>
              </w:rPr>
              <w:t>12</w:t>
            </w:r>
            <w:r>
              <w:rPr>
                <w:rFonts w:hint="default" w:ascii="宋体" w:hAnsi="宋体" w:eastAsia="宋体" w:cs="宋体"/>
                <w:b w:val="0"/>
                <w:bCs w:val="0"/>
                <w:sz w:val="21"/>
                <w:szCs w:val="21"/>
                <w:lang w:val="en-US" w:eastAsia="zh-CN"/>
              </w:rPr>
              <w:t>月</w:t>
            </w:r>
            <w:r>
              <w:rPr>
                <w:rFonts w:hint="eastAsia" w:ascii="宋体" w:hAnsi="宋体" w:eastAsia="宋体" w:cs="宋体"/>
                <w:b w:val="0"/>
                <w:bCs w:val="0"/>
                <w:sz w:val="21"/>
                <w:szCs w:val="21"/>
                <w:lang w:val="en-US" w:eastAsia="zh-CN"/>
              </w:rPr>
              <w:t>01</w:t>
            </w:r>
            <w:r>
              <w:rPr>
                <w:rFonts w:hint="default" w:ascii="宋体" w:hAnsi="宋体" w:eastAsia="宋体" w:cs="宋体"/>
                <w:b w:val="0"/>
                <w:bCs w:val="0"/>
                <w:sz w:val="21"/>
                <w:szCs w:val="21"/>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评价结论</w:t>
            </w:r>
          </w:p>
        </w:tc>
        <w:tc>
          <w:tcPr>
            <w:tcW w:w="8666" w:type="dxa"/>
            <w:gridSpan w:val="4"/>
            <w:noWrap w:val="0"/>
            <w:vAlign w:val="top"/>
          </w:tcPr>
          <w:p>
            <w:pPr>
              <w:pStyle w:val="13"/>
              <w:spacing w:line="500" w:lineRule="atLeast"/>
              <w:ind w:left="0" w:leftChars="0" w:firstLine="0" w:firstLineChars="0"/>
              <w:jc w:val="left"/>
              <w:rPr>
                <w:rFonts w:hint="eastAsia" w:ascii="宋体" w:hAnsi="宋体" w:eastAsia="宋体" w:cs="宋体"/>
                <w:b w:val="0"/>
                <w:bCs w:val="0"/>
                <w:kern w:val="2"/>
                <w:sz w:val="21"/>
                <w:szCs w:val="21"/>
                <w:lang w:val="en-US" w:eastAsia="zh-CN" w:bidi="ar-SA"/>
              </w:rPr>
            </w:pPr>
            <w:r>
              <w:rPr>
                <w:rFonts w:hint="default" w:ascii="宋体" w:hAnsi="宋体" w:eastAsia="宋体" w:cs="宋体"/>
                <w:b w:val="0"/>
                <w:bCs w:val="0"/>
                <w:kern w:val="2"/>
                <w:sz w:val="21"/>
                <w:szCs w:val="21"/>
                <w:lang w:val="en-US" w:eastAsia="zh-CN" w:bidi="ar-SA"/>
              </w:rPr>
              <w:t>中国石化销售股份有限公司</w:t>
            </w:r>
            <w:r>
              <w:rPr>
                <w:rFonts w:hint="eastAsia" w:ascii="宋体" w:hAnsi="宋体" w:eastAsia="宋体" w:cs="宋体"/>
                <w:b w:val="0"/>
                <w:bCs w:val="0"/>
                <w:kern w:val="2"/>
                <w:sz w:val="21"/>
                <w:szCs w:val="21"/>
                <w:lang w:val="en-US" w:eastAsia="zh-CN" w:bidi="ar-SA"/>
              </w:rPr>
              <w:t>广东东莞厚街白濠加油站</w:t>
            </w:r>
            <w:r>
              <w:rPr>
                <w:rFonts w:hint="default" w:ascii="宋体" w:hAnsi="宋体" w:eastAsia="宋体" w:cs="宋体"/>
                <w:b w:val="0"/>
                <w:bCs w:val="0"/>
                <w:kern w:val="2"/>
                <w:sz w:val="21"/>
                <w:szCs w:val="21"/>
                <w:lang w:val="en-US" w:eastAsia="zh-CN" w:bidi="ar-SA"/>
              </w:rPr>
              <w:t>新增自动洗车机项目符合</w:t>
            </w:r>
            <w:r>
              <w:rPr>
                <w:rFonts w:hint="eastAsia" w:ascii="宋体" w:hAnsi="宋体" w:eastAsia="宋体" w:cs="宋体"/>
                <w:b w:val="0"/>
                <w:bCs w:val="0"/>
                <w:kern w:val="2"/>
                <w:sz w:val="21"/>
                <w:szCs w:val="21"/>
                <w:lang w:val="en-US" w:eastAsia="zh-CN" w:bidi="ar-SA"/>
              </w:rPr>
              <w:t>安全设施能与主体工程同时设计、同时施工、同时投入生产和使用，与之配套的安全设施符合国家有关安全生产的法律法规和标准规范，具备安全设施竣工验收的安全条件。同时，对该加油站的现状通过分析评价，其安全条件和安全生产条件符合国家有关安全生产法律、法规和技术标准的要求，具备危险化学品经营许可的相关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default" w:ascii="宋体" w:hAnsi="宋体" w:eastAsia="宋体" w:cs="宋体"/>
                <w:b w:val="0"/>
                <w:bCs w:val="0"/>
                <w:sz w:val="21"/>
                <w:szCs w:val="21"/>
                <w:lang w:val="en-US" w:eastAsia="zh-CN"/>
              </w:rPr>
              <w:t>彭书萍</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项目组成员</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黄孙兴 </w:t>
            </w:r>
            <w:r>
              <w:rPr>
                <w:rFonts w:hint="eastAsia" w:ascii="宋体" w:hAnsi="宋体" w:eastAsia="宋体" w:cs="宋体"/>
                <w:b w:val="0"/>
                <w:bCs w:val="0"/>
                <w:sz w:val="21"/>
                <w:szCs w:val="21"/>
                <w:lang w:val="en-US" w:eastAsia="zh-CN"/>
              </w:rPr>
              <w:t>任长江</w:t>
            </w:r>
          </w:p>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高领超 </w:t>
            </w:r>
            <w:r>
              <w:rPr>
                <w:rFonts w:hint="eastAsia" w:ascii="宋体" w:hAnsi="宋体" w:eastAsia="宋体" w:cs="宋体"/>
                <w:b w:val="0"/>
                <w:bCs w:val="0"/>
                <w:sz w:val="21"/>
                <w:szCs w:val="21"/>
                <w:lang w:val="en-US" w:eastAsia="zh-CN"/>
              </w:rPr>
              <w:t xml:space="preserve">王卫国 </w:t>
            </w:r>
            <w:r>
              <w:rPr>
                <w:rFonts w:hint="eastAsia" w:ascii="宋体" w:hAnsi="宋体" w:eastAsia="宋体" w:cs="宋体"/>
                <w:b w:val="0"/>
                <w:bCs w:val="0"/>
                <w:sz w:val="21"/>
                <w:szCs w:val="21"/>
                <w:lang w:val="en-US" w:eastAsia="zh-CN"/>
              </w:rPr>
              <w:t>梁淑君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报告编写人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default" w:ascii="宋体" w:hAnsi="宋体" w:eastAsia="宋体" w:cs="宋体"/>
                <w:b w:val="0"/>
                <w:bCs w:val="0"/>
                <w:sz w:val="21"/>
                <w:szCs w:val="21"/>
                <w:lang w:val="en-US" w:eastAsia="zh-CN"/>
              </w:rPr>
              <w:t>彭书萍</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lang w:val="en-US" w:eastAsia="zh-CN"/>
              </w:rPr>
              <w:t xml:space="preserve">黄孙兴 </w:t>
            </w:r>
            <w:r>
              <w:rPr>
                <w:rFonts w:hint="eastAsia" w:ascii="宋体" w:hAnsi="宋体" w:eastAsia="宋体" w:cs="宋体"/>
                <w:b w:val="0"/>
                <w:bCs w:val="0"/>
                <w:sz w:val="21"/>
                <w:szCs w:val="21"/>
                <w:lang w:val="en-US" w:eastAsia="zh-CN"/>
              </w:rPr>
              <w:t>任长江</w:t>
            </w:r>
          </w:p>
          <w:p>
            <w:pPr>
              <w:spacing w:line="360" w:lineRule="auto"/>
              <w:jc w:val="center"/>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高领超 </w:t>
            </w:r>
            <w:r>
              <w:rPr>
                <w:rFonts w:hint="eastAsia" w:ascii="宋体" w:hAnsi="宋体" w:eastAsia="宋体" w:cs="宋体"/>
                <w:b w:val="0"/>
                <w:bCs w:val="0"/>
                <w:sz w:val="21"/>
                <w:szCs w:val="21"/>
                <w:lang w:val="en-US" w:eastAsia="zh-CN"/>
              </w:rPr>
              <w:t xml:space="preserve">王卫国 </w:t>
            </w:r>
            <w:r>
              <w:rPr>
                <w:rFonts w:hint="eastAsia" w:ascii="宋体" w:hAnsi="宋体" w:eastAsia="宋体" w:cs="宋体"/>
                <w:b w:val="0"/>
                <w:bCs w:val="0"/>
                <w:sz w:val="21"/>
                <w:szCs w:val="21"/>
                <w:lang w:val="en-US" w:eastAsia="zh-CN"/>
              </w:rPr>
              <w:t>梁淑君</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报告审核人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default" w:ascii="宋体" w:hAnsi="宋体" w:eastAsia="宋体" w:cs="宋体"/>
                <w:b w:val="0"/>
                <w:bCs w:val="0"/>
                <w:sz w:val="21"/>
                <w:szCs w:val="21"/>
                <w:lang w:val="en-US" w:eastAsia="zh-CN"/>
              </w:rPr>
              <w:t>明  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技术负责人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default" w:ascii="宋体" w:hAnsi="宋体" w:eastAsia="宋体" w:cs="宋体"/>
                <w:b w:val="0"/>
                <w:bCs w:val="0"/>
                <w:sz w:val="21"/>
                <w:szCs w:val="21"/>
                <w:lang w:val="en-US" w:eastAsia="zh-CN"/>
              </w:rPr>
              <w:t>刘钢</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过控制责任人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default" w:ascii="宋体" w:hAnsi="宋体" w:eastAsia="宋体" w:cs="宋体"/>
                <w:b w:val="0"/>
                <w:bCs w:val="0"/>
                <w:sz w:val="21"/>
                <w:szCs w:val="21"/>
                <w:lang w:val="en-US" w:eastAsia="zh-CN"/>
              </w:rPr>
              <w:t>乔  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报告出版时间</w:t>
            </w:r>
          </w:p>
        </w:tc>
        <w:tc>
          <w:tcPr>
            <w:tcW w:w="8666" w:type="dxa"/>
            <w:gridSpan w:val="4"/>
            <w:noWrap w:val="0"/>
            <w:vAlign w:val="center"/>
          </w:tcPr>
          <w:p>
            <w:pPr>
              <w:pStyle w:val="21"/>
              <w:widowControl w:val="0"/>
              <w:spacing w:before="0" w:beforeAutospacing="0" w:after="0" w:afterAutospacing="0"/>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2020年10月12日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0550" w:type="dxa"/>
            <w:gridSpan w:val="5"/>
            <w:noWrap w:val="0"/>
            <w:vAlign w:val="center"/>
          </w:tcPr>
          <w:p>
            <w:pPr>
              <w:widowControl/>
              <w:jc w:val="center"/>
              <w:rPr>
                <w:rFonts w:hint="eastAsia" w:ascii="宋体" w:hAnsi="宋体" w:eastAsia="宋体" w:cs="宋体"/>
                <w:b w:val="0"/>
                <w:bCs w:val="0"/>
                <w:sz w:val="21"/>
                <w:szCs w:val="21"/>
                <w:lang w:eastAsia="zh-CN"/>
              </w:rPr>
            </w:pPr>
            <w:r>
              <w:rPr>
                <w:rFonts w:hint="eastAsia" w:ascii="宋体" w:hAnsi="宋体" w:cs="宋体"/>
                <w:kern w:val="0"/>
                <w:szCs w:val="21"/>
              </w:rPr>
              <w:t>现场勘查照片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0" w:hRule="atLeast"/>
        </w:trPr>
        <w:tc>
          <w:tcPr>
            <w:tcW w:w="5150"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drawing>
                <wp:anchor distT="0" distB="0" distL="114300" distR="114300" simplePos="0" relativeHeight="251659264" behindDoc="0" locked="0" layoutInCell="1" allowOverlap="1">
                  <wp:simplePos x="0" y="0"/>
                  <wp:positionH relativeFrom="column">
                    <wp:posOffset>123190</wp:posOffset>
                  </wp:positionH>
                  <wp:positionV relativeFrom="paragraph">
                    <wp:posOffset>114935</wp:posOffset>
                  </wp:positionV>
                  <wp:extent cx="2942590" cy="1555115"/>
                  <wp:effectExtent l="0" t="0" r="10160" b="6985"/>
                  <wp:wrapSquare wrapText="bothSides"/>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4"/>
                          <a:stretch>
                            <a:fillRect/>
                          </a:stretch>
                        </pic:blipFill>
                        <pic:spPr>
                          <a:xfrm>
                            <a:off x="0" y="0"/>
                            <a:ext cx="2942590" cy="1555115"/>
                          </a:xfrm>
                          <a:prstGeom prst="rect">
                            <a:avLst/>
                          </a:prstGeom>
                          <a:noFill/>
                          <a:ln>
                            <a:noFill/>
                          </a:ln>
                        </pic:spPr>
                      </pic:pic>
                    </a:graphicData>
                  </a:graphic>
                </wp:anchor>
              </w:drawing>
            </w:r>
          </w:p>
        </w:tc>
        <w:tc>
          <w:tcPr>
            <w:tcW w:w="5400" w:type="dxa"/>
            <w:gridSpan w:val="3"/>
            <w:noWrap w:val="0"/>
            <w:vAlign w:val="center"/>
          </w:tcPr>
          <w:p>
            <w:pPr>
              <w:pStyle w:val="21"/>
              <w:widowControl w:val="0"/>
              <w:spacing w:before="0" w:beforeAutospacing="0" w:after="0" w:afterAutospacing="0"/>
              <w:jc w:val="both"/>
              <w:rPr>
                <w:rFonts w:hint="eastAsia" w:ascii="宋体" w:hAnsi="宋体" w:eastAsia="宋体" w:cs="宋体"/>
                <w:b w:val="0"/>
                <w:bCs w:val="0"/>
                <w:sz w:val="21"/>
                <w:szCs w:val="21"/>
                <w:lang w:eastAsia="zh-CN"/>
              </w:rPr>
            </w:pPr>
            <w:r>
              <w:drawing>
                <wp:anchor distT="0" distB="0" distL="114300" distR="114300" simplePos="0" relativeHeight="251660288" behindDoc="0" locked="0" layoutInCell="1" allowOverlap="1">
                  <wp:simplePos x="0" y="0"/>
                  <wp:positionH relativeFrom="column">
                    <wp:posOffset>142875</wp:posOffset>
                  </wp:positionH>
                  <wp:positionV relativeFrom="paragraph">
                    <wp:posOffset>121920</wp:posOffset>
                  </wp:positionV>
                  <wp:extent cx="2896870" cy="1570355"/>
                  <wp:effectExtent l="0" t="0" r="17780" b="10795"/>
                  <wp:wrapSquare wrapText="bothSides"/>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2896870" cy="1570355"/>
                          </a:xfrm>
                          <a:prstGeom prst="rect">
                            <a:avLst/>
                          </a:prstGeom>
                          <a:noFill/>
                          <a:ln>
                            <a:noFill/>
                          </a:ln>
                        </pic:spPr>
                      </pic:pic>
                    </a:graphicData>
                  </a:graphic>
                </wp:anchor>
              </w:drawing>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AD6CCD"/>
    <w:multiLevelType w:val="multilevel"/>
    <w:tmpl w:val="62AD6CCD"/>
    <w:lvl w:ilvl="0" w:tentative="0">
      <w:start w:val="1"/>
      <w:numFmt w:val="decimalEnclosedCircle"/>
      <w:pStyle w:val="4"/>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rPr>
        <w:rFonts w:hint="eastAsia"/>
        <w:lang w:val="en-US"/>
      </w:rPr>
    </w:lvl>
    <w:lvl w:ilvl="2" w:tentative="0">
      <w:start w:val="1"/>
      <w:numFmt w:val="lowerRoman"/>
      <w:pStyle w:val="18"/>
      <w:lvlText w:val="%3."/>
      <w:lvlJc w:val="right"/>
      <w:pPr>
        <w:tabs>
          <w:tab w:val="left" w:pos="1740"/>
        </w:tabs>
        <w:ind w:left="1740" w:hanging="420"/>
      </w:pPr>
      <w:rPr>
        <w:rFonts w:hint="eastAsia"/>
      </w:rPr>
    </w:lvl>
    <w:lvl w:ilvl="3" w:tentative="0">
      <w:start w:val="1"/>
      <w:numFmt w:val="decimal"/>
      <w:pStyle w:val="7"/>
      <w:lvlText w:val="%4."/>
      <w:lvlJc w:val="left"/>
      <w:pPr>
        <w:tabs>
          <w:tab w:val="left" w:pos="2160"/>
        </w:tabs>
        <w:ind w:left="2160" w:hanging="420"/>
      </w:pPr>
      <w:rPr>
        <w:rFonts w:hint="eastAsia"/>
      </w:rPr>
    </w:lvl>
    <w:lvl w:ilvl="4" w:tentative="0">
      <w:start w:val="1"/>
      <w:numFmt w:val="lowerLetter"/>
      <w:pStyle w:val="8"/>
      <w:lvlText w:val="%5)"/>
      <w:lvlJc w:val="left"/>
      <w:pPr>
        <w:tabs>
          <w:tab w:val="left" w:pos="2580"/>
        </w:tabs>
        <w:ind w:left="2580" w:hanging="420"/>
      </w:pPr>
      <w:rPr>
        <w:rFonts w:hint="eastAsia"/>
      </w:rPr>
    </w:lvl>
    <w:lvl w:ilvl="5" w:tentative="0">
      <w:start w:val="1"/>
      <w:numFmt w:val="lowerRoman"/>
      <w:pStyle w:val="9"/>
      <w:lvlText w:val="%6."/>
      <w:lvlJc w:val="right"/>
      <w:pPr>
        <w:tabs>
          <w:tab w:val="left" w:pos="3000"/>
        </w:tabs>
        <w:ind w:left="3000" w:hanging="420"/>
      </w:pPr>
      <w:rPr>
        <w:rFonts w:hint="eastAsia"/>
      </w:rPr>
    </w:lvl>
    <w:lvl w:ilvl="6" w:tentative="0">
      <w:start w:val="1"/>
      <w:numFmt w:val="decimal"/>
      <w:pStyle w:val="10"/>
      <w:lvlText w:val="%7."/>
      <w:lvlJc w:val="left"/>
      <w:pPr>
        <w:tabs>
          <w:tab w:val="left" w:pos="3420"/>
        </w:tabs>
        <w:ind w:left="3420" w:hanging="420"/>
      </w:pPr>
      <w:rPr>
        <w:rFonts w:hint="eastAsia"/>
      </w:rPr>
    </w:lvl>
    <w:lvl w:ilvl="7" w:tentative="0">
      <w:start w:val="1"/>
      <w:numFmt w:val="lowerLetter"/>
      <w:pStyle w:val="11"/>
      <w:lvlText w:val="%8)"/>
      <w:lvlJc w:val="left"/>
      <w:pPr>
        <w:tabs>
          <w:tab w:val="left" w:pos="3840"/>
        </w:tabs>
        <w:ind w:left="3840" w:hanging="420"/>
      </w:pPr>
      <w:rPr>
        <w:rFonts w:hint="eastAsia"/>
      </w:rPr>
    </w:lvl>
    <w:lvl w:ilvl="8" w:tentative="0">
      <w:start w:val="1"/>
      <w:numFmt w:val="lowerRoman"/>
      <w:pStyle w:val="12"/>
      <w:lvlText w:val="%9."/>
      <w:lvlJc w:val="right"/>
      <w:pPr>
        <w:tabs>
          <w:tab w:val="left" w:pos="4260"/>
        </w:tabs>
        <w:ind w:left="426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D2655"/>
    <w:rsid w:val="09422137"/>
    <w:rsid w:val="0FE318D9"/>
    <w:rsid w:val="10915B96"/>
    <w:rsid w:val="131B7CE1"/>
    <w:rsid w:val="174C6E24"/>
    <w:rsid w:val="212236A7"/>
    <w:rsid w:val="22864B9D"/>
    <w:rsid w:val="256C3966"/>
    <w:rsid w:val="2B03004F"/>
    <w:rsid w:val="30323E0B"/>
    <w:rsid w:val="3A750A18"/>
    <w:rsid w:val="3AEF1BB1"/>
    <w:rsid w:val="3BC75395"/>
    <w:rsid w:val="40DB2DCE"/>
    <w:rsid w:val="4C726D79"/>
    <w:rsid w:val="4DC80BCA"/>
    <w:rsid w:val="512E12EF"/>
    <w:rsid w:val="5F0A1553"/>
    <w:rsid w:val="5F5315FE"/>
    <w:rsid w:val="6139407C"/>
    <w:rsid w:val="63E427AE"/>
    <w:rsid w:val="66C026B7"/>
    <w:rsid w:val="6CCA37C2"/>
    <w:rsid w:val="6F114AA7"/>
    <w:rsid w:val="6F662491"/>
    <w:rsid w:val="72887E68"/>
    <w:rsid w:val="73715401"/>
    <w:rsid w:val="73801EE5"/>
    <w:rsid w:val="7424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0"/>
    <w:qFormat/>
    <w:uiPriority w:val="0"/>
    <w:pPr>
      <w:keepNext/>
      <w:keepLines/>
      <w:numPr>
        <w:ilvl w:val="0"/>
        <w:numId w:val="1"/>
      </w:numPr>
      <w:spacing w:before="340" w:after="330" w:line="600" w:lineRule="exact"/>
      <w:ind w:left="960" w:hanging="480"/>
      <w:outlineLvl w:val="0"/>
    </w:pPr>
    <w:rPr>
      <w:rFonts w:eastAsia="黑体"/>
      <w:bCs/>
      <w:kern w:val="44"/>
      <w:sz w:val="32"/>
      <w:szCs w:val="44"/>
    </w:rPr>
  </w:style>
  <w:style w:type="paragraph" w:styleId="5">
    <w:name w:val="heading 2"/>
    <w:basedOn w:val="6"/>
    <w:next w:val="1"/>
    <w:link w:val="19"/>
    <w:semiHidden/>
    <w:unhideWhenUsed/>
    <w:qFormat/>
    <w:uiPriority w:val="0"/>
    <w:pPr>
      <w:spacing w:before="50" w:after="50"/>
      <w:outlineLvl w:val="1"/>
    </w:pPr>
    <w:rPr>
      <w:rFonts w:ascii="楷体_GB2312" w:hAnsi="楷体_GB2312" w:eastAsia="楷体" w:cs="Times New Roman"/>
      <w:bCs/>
      <w:color w:val="000000"/>
      <w:sz w:val="32"/>
    </w:rPr>
  </w:style>
  <w:style w:type="paragraph" w:styleId="6">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2160" w:hanging="420"/>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2580" w:hanging="420"/>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3000" w:hanging="420"/>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3420" w:hanging="420"/>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3840" w:hanging="420"/>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4260" w:hanging="420"/>
      <w:outlineLvl w:val="8"/>
    </w:pPr>
    <w:rPr>
      <w:rFonts w:ascii="Arial" w:hAnsi="Arial" w:eastAsia="黑体"/>
      <w:sz w:val="21"/>
    </w:rPr>
  </w:style>
  <w:style w:type="character" w:default="1" w:styleId="16">
    <w:name w:val="Default Paragraph Font"/>
    <w:link w:val="17"/>
    <w:semiHidden/>
    <w:qFormat/>
    <w:uiPriority w:val="0"/>
    <w:rPr>
      <w:rFonts w:ascii="楷体" w:hAnsi="楷体"/>
      <w:kern w:val="0"/>
      <w:sz w:val="24"/>
      <w:szCs w:val="20"/>
      <w:lang w:eastAsia="en-US"/>
    </w:rPr>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firstLine="420" w:firstLineChars="200"/>
      <w:jc w:val="left"/>
    </w:pPr>
    <w:rPr>
      <w:rFonts w:ascii="宋体" w:hAnsi="宋体"/>
      <w:kern w:val="24"/>
      <w:sz w:val="28"/>
      <w:szCs w:val="24"/>
    </w:rPr>
  </w:style>
  <w:style w:type="paragraph" w:styleId="3">
    <w:name w:val="Body Text Indent"/>
    <w:basedOn w:val="1"/>
    <w:unhideWhenUsed/>
    <w:qFormat/>
    <w:uiPriority w:val="99"/>
    <w:pPr>
      <w:keepNext w:val="0"/>
      <w:keepLines w:val="0"/>
      <w:widowControl w:val="0"/>
      <w:suppressLineNumbers w:val="0"/>
      <w:spacing w:before="0" w:beforeAutospacing="0" w:after="0" w:afterAutospacing="0" w:line="480" w:lineRule="auto"/>
      <w:ind w:left="0" w:right="0" w:firstLine="560" w:firstLineChars="200"/>
      <w:jc w:val="both"/>
    </w:pPr>
    <w:rPr>
      <w:rFonts w:hint="default" w:ascii="Calibri" w:hAnsi="Calibri" w:eastAsia="宋体" w:cs="Times New Roman"/>
      <w:kern w:val="2"/>
      <w:sz w:val="28"/>
      <w:szCs w:val="24"/>
      <w:lang w:val="en-US" w:eastAsia="zh-CN" w:bidi="ar"/>
    </w:rPr>
  </w:style>
  <w:style w:type="paragraph" w:styleId="13">
    <w:name w:val="Body Text"/>
    <w:basedOn w:val="1"/>
    <w:next w:val="1"/>
    <w:qFormat/>
    <w:uiPriority w:val="0"/>
    <w:pPr>
      <w:ind w:left="108"/>
    </w:pPr>
    <w:rPr>
      <w:rFonts w:ascii="宋体" w:hAnsi="宋体" w:eastAsia="宋体" w:cs="宋体"/>
      <w:sz w:val="28"/>
      <w:szCs w:val="28"/>
      <w:lang w:eastAsia="en-US"/>
    </w:rPr>
  </w:style>
  <w:style w:type="table" w:styleId="15">
    <w:name w:val="Table Grid"/>
    <w:basedOn w:val="14"/>
    <w:qFormat/>
    <w:uiPriority w:val="0"/>
    <w:pPr>
      <w:widowControl w:val="0"/>
      <w:jc w:val="both"/>
    </w:pPr>
    <w:rPr>
      <w:spacing w:val="-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_Style 30"/>
    <w:basedOn w:val="1"/>
    <w:link w:val="16"/>
    <w:qFormat/>
    <w:uiPriority w:val="0"/>
    <w:pPr>
      <w:widowControl/>
      <w:spacing w:after="160" w:line="240" w:lineRule="exact"/>
      <w:jc w:val="left"/>
    </w:pPr>
    <w:rPr>
      <w:rFonts w:ascii="楷体" w:hAnsi="楷体"/>
      <w:kern w:val="0"/>
      <w:sz w:val="24"/>
      <w:szCs w:val="20"/>
      <w:lang w:eastAsia="en-US"/>
    </w:rPr>
  </w:style>
  <w:style w:type="paragraph" w:customStyle="1" w:styleId="18">
    <w:name w:val="样式3"/>
    <w:basedOn w:val="6"/>
    <w:qFormat/>
    <w:uiPriority w:val="0"/>
    <w:pPr>
      <w:keepLines w:val="0"/>
      <w:numPr>
        <w:ilvl w:val="2"/>
        <w:numId w:val="1"/>
      </w:numPr>
      <w:spacing w:before="0" w:after="0" w:line="240" w:lineRule="auto"/>
      <w:ind w:firstLineChars="200"/>
    </w:pPr>
    <w:rPr>
      <w:rFonts w:ascii="Times New Roman" w:hAnsi="Times New Roman" w:eastAsia="楷体_GB2312"/>
      <w:sz w:val="30"/>
      <w:szCs w:val="30"/>
      <w:lang w:val="en-GB"/>
    </w:rPr>
  </w:style>
  <w:style w:type="character" w:customStyle="1" w:styleId="19">
    <w:name w:val="标题 2 Char"/>
    <w:link w:val="5"/>
    <w:qFormat/>
    <w:uiPriority w:val="0"/>
    <w:rPr>
      <w:rFonts w:ascii="楷体_GB2312" w:hAnsi="楷体_GB2312" w:eastAsia="楷体" w:cs="Times New Roman"/>
      <w:b/>
      <w:bCs/>
      <w:color w:val="000000"/>
      <w:kern w:val="2"/>
      <w:sz w:val="32"/>
      <w:szCs w:val="24"/>
      <w:lang w:val="en-US" w:eastAsia="zh-CN" w:bidi="ar-SA"/>
    </w:rPr>
  </w:style>
  <w:style w:type="character" w:customStyle="1" w:styleId="20">
    <w:name w:val="标题 1 Char"/>
    <w:basedOn w:val="16"/>
    <w:link w:val="4"/>
    <w:qFormat/>
    <w:uiPriority w:val="0"/>
    <w:rPr>
      <w:rFonts w:eastAsia="黑体"/>
      <w:bCs/>
      <w:kern w:val="44"/>
      <w:sz w:val="32"/>
      <w:szCs w:val="44"/>
      <w:lang w:val="en-US" w:eastAsia="zh-CN" w:bidi="ar-SA"/>
    </w:rPr>
  </w:style>
  <w:style w:type="paragraph" w:customStyle="1" w:styleId="21">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 w:type="paragraph" w:customStyle="1" w:styleId="2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2021-09-15T08:57:33Z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C518257B8BCB46B7BD98C47E574C2552</vt:lpwstr>
  </property>
</Properties>
</file>